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_Toc530554771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_Toc530554772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_Toc530554773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s. 3AB applies</w:t>
      </w:r>
      <w:r>
        <w:tab/>
      </w:r>
      <w:r>
        <w:fldChar w:fldCharType="begin"/>
      </w:r>
      <w:r>
        <w:instrText xml:space="preserve"> PAGEREF _Toc530554774 \h </w:instrText>
      </w:r>
      <w:r>
        <w:fldChar w:fldCharType="separate"/>
      </w:r>
      <w:r>
        <w:t>10</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_Toc530554775 \h </w:instrText>
      </w:r>
      <w:r>
        <w:fldChar w:fldCharType="separate"/>
      </w:r>
      <w:r>
        <w:t>11</w:t>
      </w:r>
      <w:r>
        <w:fldChar w:fldCharType="end"/>
      </w:r>
    </w:p>
    <w:p>
      <w:pPr>
        <w:pStyle w:val="TOC8"/>
        <w:rPr>
          <w:rFonts w:asciiTheme="minorHAnsi" w:eastAsiaTheme="minorEastAsia" w:hAnsiTheme="minorHAnsi" w:cstheme="minorBidi"/>
          <w:szCs w:val="22"/>
        </w:rPr>
      </w:pPr>
      <w:r>
        <w:t>3AC</w:t>
      </w:r>
      <w:r>
        <w:rPr>
          <w:snapToGrid w:val="0"/>
        </w:rPr>
        <w:t>.</w:t>
      </w:r>
      <w:r>
        <w:rPr>
          <w:snapToGrid w:val="0"/>
        </w:rPr>
        <w:tab/>
        <w:t>R</w:t>
      </w:r>
      <w:r>
        <w:t>esolution without dissent</w:t>
      </w:r>
      <w:r>
        <w:tab/>
      </w:r>
      <w:r>
        <w:fldChar w:fldCharType="begin"/>
      </w:r>
      <w:r>
        <w:instrText xml:space="preserve"> PAGEREF _Toc530554776 \h </w:instrText>
      </w:r>
      <w:r>
        <w:fldChar w:fldCharType="separate"/>
      </w:r>
      <w:r>
        <w:t>12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Special resolution of strata company</w:t>
      </w:r>
      <w:r>
        <w:tab/>
      </w:r>
      <w:r>
        <w:fldChar w:fldCharType="begin"/>
      </w:r>
      <w:r>
        <w:instrText xml:space="preserve"> PAGEREF _Toc530554777 \h </w:instrText>
      </w:r>
      <w:r>
        <w:fldChar w:fldCharType="separate"/>
      </w:r>
      <w:r>
        <w:t>13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Supplementary provisions to s. 3AC and 3B</w:t>
      </w:r>
      <w:r>
        <w:tab/>
      </w:r>
      <w:r>
        <w:fldChar w:fldCharType="begin"/>
      </w:r>
      <w:r>
        <w:instrText xml:space="preserve"> PAGEREF _Toc530554778 \h </w:instrText>
      </w:r>
      <w:r>
        <w:fldChar w:fldCharType="separate"/>
      </w:r>
      <w:r>
        <w:t>15</w:t>
      </w:r>
      <w:r>
        <w:fldChar w:fldCharType="end"/>
      </w:r>
    </w:p>
    <w:p>
      <w:pPr>
        <w:pStyle w:val="TOC8"/>
        <w:rPr>
          <w:rFonts w:asciiTheme="minorHAnsi" w:eastAsiaTheme="minorEastAsia" w:hAnsiTheme="minorHAnsi" w:cstheme="minorBidi"/>
          <w:szCs w:val="22"/>
        </w:rPr>
      </w:pPr>
      <w:r>
        <w:t>3CA</w:t>
      </w:r>
      <w:r>
        <w:rPr>
          <w:snapToGrid w:val="0"/>
        </w:rPr>
        <w:t>.</w:t>
      </w:r>
      <w:r>
        <w:rPr>
          <w:snapToGrid w:val="0"/>
        </w:rPr>
        <w:tab/>
        <w:t>Certain resolutions deemed to be resolutions without dissent or special resolutions</w:t>
      </w:r>
      <w:r>
        <w:tab/>
      </w:r>
      <w:r>
        <w:fldChar w:fldCharType="begin"/>
      </w:r>
      <w:r>
        <w:instrText xml:space="preserve"> PAGEREF _Toc530554779 \h </w:instrText>
      </w:r>
      <w:r>
        <w:fldChar w:fldCharType="separate"/>
      </w:r>
      <w:r>
        <w:t>16</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Unfinancial proprietors may vote in certain cases</w:t>
      </w:r>
      <w:r>
        <w:tab/>
      </w:r>
      <w:r>
        <w:fldChar w:fldCharType="begin"/>
      </w:r>
      <w:r>
        <w:instrText xml:space="preserve"> PAGEREF _Toc530554780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Strata schemes and survey</w:t>
      </w:r>
      <w:r>
        <w:noBreakHyphen/>
        <w:t>strata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Creation of lots and common property</w:t>
      </w:r>
    </w:p>
    <w:p>
      <w:pPr>
        <w:pStyle w:val="TOC8"/>
        <w:rPr>
          <w:rFonts w:asciiTheme="minorHAnsi" w:eastAsiaTheme="minorEastAsia" w:hAnsiTheme="minorHAnsi" w:cstheme="minorBidi"/>
          <w:szCs w:val="22"/>
        </w:rPr>
      </w:pPr>
      <w:r>
        <w:t>4</w:t>
      </w:r>
      <w:r>
        <w:rPr>
          <w:snapToGrid w:val="0"/>
        </w:rPr>
        <w:t>.</w:t>
      </w:r>
      <w:r>
        <w:rPr>
          <w:snapToGrid w:val="0"/>
        </w:rPr>
        <w:tab/>
        <w:t>Subdivision into lots and common property</w:t>
      </w:r>
      <w:r>
        <w:tab/>
      </w:r>
      <w:r>
        <w:fldChar w:fldCharType="begin"/>
      </w:r>
      <w:r>
        <w:instrText xml:space="preserve"> PAGEREF _Toc530554783 \h </w:instrText>
      </w:r>
      <w:r>
        <w:fldChar w:fldCharType="separate"/>
      </w:r>
      <w:r>
        <w:t>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Strata plan: requirements</w:t>
      </w:r>
      <w:r>
        <w:tab/>
      </w:r>
      <w:r>
        <w:fldChar w:fldCharType="begin"/>
      </w:r>
      <w:r>
        <w:instrText xml:space="preserve"> PAGEREF _Toc530554784 \h </w:instrText>
      </w:r>
      <w:r>
        <w:fldChar w:fldCharType="separate"/>
      </w:r>
      <w:r>
        <w:t>19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Survey</w:t>
      </w:r>
      <w:r>
        <w:rPr>
          <w:snapToGrid w:val="0"/>
        </w:rPr>
        <w:noBreakHyphen/>
        <w:t>strata plan: requirements</w:t>
      </w:r>
      <w:r>
        <w:tab/>
      </w:r>
      <w:r>
        <w:fldChar w:fldCharType="begin"/>
      </w:r>
      <w:r>
        <w:instrText xml:space="preserve"> PAGEREF _Toc530554785 \h </w:instrText>
      </w:r>
      <w:r>
        <w:fldChar w:fldCharType="separate"/>
      </w:r>
      <w:r>
        <w:t>20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Further provisions as to registration of plans</w:t>
      </w:r>
      <w:r>
        <w:tab/>
      </w:r>
      <w:r>
        <w:fldChar w:fldCharType="begin"/>
      </w:r>
      <w:r>
        <w:instrText xml:space="preserve"> PAGEREF _Toc530554786 \h </w:instrText>
      </w:r>
      <w:r>
        <w:fldChar w:fldCharType="separate"/>
      </w:r>
      <w:r>
        <w:t>21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_Toc530554787 \h </w:instrText>
      </w:r>
      <w:r>
        <w:fldChar w:fldCharType="separate"/>
      </w:r>
      <w:r>
        <w:t>21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_Toc530554788 \h </w:instrText>
      </w:r>
      <w:r>
        <w:fldChar w:fldCharType="separate"/>
      </w:r>
      <w:r>
        <w:t>22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Provision on plan etc. overrides regulations as to easements</w:t>
      </w:r>
      <w:r>
        <w:tab/>
      </w:r>
      <w:r>
        <w:fldChar w:fldCharType="begin"/>
      </w:r>
      <w:r>
        <w:instrText xml:space="preserve"> PAGEREF _Toc530554789 \h </w:instrText>
      </w:r>
      <w:r>
        <w:fldChar w:fldCharType="separate"/>
      </w:r>
      <w:r>
        <w:t>23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Variation or discharge of easements under s. 5D</w:t>
      </w:r>
      <w:r>
        <w:tab/>
      </w:r>
      <w:r>
        <w:fldChar w:fldCharType="begin"/>
      </w:r>
      <w:r>
        <w:instrText xml:space="preserve"> PAGEREF _Toc530554790 \h </w:instrText>
      </w:r>
      <w:r>
        <w:fldChar w:fldCharType="separate"/>
      </w:r>
      <w:r>
        <w:t>24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Easement where common ownership</w:t>
      </w:r>
      <w:r>
        <w:tab/>
      </w:r>
      <w:r>
        <w:fldChar w:fldCharType="begin"/>
      </w:r>
      <w:r>
        <w:instrText xml:space="preserve"> PAGEREF _Toc530554791 \h </w:instrText>
      </w:r>
      <w:r>
        <w:fldChar w:fldCharType="separate"/>
      </w:r>
      <w:r>
        <w:t>24</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Regulations as to easements</w:t>
      </w:r>
      <w:r>
        <w:tab/>
      </w:r>
      <w:r>
        <w:fldChar w:fldCharType="begin"/>
      </w:r>
      <w:r>
        <w:instrText xml:space="preserve"> PAGEREF _Toc530554792 \h </w:instrText>
      </w:r>
      <w:r>
        <w:fldChar w:fldCharType="separate"/>
      </w:r>
      <w:r>
        <w:t>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_Toc530554793 \h </w:instrText>
      </w:r>
      <w:r>
        <w:fldChar w:fldCharType="separate"/>
      </w:r>
      <w:r>
        <w:t>26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Restrictions relating to retired persons</w:t>
      </w:r>
      <w:r>
        <w:tab/>
      </w:r>
      <w:r>
        <w:fldChar w:fldCharType="begin"/>
      </w:r>
      <w:r>
        <w:instrText xml:space="preserve"> PAGEREF _Toc530554794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Structural erections, alterations and extensions restricted, strata schemes</w:t>
      </w:r>
      <w:r>
        <w:tab/>
      </w:r>
      <w:r>
        <w:fldChar w:fldCharType="begin"/>
      </w:r>
      <w:r>
        <w:instrText xml:space="preserve"> PAGEREF _Toc530554795 \h </w:instrText>
      </w:r>
      <w:r>
        <w:fldChar w:fldCharType="separate"/>
      </w:r>
      <w:r>
        <w:t>27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_Toc530554796 \h </w:instrText>
      </w:r>
      <w:r>
        <w:fldChar w:fldCharType="separate"/>
      </w:r>
      <w:r>
        <w:t>29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Further provisions as to approvals for purposes of s. 7 and 7A</w:t>
      </w:r>
      <w:r>
        <w:tab/>
      </w:r>
      <w:r>
        <w:fldChar w:fldCharType="begin"/>
      </w:r>
      <w:r>
        <w:instrText xml:space="preserve"> PAGEREF _Toc530554797 \h </w:instrText>
      </w:r>
      <w:r>
        <w:fldChar w:fldCharType="separate"/>
      </w:r>
      <w:r>
        <w:t>30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w:t>
      </w:r>
      <w:r>
        <w:rPr>
          <w:snapToGrid w:val="0"/>
        </w:rPr>
        <w:noBreakHyphen/>
        <w:t>subdivision within a scheme</w:t>
      </w:r>
      <w:r>
        <w:tab/>
      </w:r>
      <w:r>
        <w:fldChar w:fldCharType="begin"/>
      </w:r>
      <w:r>
        <w:instrText xml:space="preserve"> PAGEREF _Toc530554798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_Toc530554799 \h </w:instrText>
      </w:r>
      <w:r>
        <w:fldChar w:fldCharType="separate"/>
      </w:r>
      <w:r>
        <w:t>32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Transfers etc. to give effect to plan</w:t>
      </w:r>
      <w:r>
        <w:tab/>
      </w:r>
      <w:r>
        <w:fldChar w:fldCharType="begin"/>
      </w:r>
      <w:r>
        <w:instrText xml:space="preserve"> PAGEREF _Toc530554800 \h </w:instrText>
      </w:r>
      <w:r>
        <w:fldChar w:fldCharType="separate"/>
      </w:r>
      <w:r>
        <w:t>34</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_Toc530554801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Consolidation of lots</w:t>
      </w:r>
      <w:r>
        <w:tab/>
      </w:r>
      <w:r>
        <w:fldChar w:fldCharType="begin"/>
      </w:r>
      <w:r>
        <w:instrText xml:space="preserve"> PAGEREF _Toc530554802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lots into common property</w:t>
      </w:r>
      <w:r>
        <w:tab/>
      </w:r>
      <w:r>
        <w:fldChar w:fldCharType="begin"/>
      </w:r>
      <w:r>
        <w:instrText xml:space="preserve"> PAGEREF _Toc530554803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Support and services</w:t>
      </w:r>
      <w:r>
        <w:tab/>
      </w:r>
      <w:r>
        <w:fldChar w:fldCharType="begin"/>
      </w:r>
      <w:r>
        <w:instrText xml:space="preserve"> PAGEREF _Toc530554804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Shelter</w:t>
      </w:r>
      <w:r>
        <w:tab/>
      </w:r>
      <w:r>
        <w:fldChar w:fldCharType="begin"/>
      </w:r>
      <w:r>
        <w:instrText xml:space="preserve"> PAGEREF _Toc530554805 \h </w:instrText>
      </w:r>
      <w:r>
        <w:fldChar w:fldCharType="separate"/>
      </w:r>
      <w:r>
        <w:t>39</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Access for maintenance where part of building intrudes into another lot</w:t>
      </w:r>
      <w:r>
        <w:tab/>
      </w:r>
      <w:r>
        <w:fldChar w:fldCharType="begin"/>
      </w:r>
      <w:r>
        <w:instrText xml:space="preserve"> PAGEREF _Toc530554806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Ancillary rights</w:t>
      </w:r>
      <w:r>
        <w:tab/>
      </w:r>
      <w:r>
        <w:fldChar w:fldCharType="begin"/>
      </w:r>
      <w:r>
        <w:instrText xml:space="preserve"> PAGEREF _Toc530554807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Unit entitlement of lots</w:t>
      </w:r>
      <w:r>
        <w:tab/>
      </w:r>
      <w:r>
        <w:fldChar w:fldCharType="begin"/>
      </w:r>
      <w:r>
        <w:instrText xml:space="preserve"> PAGEREF _Toc530554808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_Toc530554809 \h </w:instrText>
      </w:r>
      <w:r>
        <w:fldChar w:fldCharType="separate"/>
      </w:r>
      <w:r>
        <w:t>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Reallocation of unit entitlement by SAT</w:t>
      </w:r>
      <w:r>
        <w:tab/>
      </w:r>
      <w:r>
        <w:fldChar w:fldCharType="begin"/>
      </w:r>
      <w:r>
        <w:instrText xml:space="preserve"> PAGEREF _Toc530554810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Common property</w:t>
      </w:r>
    </w:p>
    <w:p>
      <w:pPr>
        <w:pStyle w:val="TOC8"/>
        <w:rPr>
          <w:rFonts w:asciiTheme="minorHAnsi" w:eastAsiaTheme="minorEastAsia" w:hAnsiTheme="minorHAnsi" w:cstheme="minorBidi"/>
          <w:szCs w:val="22"/>
        </w:rPr>
      </w:pPr>
      <w:r>
        <w:t>17</w:t>
      </w:r>
      <w:r>
        <w:rPr>
          <w:snapToGrid w:val="0"/>
        </w:rPr>
        <w:t>.</w:t>
      </w:r>
      <w:r>
        <w:rPr>
          <w:snapToGrid w:val="0"/>
        </w:rPr>
        <w:tab/>
        <w:t>Ownership of common property</w:t>
      </w:r>
      <w:r>
        <w:tab/>
      </w:r>
      <w:r>
        <w:fldChar w:fldCharType="begin"/>
      </w:r>
      <w:r>
        <w:instrText xml:space="preserve"> PAGEREF _Toc530554812 \h </w:instrText>
      </w:r>
      <w:r>
        <w:fldChar w:fldCharType="separate"/>
      </w:r>
      <w:r>
        <w:t>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Acquisition of additional common property</w:t>
      </w:r>
      <w:r>
        <w:tab/>
      </w:r>
      <w:r>
        <w:fldChar w:fldCharType="begin"/>
      </w:r>
      <w:r>
        <w:instrText xml:space="preserve"> PAGEREF _Toc530554813 \h </w:instrText>
      </w:r>
      <w:r>
        <w:fldChar w:fldCharType="separate"/>
      </w:r>
      <w:r>
        <w:t>45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or lease of common property</w:t>
      </w:r>
      <w:r>
        <w:tab/>
      </w:r>
      <w:r>
        <w:fldChar w:fldCharType="begin"/>
      </w:r>
      <w:r>
        <w:instrText xml:space="preserve"> PAGEREF _Toc530554814 \h </w:instrText>
      </w:r>
      <w:r>
        <w:fldChar w:fldCharType="separate"/>
      </w:r>
      <w:r>
        <w:t>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Creation of easements and covenants</w:t>
      </w:r>
      <w:r>
        <w:tab/>
      </w:r>
      <w:r>
        <w:fldChar w:fldCharType="begin"/>
      </w:r>
      <w:r>
        <w:instrText xml:space="preserve"> PAGEREF _Toc530554815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Encroachments treated as common property</w:t>
      </w:r>
      <w:r>
        <w:tab/>
      </w:r>
      <w:r>
        <w:fldChar w:fldCharType="begin"/>
      </w:r>
      <w:r>
        <w:instrText xml:space="preserve"> PAGEREF _Toc530554816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_Toc530554819 \h </w:instrText>
      </w:r>
      <w:r>
        <w:fldChar w:fldCharType="separate"/>
      </w:r>
      <w:r>
        <w:t>52</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_Toc530554820 \h </w:instrText>
      </w:r>
      <w:r>
        <w:fldChar w:fldCharType="separate"/>
      </w:r>
      <w:r>
        <w:t>52</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_Toc530554821 \h </w:instrText>
      </w:r>
      <w:r>
        <w:fldChar w:fldCharType="separate"/>
      </w:r>
      <w:r>
        <w:t>52</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_Toc530554822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_Toc530554824 \h </w:instrText>
      </w:r>
      <w:r>
        <w:fldChar w:fldCharType="separate"/>
      </w:r>
      <w:r>
        <w:t>53</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_Toc530554825 \h </w:instrText>
      </w:r>
      <w:r>
        <w:fldChar w:fldCharType="separate"/>
      </w:r>
      <w:r>
        <w:t>53</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Lodgement of notice of resolution for registration</w:t>
      </w:r>
      <w:r>
        <w:tab/>
      </w:r>
      <w:r>
        <w:fldChar w:fldCharType="begin"/>
      </w:r>
      <w:r>
        <w:instrText xml:space="preserve"> PAGEREF _Toc530554826 \h </w:instrText>
      </w:r>
      <w:r>
        <w:fldChar w:fldCharType="separate"/>
      </w:r>
      <w:r>
        <w:t>53</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_Toc530554827 \h </w:instrText>
      </w:r>
      <w:r>
        <w:fldChar w:fldCharType="separate"/>
      </w:r>
      <w:r>
        <w:t>54</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_Toc530554828 \h </w:instrText>
      </w:r>
      <w:r>
        <w:fldChar w:fldCharType="separate"/>
      </w:r>
      <w:r>
        <w:t>54</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_Toc530554829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Automatic merger of buildings that are common property</w:t>
      </w:r>
    </w:p>
    <w:p>
      <w:pPr>
        <w:pStyle w:val="TOC8"/>
        <w:rPr>
          <w:rFonts w:asciiTheme="minorHAnsi" w:eastAsiaTheme="minorEastAsia" w:hAnsiTheme="minorHAnsi" w:cstheme="minorBidi"/>
          <w:szCs w:val="22"/>
        </w:rPr>
      </w:pPr>
      <w:r>
        <w:t>21K</w:t>
      </w:r>
      <w:r>
        <w:rPr>
          <w:snapToGrid w:val="0"/>
        </w:rPr>
        <w:t>.</w:t>
      </w:r>
      <w:r>
        <w:rPr>
          <w:snapToGrid w:val="0"/>
        </w:rPr>
        <w:tab/>
        <w:t>Terms used</w:t>
      </w:r>
      <w:r>
        <w:tab/>
      </w:r>
      <w:r>
        <w:fldChar w:fldCharType="begin"/>
      </w:r>
      <w:r>
        <w:instrText xml:space="preserve"> PAGEREF _Toc530554831 \h </w:instrText>
      </w:r>
      <w:r>
        <w:fldChar w:fldCharType="separate"/>
      </w:r>
      <w:r>
        <w:t>55</w:t>
      </w:r>
      <w:r>
        <w:fldChar w:fldCharType="end"/>
      </w:r>
    </w:p>
    <w:p>
      <w:pPr>
        <w:pStyle w:val="TOC8"/>
        <w:rPr>
          <w:rFonts w:asciiTheme="minorHAnsi" w:eastAsiaTheme="minorEastAsia" w:hAnsiTheme="minorHAnsi" w:cstheme="minorBidi"/>
          <w:szCs w:val="22"/>
        </w:rPr>
      </w:pPr>
      <w:r>
        <w:t>21L</w:t>
      </w:r>
      <w:r>
        <w:rPr>
          <w:snapToGrid w:val="0"/>
        </w:rPr>
        <w:t>.</w:t>
      </w:r>
      <w:r>
        <w:rPr>
          <w:snapToGrid w:val="0"/>
        </w:rPr>
        <w:tab/>
        <w:t>Application of this Subdivision</w:t>
      </w:r>
      <w:r>
        <w:tab/>
      </w:r>
      <w:r>
        <w:fldChar w:fldCharType="begin"/>
      </w:r>
      <w:r>
        <w:instrText xml:space="preserve"> PAGEREF _Toc530554832 \h </w:instrText>
      </w:r>
      <w:r>
        <w:fldChar w:fldCharType="separate"/>
      </w:r>
      <w:r>
        <w:t>55</w:t>
      </w:r>
      <w:r>
        <w:fldChar w:fldCharType="end"/>
      </w:r>
    </w:p>
    <w:p>
      <w:pPr>
        <w:pStyle w:val="TOC8"/>
        <w:rPr>
          <w:rFonts w:asciiTheme="minorHAnsi" w:eastAsiaTheme="minorEastAsia" w:hAnsiTheme="minorHAnsi" w:cstheme="minorBidi"/>
          <w:szCs w:val="22"/>
        </w:rPr>
      </w:pPr>
      <w:r>
        <w:t>21M</w:t>
      </w:r>
      <w:r>
        <w:rPr>
          <w:snapToGrid w:val="0"/>
        </w:rPr>
        <w:t>.</w:t>
      </w:r>
      <w:r>
        <w:rPr>
          <w:snapToGrid w:val="0"/>
        </w:rPr>
        <w:tab/>
        <w:t>Automatic application of lot boundaries under s. 3AB</w:t>
      </w:r>
      <w:r>
        <w:tab/>
      </w:r>
      <w:r>
        <w:fldChar w:fldCharType="begin"/>
      </w:r>
      <w:r>
        <w:instrText xml:space="preserve"> PAGEREF _Toc530554833 \h </w:instrText>
      </w:r>
      <w:r>
        <w:fldChar w:fldCharType="separate"/>
      </w:r>
      <w:r>
        <w:t>56</w:t>
      </w:r>
      <w:r>
        <w:fldChar w:fldCharType="end"/>
      </w:r>
    </w:p>
    <w:p>
      <w:pPr>
        <w:pStyle w:val="TOC8"/>
        <w:rPr>
          <w:rFonts w:asciiTheme="minorHAnsi" w:eastAsiaTheme="minorEastAsia" w:hAnsiTheme="minorHAnsi" w:cstheme="minorBidi"/>
          <w:szCs w:val="22"/>
        </w:rPr>
      </w:pPr>
      <w:r>
        <w:t>21N</w:t>
      </w:r>
      <w:r>
        <w:rPr>
          <w:snapToGrid w:val="0"/>
        </w:rPr>
        <w:t>.</w:t>
      </w:r>
      <w:r>
        <w:rPr>
          <w:snapToGrid w:val="0"/>
        </w:rPr>
        <w:tab/>
        <w:t>Plan to be noted</w:t>
      </w:r>
      <w:r>
        <w:tab/>
      </w:r>
      <w:r>
        <w:fldChar w:fldCharType="begin"/>
      </w:r>
      <w:r>
        <w:instrText xml:space="preserve"> PAGEREF _Toc530554834 \h </w:instrText>
      </w:r>
      <w:r>
        <w:fldChar w:fldCharType="separate"/>
      </w:r>
      <w:r>
        <w:t>56</w:t>
      </w:r>
      <w:r>
        <w:fldChar w:fldCharType="end"/>
      </w:r>
    </w:p>
    <w:p>
      <w:pPr>
        <w:pStyle w:val="TOC8"/>
        <w:rPr>
          <w:rFonts w:asciiTheme="minorHAnsi" w:eastAsiaTheme="minorEastAsia" w:hAnsiTheme="minorHAnsi" w:cstheme="minorBidi"/>
          <w:szCs w:val="22"/>
        </w:rPr>
      </w:pPr>
      <w:r>
        <w:t>21O</w:t>
      </w:r>
      <w:r>
        <w:rPr>
          <w:snapToGrid w:val="0"/>
        </w:rPr>
        <w:t>.</w:t>
      </w:r>
      <w:r>
        <w:rPr>
          <w:snapToGrid w:val="0"/>
        </w:rPr>
        <w:tab/>
        <w:t>Objection by proprietor</w:t>
      </w:r>
      <w:r>
        <w:tab/>
      </w:r>
      <w:r>
        <w:fldChar w:fldCharType="begin"/>
      </w:r>
      <w:r>
        <w:instrText xml:space="preserve"> PAGEREF _Toc530554835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_Toc530554837 \h </w:instrText>
      </w:r>
      <w:r>
        <w:fldChar w:fldCharType="separate"/>
      </w:r>
      <w:r>
        <w:t>57</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_Toc530554838 \h </w:instrText>
      </w:r>
      <w:r>
        <w:fldChar w:fldCharType="separate"/>
      </w:r>
      <w:r>
        <w:t>57</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_Toc530554839 \h </w:instrText>
      </w:r>
      <w:r>
        <w:fldChar w:fldCharType="separate"/>
      </w:r>
      <w:r>
        <w:t>58</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_Toc530554840 \h </w:instrText>
      </w:r>
      <w:r>
        <w:fldChar w:fldCharType="separate"/>
      </w:r>
      <w:r>
        <w:t>58</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_Toc530554841 \h </w:instrText>
      </w:r>
      <w:r>
        <w:fldChar w:fldCharType="separate"/>
      </w:r>
      <w:r>
        <w:t>59</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_Toc530554842 \h </w:instrText>
      </w:r>
      <w:r>
        <w:fldChar w:fldCharType="separate"/>
      </w:r>
      <w:r>
        <w:t>60</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_Toc530554843 \h </w:instrText>
      </w:r>
      <w:r>
        <w:fldChar w:fldCharType="separate"/>
      </w:r>
      <w:r>
        <w:t>62</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_Toc530554844 \h </w:instrText>
      </w:r>
      <w:r>
        <w:fldChar w:fldCharType="separate"/>
      </w:r>
      <w:r>
        <w:t>62</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_Toc530554845 \h </w:instrText>
      </w:r>
      <w:r>
        <w:fldChar w:fldCharType="separate"/>
      </w:r>
      <w:r>
        <w:t>63</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_Toc530554846 \h </w:instrText>
      </w:r>
      <w:r>
        <w:fldChar w:fldCharType="separate"/>
      </w:r>
      <w:r>
        <w:t>63</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_Toc530554847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Certificates and approvals</w:t>
      </w:r>
    </w:p>
    <w:p>
      <w:pPr>
        <w:pStyle w:val="TOC8"/>
        <w:rPr>
          <w:rFonts w:asciiTheme="minorHAnsi" w:eastAsiaTheme="minorEastAsia" w:hAnsiTheme="minorHAnsi" w:cstheme="minorBidi"/>
          <w:szCs w:val="22"/>
        </w:rPr>
      </w:pPr>
      <w:r>
        <w:t>22</w:t>
      </w:r>
      <w:r>
        <w:rPr>
          <w:snapToGrid w:val="0"/>
        </w:rPr>
        <w:t>.</w:t>
      </w:r>
      <w:r>
        <w:rPr>
          <w:snapToGrid w:val="0"/>
        </w:rPr>
        <w:tab/>
        <w:t>Certificate of licensed surveyor</w:t>
      </w:r>
      <w:r>
        <w:tab/>
      </w:r>
      <w:r>
        <w:fldChar w:fldCharType="begin"/>
      </w:r>
      <w:r>
        <w:instrText xml:space="preserve"> PAGEREF _Toc530554849 \h </w:instrText>
      </w:r>
      <w:r>
        <w:fldChar w:fldCharType="separate"/>
      </w:r>
      <w:r>
        <w:t>65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_Toc530554850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Certificate of Commission</w:t>
      </w:r>
      <w:r>
        <w:tab/>
      </w:r>
      <w:r>
        <w:fldChar w:fldCharType="begin"/>
      </w:r>
      <w:r>
        <w:instrText xml:space="preserve"> PAGEREF _Toc530554851 \h </w:instrText>
      </w:r>
      <w:r>
        <w:fldChar w:fldCharType="separate"/>
      </w:r>
      <w:r>
        <w:t>67</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Commission to refer plan to other bodies in certain cases</w:t>
      </w:r>
      <w:r>
        <w:tab/>
      </w:r>
      <w:r>
        <w:fldChar w:fldCharType="begin"/>
      </w:r>
      <w:r>
        <w:instrText xml:space="preserve"> PAGEREF _Toc530554852 \h </w:instrText>
      </w:r>
      <w:r>
        <w:fldChar w:fldCharType="separate"/>
      </w:r>
      <w:r>
        <w:t>69</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_Toc530554853 \h </w:instrText>
      </w:r>
      <w:r>
        <w:fldChar w:fldCharType="separate"/>
      </w:r>
      <w:r>
        <w:t>69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local government decision</w:t>
      </w:r>
      <w:r>
        <w:tab/>
      </w:r>
      <w:r>
        <w:fldChar w:fldCharType="begin"/>
      </w:r>
      <w:r>
        <w:instrText xml:space="preserve"> PAGEREF _Toc530554854 \h </w:instrText>
      </w:r>
      <w:r>
        <w:fldChar w:fldCharType="separate"/>
      </w:r>
      <w:r>
        <w:t>70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Commission decision</w:t>
      </w:r>
      <w:r>
        <w:tab/>
      </w:r>
      <w:r>
        <w:fldChar w:fldCharType="begin"/>
      </w:r>
      <w:r>
        <w:instrText xml:space="preserve"> PAGEREF _Toc530554855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III — Variation, termination and conversion of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Variation of schemes</w:t>
      </w:r>
    </w:p>
    <w:p>
      <w:pPr>
        <w:pStyle w:val="TOC8"/>
        <w:rPr>
          <w:rFonts w:asciiTheme="minorHAnsi" w:eastAsiaTheme="minorEastAsia" w:hAnsiTheme="minorHAnsi" w:cstheme="minorBidi"/>
          <w:szCs w:val="22"/>
        </w:rPr>
      </w:pPr>
      <w:r>
        <w:t>28</w:t>
      </w:r>
      <w:r>
        <w:rPr>
          <w:snapToGrid w:val="0"/>
        </w:rPr>
        <w:t>.</w:t>
      </w:r>
      <w:r>
        <w:rPr>
          <w:snapToGrid w:val="0"/>
        </w:rPr>
        <w:tab/>
        <w:t>Variation of strata scheme upon damage or destruction of building</w:t>
      </w:r>
      <w:r>
        <w:tab/>
      </w:r>
      <w:r>
        <w:fldChar w:fldCharType="begin"/>
      </w:r>
      <w:r>
        <w:instrText xml:space="preserve"> PAGEREF _Toc530554858 \h </w:instrText>
      </w:r>
      <w:r>
        <w:fldChar w:fldCharType="separate"/>
      </w:r>
      <w:r>
        <w:t>74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Variation of strata scheme upon taking</w:t>
      </w:r>
      <w:r>
        <w:tab/>
      </w:r>
      <w:r>
        <w:fldChar w:fldCharType="begin"/>
      </w:r>
      <w:r>
        <w:instrText xml:space="preserve"> PAGEREF _Toc530554859 \h </w:instrText>
      </w:r>
      <w:r>
        <w:fldChar w:fldCharType="separate"/>
      </w:r>
      <w:r>
        <w:t>76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_Toc530554860 \h </w:instrText>
      </w:r>
      <w:r>
        <w:fldChar w:fldCharType="separate"/>
      </w:r>
      <w:r>
        <w:t>76</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Lodgement of documents with Registrar following partial taking in strata scheme</w:t>
      </w:r>
      <w:r>
        <w:tab/>
      </w:r>
      <w:r>
        <w:fldChar w:fldCharType="begin"/>
      </w:r>
      <w:r>
        <w:instrText xml:space="preserve"> PAGEREF _Toc530554861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Termination of schemes</w:t>
      </w:r>
    </w:p>
    <w:p>
      <w:pPr>
        <w:pStyle w:val="TOC8"/>
        <w:rPr>
          <w:rFonts w:asciiTheme="minorHAnsi" w:eastAsiaTheme="minorEastAsia" w:hAnsiTheme="minorHAnsi" w:cstheme="minorBidi"/>
          <w:szCs w:val="22"/>
        </w:rPr>
      </w:pPr>
      <w:r>
        <w:t>29C</w:t>
      </w:r>
      <w:r>
        <w:rPr>
          <w:snapToGrid w:val="0"/>
        </w:rPr>
        <w:t>.</w:t>
      </w:r>
      <w:r>
        <w:rPr>
          <w:snapToGrid w:val="0"/>
        </w:rPr>
        <w:tab/>
        <w:t>Termination of scheme by resumption</w:t>
      </w:r>
      <w:r>
        <w:tab/>
      </w:r>
      <w:r>
        <w:fldChar w:fldCharType="begin"/>
      </w:r>
      <w:r>
        <w:instrText xml:space="preserve"> PAGEREF _Toc530554863 \h </w:instrText>
      </w:r>
      <w:r>
        <w:fldChar w:fldCharType="separate"/>
      </w:r>
      <w:r>
        <w:t>78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strata scheme by unanimous resolution</w:t>
      </w:r>
      <w:r>
        <w:tab/>
      </w:r>
      <w:r>
        <w:fldChar w:fldCharType="begin"/>
      </w:r>
      <w:r>
        <w:instrText xml:space="preserve"> PAGEREF _Toc530554864 \h </w:instrText>
      </w:r>
      <w:r>
        <w:fldChar w:fldCharType="separate"/>
      </w:r>
      <w:r>
        <w:t>79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_Toc530554865 \h </w:instrText>
      </w:r>
      <w:r>
        <w:fldChar w:fldCharType="separate"/>
      </w:r>
      <w:r>
        <w:t>80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Termination of scheme by order of District Court</w:t>
      </w:r>
      <w:r>
        <w:tab/>
      </w:r>
      <w:r>
        <w:fldChar w:fldCharType="begin"/>
      </w:r>
      <w:r>
        <w:instrText xml:space="preserve"> PAGEREF _Toc530554866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_Toc530554868 \h </w:instrText>
      </w:r>
      <w:r>
        <w:fldChar w:fldCharType="separate"/>
      </w:r>
      <w:r>
        <w:t>83</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_Toc530554869 \h </w:instrText>
      </w:r>
      <w:r>
        <w:fldChar w:fldCharType="separate"/>
      </w:r>
      <w:r>
        <w:t>84</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_Toc530554870 \h </w:instrText>
      </w:r>
      <w:r>
        <w:fldChar w:fldCharType="separate"/>
      </w:r>
      <w:r>
        <w:t>84</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_Toc530554871 \h </w:instrText>
      </w:r>
      <w:r>
        <w:fldChar w:fldCharType="separate"/>
      </w:r>
      <w:r>
        <w:t>84</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_Toc530554872 \h </w:instrText>
      </w:r>
      <w:r>
        <w:fldChar w:fldCharType="separate"/>
      </w:r>
      <w:r>
        <w:t>85</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_Toc530554873 \h </w:instrText>
      </w:r>
      <w:r>
        <w:fldChar w:fldCharType="separate"/>
      </w:r>
      <w:r>
        <w:t>86</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_Toc530554874 \h </w:instrText>
      </w:r>
      <w:r>
        <w:fldChar w:fldCharType="separate"/>
      </w:r>
      <w:r>
        <w:t>87</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_Toc530554875 \h </w:instrText>
      </w:r>
      <w:r>
        <w:fldChar w:fldCharType="separate"/>
      </w:r>
      <w:r>
        <w:t>88</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_Toc530554876 \h </w:instrText>
      </w:r>
      <w:r>
        <w:fldChar w:fldCharType="separate"/>
      </w:r>
      <w:r>
        <w:t>88</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_Toc530554877 \h </w:instrText>
      </w:r>
      <w:r>
        <w:fldChar w:fldCharType="separate"/>
      </w:r>
      <w:r>
        <w:t>88</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_Toc530554878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Strata companies</w:t>
      </w:r>
    </w:p>
    <w:p>
      <w:pPr>
        <w:pStyle w:val="TOC8"/>
        <w:rPr>
          <w:rFonts w:asciiTheme="minorHAnsi" w:eastAsiaTheme="minorEastAsia" w:hAnsiTheme="minorHAnsi" w:cstheme="minorBidi"/>
          <w:szCs w:val="22"/>
        </w:rPr>
      </w:pPr>
      <w:r>
        <w:t>32</w:t>
      </w:r>
      <w:r>
        <w:rPr>
          <w:snapToGrid w:val="0"/>
        </w:rPr>
        <w:t>.</w:t>
      </w:r>
      <w:r>
        <w:rPr>
          <w:snapToGrid w:val="0"/>
        </w:rPr>
        <w:tab/>
        <w:t>Incorporation of proprietors</w:t>
      </w:r>
      <w:r>
        <w:tab/>
      </w:r>
      <w:r>
        <w:fldChar w:fldCharType="begin"/>
      </w:r>
      <w:r>
        <w:instrText xml:space="preserve"> PAGEREF _Toc530554881 \h </w:instrText>
      </w:r>
      <w:r>
        <w:fldChar w:fldCharType="separate"/>
      </w:r>
      <w:r>
        <w:t>91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Strata company is representative of proprietors in proceedings</w:t>
      </w:r>
      <w:r>
        <w:tab/>
      </w:r>
      <w:r>
        <w:fldChar w:fldCharType="begin"/>
      </w:r>
      <w:r>
        <w:instrText xml:space="preserve"> PAGEREF _Toc530554882 \h </w:instrText>
      </w:r>
      <w:r>
        <w:fldChar w:fldCharType="separate"/>
      </w:r>
      <w:r>
        <w:t>92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 formalities</w:t>
      </w:r>
      <w:r>
        <w:tab/>
      </w:r>
      <w:r>
        <w:fldChar w:fldCharType="begin"/>
      </w:r>
      <w:r>
        <w:instrText xml:space="preserve"> PAGEREF _Toc530554883 \h </w:instrText>
      </w:r>
      <w:r>
        <w:fldChar w:fldCharType="separate"/>
      </w:r>
      <w:r>
        <w:t>92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strata companies</w:t>
      </w:r>
      <w:r>
        <w:tab/>
      </w:r>
      <w:r>
        <w:fldChar w:fldCharType="begin"/>
      </w:r>
      <w:r>
        <w:instrText xml:space="preserve"> PAGEREF _Toc530554884 \h </w:instrText>
      </w:r>
      <w:r>
        <w:fldChar w:fldCharType="separate"/>
      </w:r>
      <w:r>
        <w:t>93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Roll to be kept by strata company</w:t>
      </w:r>
      <w:r>
        <w:tab/>
      </w:r>
      <w:r>
        <w:fldChar w:fldCharType="begin"/>
      </w:r>
      <w:r>
        <w:instrText xml:space="preserve"> PAGEREF _Toc530554885 \h </w:instrText>
      </w:r>
      <w:r>
        <w:fldChar w:fldCharType="separate"/>
      </w:r>
      <w:r>
        <w:t>95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Levy of contributions on proprietors</w:t>
      </w:r>
      <w:r>
        <w:tab/>
      </w:r>
      <w:r>
        <w:fldChar w:fldCharType="begin"/>
      </w:r>
      <w:r>
        <w:instrText xml:space="preserve"> PAGEREF _Toc530554886 \h </w:instrText>
      </w:r>
      <w:r>
        <w:fldChar w:fldCharType="separate"/>
      </w:r>
      <w:r>
        <w:t>96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_Toc530554887 \h </w:instrText>
      </w:r>
      <w:r>
        <w:fldChar w:fldCharType="separate"/>
      </w:r>
      <w:r>
        <w:t>98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provisions may be excluded for 3, 4 or 5 lot schemes</w:t>
      </w:r>
      <w:r>
        <w:tab/>
      </w:r>
      <w:r>
        <w:fldChar w:fldCharType="begin"/>
      </w:r>
      <w:r>
        <w:instrText xml:space="preserve"> PAGEREF _Toc530554888 \h </w:instrText>
      </w:r>
      <w:r>
        <w:fldChar w:fldCharType="separate"/>
      </w:r>
      <w:r>
        <w:t>99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strata company</w:t>
      </w:r>
      <w:r>
        <w:tab/>
      </w:r>
      <w:r>
        <w:fldChar w:fldCharType="begin"/>
      </w:r>
      <w:r>
        <w:instrText xml:space="preserve"> PAGEREF _Toc530554889 \h </w:instrText>
      </w:r>
      <w:r>
        <w:fldChar w:fldCharType="separate"/>
      </w:r>
      <w:r>
        <w:t>100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of strata company to carry out work</w:t>
      </w:r>
      <w:r>
        <w:tab/>
      </w:r>
      <w:r>
        <w:fldChar w:fldCharType="begin"/>
      </w:r>
      <w:r>
        <w:instrText xml:space="preserve"> PAGEREF _Toc530554890 \h </w:instrText>
      </w:r>
      <w:r>
        <w:fldChar w:fldCharType="separate"/>
      </w:r>
      <w:r>
        <w:t>101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of strata company to enter</w:t>
      </w:r>
      <w:r>
        <w:tab/>
      </w:r>
      <w:r>
        <w:fldChar w:fldCharType="begin"/>
      </w:r>
      <w:r>
        <w:instrText xml:space="preserve"> PAGEREF _Toc530554891 \h </w:instrText>
      </w:r>
      <w:r>
        <w:fldChar w:fldCharType="separate"/>
      </w:r>
      <w:r>
        <w:t>102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Power to terminate certain contracts for services</w:t>
      </w:r>
      <w:r>
        <w:tab/>
      </w:r>
      <w:r>
        <w:fldChar w:fldCharType="begin"/>
      </w:r>
      <w:r>
        <w:instrText xml:space="preserve"> PAGEREF _Toc530554892 \h </w:instrText>
      </w:r>
      <w:r>
        <w:fldChar w:fldCharType="separate"/>
      </w:r>
      <w:r>
        <w:t>103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Change of strata company’s address for service</w:t>
      </w:r>
      <w:r>
        <w:tab/>
      </w:r>
      <w:r>
        <w:fldChar w:fldCharType="begin"/>
      </w:r>
      <w:r>
        <w:instrText xml:space="preserve"> PAGEREF _Toc530554893 \h </w:instrText>
      </w:r>
      <w:r>
        <w:fldChar w:fldCharType="separate"/>
      </w:r>
      <w:r>
        <w:t>104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 of name of strata company</w:t>
      </w:r>
      <w:r>
        <w:tab/>
      </w:r>
      <w:r>
        <w:fldChar w:fldCharType="begin"/>
      </w:r>
      <w:r>
        <w:instrText xml:space="preserve"> PAGEREF _Toc530554894 \h </w:instrText>
      </w:r>
      <w:r>
        <w:fldChar w:fldCharType="separate"/>
      </w:r>
      <w:r>
        <w:t>105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By</w:t>
      </w:r>
      <w:r>
        <w:rPr>
          <w:snapToGrid w:val="0"/>
        </w:rPr>
        <w:noBreakHyphen/>
        <w:t>laws</w:t>
      </w:r>
      <w:r>
        <w:tab/>
      </w:r>
      <w:r>
        <w:fldChar w:fldCharType="begin"/>
      </w:r>
      <w:r>
        <w:instrText xml:space="preserve"> PAGEREF _Toc530554895 \h </w:instrText>
      </w:r>
      <w:r>
        <w:fldChar w:fldCharType="separate"/>
      </w:r>
      <w:r>
        <w:t>106</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_Toc530554896 \h </w:instrText>
      </w:r>
      <w:r>
        <w:fldChar w:fldCharType="separate"/>
      </w:r>
      <w:r>
        <w:t>111</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_Toc530554897 \h </w:instrText>
      </w:r>
      <w:r>
        <w:fldChar w:fldCharType="separate"/>
      </w:r>
      <w:r>
        <w:t>111</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Transitional provision</w:t>
      </w:r>
      <w:r>
        <w:tab/>
      </w:r>
      <w:r>
        <w:fldChar w:fldCharType="begin"/>
      </w:r>
      <w:r>
        <w:instrText xml:space="preserve"> PAGEREF _Toc530554898 \h </w:instrText>
      </w:r>
      <w:r>
        <w:fldChar w:fldCharType="separate"/>
      </w:r>
      <w:r>
        <w:t>111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Supply of information and certificates by strata company</w:t>
      </w:r>
      <w:r>
        <w:tab/>
      </w:r>
      <w:r>
        <w:fldChar w:fldCharType="begin"/>
      </w:r>
      <w:r>
        <w:instrText xml:space="preserve"> PAGEREF _Toc530554899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Councils</w:t>
      </w:r>
    </w:p>
    <w:p>
      <w:pPr>
        <w:pStyle w:val="TOC8"/>
        <w:rPr>
          <w:rFonts w:asciiTheme="minorHAnsi" w:eastAsiaTheme="minorEastAsia" w:hAnsiTheme="minorHAnsi" w:cstheme="minorBidi"/>
          <w:szCs w:val="22"/>
        </w:rPr>
      </w:pPr>
      <w:r>
        <w:t>44</w:t>
      </w:r>
      <w:r>
        <w:rPr>
          <w:snapToGrid w:val="0"/>
        </w:rPr>
        <w:t>.</w:t>
      </w:r>
      <w:r>
        <w:rPr>
          <w:snapToGrid w:val="0"/>
        </w:rPr>
        <w:tab/>
        <w:t>Functions of councils</w:t>
      </w:r>
      <w:r>
        <w:tab/>
      </w:r>
      <w:r>
        <w:fldChar w:fldCharType="begin"/>
      </w:r>
      <w:r>
        <w:instrText xml:space="preserve"> PAGEREF _Toc530554901 \h </w:instrText>
      </w:r>
      <w:r>
        <w:fldChar w:fldCharType="separate"/>
      </w:r>
      <w:r>
        <w:t>115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Corporate body may be chairman, secretary, treasurer or council member</w:t>
      </w:r>
      <w:r>
        <w:tab/>
      </w:r>
      <w:r>
        <w:fldChar w:fldCharType="begin"/>
      </w:r>
      <w:r>
        <w:instrText xml:space="preserve"> PAGEREF _Toc530554902 \h </w:instrText>
      </w:r>
      <w:r>
        <w:fldChar w:fldCharType="separate"/>
      </w:r>
      <w:r>
        <w:t>116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Performance of functions where no council or no quorum</w:t>
      </w:r>
      <w:r>
        <w:tab/>
      </w:r>
      <w:r>
        <w:fldChar w:fldCharType="begin"/>
      </w:r>
      <w:r>
        <w:instrText xml:space="preserve"> PAGEREF _Toc530554903 \h </w:instrText>
      </w:r>
      <w:r>
        <w:fldChar w:fldCharType="separate"/>
      </w:r>
      <w:r>
        <w:t>116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Restrictions on powers of expenditure</w:t>
      </w:r>
      <w:r>
        <w:tab/>
      </w:r>
      <w:r>
        <w:fldChar w:fldCharType="begin"/>
      </w:r>
      <w:r>
        <w:instrText xml:space="preserve"> PAGEREF _Toc530554904 \h </w:instrText>
      </w:r>
      <w:r>
        <w:fldChar w:fldCharType="separate"/>
      </w:r>
      <w:r>
        <w:t>116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books and records by council</w:t>
      </w:r>
      <w:r>
        <w:tab/>
      </w:r>
      <w:r>
        <w:fldChar w:fldCharType="begin"/>
      </w:r>
      <w:r>
        <w:instrText xml:space="preserve"> PAGEREF _Toc530554905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Meetings</w:t>
      </w:r>
    </w:p>
    <w:p>
      <w:pPr>
        <w:pStyle w:val="TOC8"/>
        <w:rPr>
          <w:rFonts w:asciiTheme="minorHAnsi" w:eastAsiaTheme="minorEastAsia" w:hAnsiTheme="minorHAnsi" w:cstheme="minorBidi"/>
          <w:szCs w:val="22"/>
        </w:rPr>
      </w:pPr>
      <w:r>
        <w:t>49</w:t>
      </w:r>
      <w:r>
        <w:rPr>
          <w:snapToGrid w:val="0"/>
        </w:rPr>
        <w:t>.</w:t>
      </w:r>
      <w:r>
        <w:rPr>
          <w:snapToGrid w:val="0"/>
        </w:rPr>
        <w:tab/>
        <w:t>First annual general meeting</w:t>
      </w:r>
      <w:r>
        <w:tab/>
      </w:r>
      <w:r>
        <w:fldChar w:fldCharType="begin"/>
      </w:r>
      <w:r>
        <w:instrText xml:space="preserve"> PAGEREF _Toc530554907 \h </w:instrText>
      </w:r>
      <w:r>
        <w:fldChar w:fldCharType="separate"/>
      </w:r>
      <w:r>
        <w:t>119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Voting at meetings</w:t>
      </w:r>
      <w:r>
        <w:tab/>
      </w:r>
      <w:r>
        <w:fldChar w:fldCharType="begin"/>
      </w:r>
      <w:r>
        <w:instrText xml:space="preserve"> PAGEREF _Toc530554908 \h </w:instrText>
      </w:r>
      <w:r>
        <w:fldChar w:fldCharType="separate"/>
      </w:r>
      <w:r>
        <w:t>120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Disqualification from voting as proxy</w:t>
      </w:r>
      <w:r>
        <w:tab/>
      </w:r>
      <w:r>
        <w:fldChar w:fldCharType="begin"/>
      </w:r>
      <w:r>
        <w:instrText xml:space="preserve"> PAGEREF _Toc530554909 \h </w:instrText>
      </w:r>
      <w:r>
        <w:fldChar w:fldCharType="separate"/>
      </w:r>
      <w:r>
        <w:t>121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_Toc530554910 \h </w:instrText>
      </w:r>
      <w:r>
        <w:fldChar w:fldCharType="separate"/>
      </w:r>
      <w:r>
        <w:t>122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Relief where unanimous resolution or resolution without dissent required</w:t>
      </w:r>
      <w:r>
        <w:tab/>
      </w:r>
      <w:r>
        <w:fldChar w:fldCharType="begin"/>
      </w:r>
      <w:r>
        <w:instrText xml:space="preserve"> PAGEREF _Toc530554911 \h </w:instrText>
      </w:r>
      <w:r>
        <w:fldChar w:fldCharType="separate"/>
      </w:r>
      <w:r>
        <w:t>122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_Toc530554912 \h </w:instrText>
      </w:r>
      <w:r>
        <w:fldChar w:fldCharType="separate"/>
      </w:r>
      <w:r>
        <w:t>123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Performance of functions by proprietors in general meeting</w:t>
      </w:r>
      <w:r>
        <w:tab/>
      </w:r>
      <w:r>
        <w:fldChar w:fldCharType="begin"/>
      </w:r>
      <w:r>
        <w:instrText xml:space="preserve"> PAGEREF _Toc530554913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Insurance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_Toc530554916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 in single tier strata schemes</w:t>
      </w:r>
    </w:p>
    <w:p>
      <w:pPr>
        <w:pStyle w:val="TOC8"/>
        <w:rPr>
          <w:rFonts w:asciiTheme="minorHAnsi" w:eastAsiaTheme="minorEastAsia" w:hAnsiTheme="minorHAnsi" w:cstheme="minorBidi"/>
          <w:szCs w:val="22"/>
        </w:rPr>
      </w:pPr>
      <w:r>
        <w:t>53A</w:t>
      </w:r>
      <w:r>
        <w:rPr>
          <w:snapToGrid w:val="0"/>
        </w:rPr>
        <w:t>.</w:t>
      </w:r>
      <w:r>
        <w:rPr>
          <w:snapToGrid w:val="0"/>
        </w:rPr>
        <w:tab/>
        <w:t>Application of this Subdivision</w:t>
      </w:r>
      <w:r>
        <w:tab/>
      </w:r>
      <w:r>
        <w:fldChar w:fldCharType="begin"/>
      </w:r>
      <w:r>
        <w:instrText xml:space="preserve"> PAGEREF _Toc530554918 \h </w:instrText>
      </w:r>
      <w:r>
        <w:fldChar w:fldCharType="separate"/>
      </w:r>
      <w:r>
        <w:t>126</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_Toc530554919 \h </w:instrText>
      </w:r>
      <w:r>
        <w:fldChar w:fldCharType="separate"/>
      </w:r>
      <w:r>
        <w:t>126</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_Toc530554920 \h </w:instrText>
      </w:r>
      <w:r>
        <w:fldChar w:fldCharType="separate"/>
      </w:r>
      <w:r>
        <w:t>127</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_Toc530554921 \h </w:instrText>
      </w:r>
      <w:r>
        <w:fldChar w:fldCharType="separate"/>
      </w:r>
      <w:r>
        <w:t>128</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proprietor where no administrative fund in single tier strata schemes</w:t>
      </w:r>
      <w:r>
        <w:tab/>
      </w:r>
      <w:r>
        <w:fldChar w:fldCharType="begin"/>
      </w:r>
      <w:r>
        <w:instrText xml:space="preserve"> PAGEREF _Toc530554922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 in schemes other than single tier strata schemes</w:t>
      </w:r>
    </w:p>
    <w:p>
      <w:pPr>
        <w:pStyle w:val="TOC8"/>
        <w:rPr>
          <w:rFonts w:asciiTheme="minorHAnsi" w:eastAsiaTheme="minorEastAsia" w:hAnsiTheme="minorHAnsi" w:cstheme="minorBidi"/>
          <w:szCs w:val="22"/>
        </w:rPr>
      </w:pPr>
      <w:r>
        <w:t>54</w:t>
      </w:r>
      <w:r>
        <w:rPr>
          <w:snapToGrid w:val="0"/>
        </w:rPr>
        <w:t>.</w:t>
      </w:r>
      <w:r>
        <w:rPr>
          <w:snapToGrid w:val="0"/>
        </w:rPr>
        <w:tab/>
        <w:t>Insurance of buildings and strata companies</w:t>
      </w:r>
      <w:r>
        <w:tab/>
      </w:r>
      <w:r>
        <w:fldChar w:fldCharType="begin"/>
      </w:r>
      <w:r>
        <w:instrText xml:space="preserve"> PAGEREF _Toc530554924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Insurance provisions applicable to all schemes</w:t>
      </w:r>
    </w:p>
    <w:p>
      <w:pPr>
        <w:pStyle w:val="TOC8"/>
        <w:rPr>
          <w:rFonts w:asciiTheme="minorHAnsi" w:eastAsiaTheme="minorEastAsia" w:hAnsiTheme="minorHAnsi" w:cstheme="minorBidi"/>
          <w:szCs w:val="22"/>
        </w:rPr>
      </w:pPr>
      <w:r>
        <w:t>54A</w:t>
      </w:r>
      <w:r>
        <w:rPr>
          <w:snapToGrid w:val="0"/>
        </w:rPr>
        <w:t>.</w:t>
      </w:r>
      <w:r>
        <w:rPr>
          <w:snapToGrid w:val="0"/>
        </w:rPr>
        <w:tab/>
        <w:t>Where insurance cover refused, proprietor may be required to take action</w:t>
      </w:r>
      <w:r>
        <w:tab/>
      </w:r>
      <w:r>
        <w:fldChar w:fldCharType="begin"/>
      </w:r>
      <w:r>
        <w:instrText xml:space="preserve"> PAGEREF _Toc530554926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Further insurance by strata company and actions by proprietor against strata company</w:t>
      </w:r>
      <w:r>
        <w:tab/>
      </w:r>
      <w:r>
        <w:fldChar w:fldCharType="begin"/>
      </w:r>
      <w:r>
        <w:instrText xml:space="preserve"> PAGEREF _Toc530554927 \h </w:instrText>
      </w:r>
      <w:r>
        <w:fldChar w:fldCharType="separate"/>
      </w:r>
      <w:r>
        <w:t>132</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Proprietor liable for increased insurance premium in certain cases</w:t>
      </w:r>
      <w:r>
        <w:tab/>
      </w:r>
      <w:r>
        <w:fldChar w:fldCharType="begin"/>
      </w:r>
      <w:r>
        <w:instrText xml:space="preserve"> PAGEREF _Toc530554928 \h </w:instrText>
      </w:r>
      <w:r>
        <w:fldChar w:fldCharType="separate"/>
      </w:r>
      <w:r>
        <w:t>133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Insurance by proprietor</w:t>
      </w:r>
      <w:r>
        <w:tab/>
      </w:r>
      <w:r>
        <w:fldChar w:fldCharType="begin"/>
      </w:r>
      <w:r>
        <w:instrText xml:space="preserve"> PAGEREF _Toc530554929 \h </w:instrText>
      </w:r>
      <w:r>
        <w:fldChar w:fldCharType="separate"/>
      </w:r>
      <w:r>
        <w:t>133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Proprietor may insure if strata company in default</w:t>
      </w:r>
      <w:r>
        <w:tab/>
      </w:r>
      <w:r>
        <w:fldChar w:fldCharType="begin"/>
      </w:r>
      <w:r>
        <w:instrText xml:space="preserve"> PAGEREF _Toc530554930 \h </w:instrText>
      </w:r>
      <w:r>
        <w:fldChar w:fldCharType="separate"/>
      </w:r>
      <w:r>
        <w:t>133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Insurance of mortgaged lot</w:t>
      </w:r>
      <w:r>
        <w:tab/>
      </w:r>
      <w:r>
        <w:fldChar w:fldCharType="begin"/>
      </w:r>
      <w:r>
        <w:instrText xml:space="preserve"> PAGEREF _Toc530554931 \h </w:instrText>
      </w:r>
      <w:r>
        <w:fldChar w:fldCharType="separate"/>
      </w:r>
      <w:r>
        <w:t>134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Insurable interest</w:t>
      </w:r>
      <w:r>
        <w:tab/>
      </w:r>
      <w:r>
        <w:fldChar w:fldCharType="begin"/>
      </w:r>
      <w:r>
        <w:instrText xml:space="preserve"> PAGEREF _Toc530554932 \h </w:instrText>
      </w:r>
      <w:r>
        <w:fldChar w:fldCharType="separate"/>
      </w:r>
      <w:r>
        <w:t>135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insurance moneys to rebuilding</w:t>
      </w:r>
      <w:r>
        <w:tab/>
      </w:r>
      <w:r>
        <w:fldChar w:fldCharType="begin"/>
      </w:r>
      <w:r>
        <w:instrText xml:space="preserve"> PAGEREF _Toc530554933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Rates, taxes and charges</w:t>
      </w:r>
    </w:p>
    <w:p>
      <w:pPr>
        <w:pStyle w:val="TOC8"/>
        <w:rPr>
          <w:rFonts w:asciiTheme="minorHAnsi" w:eastAsiaTheme="minorEastAsia" w:hAnsiTheme="minorHAnsi" w:cstheme="minorBidi"/>
          <w:szCs w:val="22"/>
        </w:rPr>
      </w:pPr>
      <w:r>
        <w:t>60</w:t>
      </w:r>
      <w:r>
        <w:rPr>
          <w:snapToGrid w:val="0"/>
        </w:rPr>
        <w:t>.</w:t>
      </w:r>
      <w:r>
        <w:rPr>
          <w:snapToGrid w:val="0"/>
        </w:rPr>
        <w:tab/>
        <w:t>Delivery of plans to authorities</w:t>
      </w:r>
      <w:r>
        <w:tab/>
      </w:r>
      <w:r>
        <w:fldChar w:fldCharType="begin"/>
      </w:r>
      <w:r>
        <w:instrText xml:space="preserve"> PAGEREF _Toc530554935 \h </w:instrText>
      </w:r>
      <w:r>
        <w:fldChar w:fldCharType="separate"/>
      </w:r>
      <w:r>
        <w:t>136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Particulars on plan to be conclusive for rating and taxing purposes</w:t>
      </w:r>
      <w:r>
        <w:tab/>
      </w:r>
      <w:r>
        <w:fldChar w:fldCharType="begin"/>
      </w:r>
      <w:r>
        <w:instrText xml:space="preserve"> PAGEREF _Toc530554936 \h </w:instrText>
      </w:r>
      <w:r>
        <w:fldChar w:fldCharType="separate"/>
      </w:r>
      <w:r>
        <w:t>136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Rating on unimproved value</w:t>
      </w:r>
      <w:r>
        <w:tab/>
      </w:r>
      <w:r>
        <w:fldChar w:fldCharType="begin"/>
      </w:r>
      <w:r>
        <w:instrText xml:space="preserve"> PAGEREF _Toc530554937 \h </w:instrText>
      </w:r>
      <w:r>
        <w:fldChar w:fldCharType="separate"/>
      </w:r>
      <w:r>
        <w:t>137</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_Toc530554938 \h </w:instrText>
      </w:r>
      <w:r>
        <w:fldChar w:fldCharType="separate"/>
      </w:r>
      <w:r>
        <w:t>138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Rating on gross rental value</w:t>
      </w:r>
      <w:r>
        <w:tab/>
      </w:r>
      <w:r>
        <w:fldChar w:fldCharType="begin"/>
      </w:r>
      <w:r>
        <w:instrText xml:space="preserve"> PAGEREF _Toc530554939 \h </w:instrText>
      </w:r>
      <w:r>
        <w:fldChar w:fldCharType="separate"/>
      </w:r>
      <w:r>
        <w:t>139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Proprietor may seek a review of unimproved value of parcel</w:t>
      </w:r>
      <w:r>
        <w:tab/>
      </w:r>
      <w:r>
        <w:fldChar w:fldCharType="begin"/>
      </w:r>
      <w:r>
        <w:instrText xml:space="preserve"> PAGEREF _Toc530554940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Land tax and metropolitan region improvement tax</w:t>
      </w:r>
      <w:r>
        <w:tab/>
      </w:r>
      <w:r>
        <w:fldChar w:fldCharType="begin"/>
      </w:r>
      <w:r>
        <w:instrText xml:space="preserve"> PAGEREF _Toc530554941 \h </w:instrText>
      </w:r>
      <w:r>
        <w:fldChar w:fldCharType="separate"/>
      </w:r>
      <w:r>
        <w:t>140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_Toc530554942 \h </w:instrText>
      </w:r>
      <w:r>
        <w:fldChar w:fldCharType="separate"/>
      </w:r>
      <w:r>
        <w:t>141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Charges for water supplied</w:t>
      </w:r>
      <w:r>
        <w:tab/>
      </w:r>
      <w:r>
        <w:fldChar w:fldCharType="begin"/>
      </w:r>
      <w:r>
        <w:instrText xml:space="preserve"> PAGEREF _Toc530554943 \h </w:instrText>
      </w:r>
      <w:r>
        <w:fldChar w:fldCharType="separate"/>
      </w:r>
      <w:r>
        <w:t>141</w:t>
      </w:r>
      <w:r>
        <w:fldChar w:fldCharType="end"/>
      </w:r>
    </w:p>
    <w:p>
      <w:pPr>
        <w:pStyle w:val="TOC8"/>
        <w:rPr>
          <w:rFonts w:asciiTheme="minorHAnsi" w:eastAsiaTheme="minorEastAsia" w:hAnsiTheme="minorHAnsi" w:cstheme="minorBidi"/>
          <w:szCs w:val="22"/>
        </w:rPr>
      </w:pPr>
      <w:r>
        <w:t>67.</w:t>
      </w:r>
      <w:r>
        <w:tab/>
        <w:t xml:space="preserve">Water service charges under the </w:t>
      </w:r>
      <w:r>
        <w:rPr>
          <w:i/>
          <w:iCs/>
        </w:rPr>
        <w:t>Water Services Act 2012</w:t>
      </w:r>
      <w:r>
        <w:tab/>
      </w:r>
      <w:r>
        <w:fldChar w:fldCharType="begin"/>
      </w:r>
      <w:r>
        <w:instrText xml:space="preserve"> PAGEREF _Toc530554944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Protection of purchasers</w:t>
      </w:r>
    </w:p>
    <w:p>
      <w:pPr>
        <w:pStyle w:val="TOC8"/>
        <w:rPr>
          <w:rFonts w:asciiTheme="minorHAnsi" w:eastAsiaTheme="minorEastAsia" w:hAnsiTheme="minorHAnsi" w:cstheme="minorBidi"/>
          <w:szCs w:val="22"/>
        </w:rPr>
      </w:pPr>
      <w:r>
        <w:t>68</w:t>
      </w:r>
      <w:r>
        <w:rPr>
          <w:snapToGrid w:val="0"/>
        </w:rPr>
        <w:t>.</w:t>
      </w:r>
      <w:r>
        <w:rPr>
          <w:snapToGrid w:val="0"/>
        </w:rPr>
        <w:tab/>
        <w:t>Terms used</w:t>
      </w:r>
      <w:r>
        <w:tab/>
      </w:r>
      <w:r>
        <w:fldChar w:fldCharType="begin"/>
      </w:r>
      <w:r>
        <w:instrText xml:space="preserve"> PAGEREF _Toc530554946 \h </w:instrText>
      </w:r>
      <w:r>
        <w:fldChar w:fldCharType="separate"/>
      </w:r>
      <w:r>
        <w:t>143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Information to be given to purchaser</w:t>
      </w:r>
      <w:r>
        <w:tab/>
      </w:r>
      <w:r>
        <w:fldChar w:fldCharType="begin"/>
      </w:r>
      <w:r>
        <w:instrText xml:space="preserve"> PAGEREF _Toc530554947 \h </w:instrText>
      </w:r>
      <w:r>
        <w:fldChar w:fldCharType="separate"/>
      </w:r>
      <w:r>
        <w:t>143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Notifiable information, to be given by every vendor</w:t>
      </w:r>
      <w:r>
        <w:tab/>
      </w:r>
      <w:r>
        <w:fldChar w:fldCharType="begin"/>
      </w:r>
      <w:r>
        <w:instrText xml:space="preserve"> PAGEREF _Toc530554948 \h </w:instrText>
      </w:r>
      <w:r>
        <w:fldChar w:fldCharType="separate"/>
      </w:r>
      <w:r>
        <w:t>144</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Notifiable information to be given by original proprietor in certain cases</w:t>
      </w:r>
      <w:r>
        <w:tab/>
      </w:r>
      <w:r>
        <w:fldChar w:fldCharType="begin"/>
      </w:r>
      <w:r>
        <w:instrText xml:space="preserve"> PAGEREF _Toc530554949 \h </w:instrText>
      </w:r>
      <w:r>
        <w:fldChar w:fldCharType="separate"/>
      </w:r>
      <w:r>
        <w:t>144</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Vendor to inform purchaser of full particulars of notifiable variation</w:t>
      </w:r>
      <w:r>
        <w:tab/>
      </w:r>
      <w:r>
        <w:fldChar w:fldCharType="begin"/>
      </w:r>
      <w:r>
        <w:instrText xml:space="preserve"> PAGEREF _Toc530554950 \h </w:instrText>
      </w:r>
      <w:r>
        <w:fldChar w:fldCharType="separate"/>
      </w:r>
      <w:r>
        <w:t>146</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When purchaser may avoid contract</w:t>
      </w:r>
      <w:r>
        <w:tab/>
      </w:r>
      <w:r>
        <w:fldChar w:fldCharType="begin"/>
      </w:r>
      <w:r>
        <w:instrText xml:space="preserve"> PAGEREF _Toc530554951 \h </w:instrText>
      </w:r>
      <w:r>
        <w:fldChar w:fldCharType="separate"/>
      </w:r>
      <w:r>
        <w:t>147</w:t>
      </w:r>
      <w:r>
        <w:fldChar w:fldCharType="end"/>
      </w:r>
    </w:p>
    <w:p>
      <w:pPr>
        <w:pStyle w:val="TOC8"/>
        <w:rPr>
          <w:rFonts w:asciiTheme="minorHAnsi" w:eastAsiaTheme="minorEastAsia" w:hAnsiTheme="minorHAnsi" w:cstheme="minorBidi"/>
          <w:szCs w:val="22"/>
        </w:rPr>
      </w:pPr>
      <w:r>
        <w:t>69E</w:t>
      </w:r>
      <w:r>
        <w:rPr>
          <w:snapToGrid w:val="0"/>
        </w:rPr>
        <w:t>.</w:t>
      </w:r>
      <w:r>
        <w:rPr>
          <w:snapToGrid w:val="0"/>
        </w:rPr>
        <w:tab/>
        <w:t>Effect of avoidance</w:t>
      </w:r>
      <w:r>
        <w:tab/>
      </w:r>
      <w:r>
        <w:fldChar w:fldCharType="begin"/>
      </w:r>
      <w:r>
        <w:instrText xml:space="preserve"> PAGEREF _Toc530554952 \h </w:instrText>
      </w:r>
      <w:r>
        <w:fldChar w:fldCharType="separate"/>
      </w:r>
      <w:r>
        <w:t>149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_Toc530554953 \h </w:instrText>
      </w:r>
      <w:r>
        <w:fldChar w:fldCharType="separate"/>
      </w:r>
      <w:r>
        <w:t>149</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Contracting out prohibited</w:t>
      </w:r>
      <w:r>
        <w:tab/>
      </w:r>
      <w:r>
        <w:fldChar w:fldCharType="begin"/>
      </w:r>
      <w:r>
        <w:instrText xml:space="preserve"> PAGEREF _Toc530554954 \h </w:instrText>
      </w:r>
      <w:r>
        <w:fldChar w:fldCharType="separate"/>
      </w:r>
      <w:r>
        <w:t>151</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Saving</w:t>
      </w:r>
      <w:r>
        <w:tab/>
      </w:r>
      <w:r>
        <w:fldChar w:fldCharType="begin"/>
      </w:r>
      <w:r>
        <w:instrText xml:space="preserve"> PAGEREF _Toc530554955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 — Resolution of disputes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orders</w:t>
      </w:r>
    </w:p>
    <w:p>
      <w:pPr>
        <w:pStyle w:val="TOC8"/>
        <w:rPr>
          <w:rFonts w:asciiTheme="minorHAnsi" w:eastAsiaTheme="minorEastAsia" w:hAnsiTheme="minorHAnsi" w:cstheme="minorBidi"/>
          <w:szCs w:val="22"/>
        </w:rPr>
      </w:pPr>
      <w:r>
        <w:t>77</w:t>
      </w:r>
      <w:r>
        <w:rPr>
          <w:snapToGrid w:val="0"/>
        </w:rPr>
        <w:t>.</w:t>
      </w:r>
      <w:r>
        <w:rPr>
          <w:snapToGrid w:val="0"/>
        </w:rPr>
        <w:tab/>
        <w:t>How applications are made</w:t>
      </w:r>
      <w:r>
        <w:tab/>
      </w:r>
      <w:r>
        <w:fldChar w:fldCharType="begin"/>
      </w:r>
      <w:r>
        <w:instrText xml:space="preserve"> PAGEREF _Toc530554958 \h </w:instrText>
      </w:r>
      <w:r>
        <w:fldChar w:fldCharType="separate"/>
      </w:r>
      <w:r>
        <w:t>152</w:t>
      </w:r>
      <w:r>
        <w:fldChar w:fldCharType="end"/>
      </w:r>
    </w:p>
    <w:p>
      <w:pPr>
        <w:pStyle w:val="TOC8"/>
        <w:rPr>
          <w:rFonts w:asciiTheme="minorHAnsi" w:eastAsiaTheme="minorEastAsia" w:hAnsiTheme="minorHAnsi" w:cstheme="minorBidi"/>
          <w:szCs w:val="22"/>
        </w:rPr>
      </w:pPr>
      <w:r>
        <w:t>77B</w:t>
      </w:r>
      <w:r>
        <w:rPr>
          <w:snapToGrid w:val="0"/>
        </w:rPr>
        <w:t>.</w:t>
      </w:r>
      <w:r>
        <w:rPr>
          <w:snapToGrid w:val="0"/>
        </w:rPr>
        <w:tab/>
        <w:t>Disputes procedures for scheme to be followed</w:t>
      </w:r>
      <w:r>
        <w:tab/>
      </w:r>
      <w:r>
        <w:fldChar w:fldCharType="begin"/>
      </w:r>
      <w:r>
        <w:instrText xml:space="preserve"> PAGEREF _Toc530554959 \h </w:instrText>
      </w:r>
      <w:r>
        <w:fldChar w:fldCharType="separate"/>
      </w:r>
      <w:r>
        <w:t>152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SAT may inspect certain records</w:t>
      </w:r>
      <w:r>
        <w:tab/>
      </w:r>
      <w:r>
        <w:fldChar w:fldCharType="begin"/>
      </w:r>
      <w:r>
        <w:instrText xml:space="preserve"> PAGEREF _Toc530554960 \h </w:instrText>
      </w:r>
      <w:r>
        <w:fldChar w:fldCharType="separate"/>
      </w:r>
      <w:r>
        <w:t>152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application to be given</w:t>
      </w:r>
      <w:r>
        <w:tab/>
      </w:r>
      <w:r>
        <w:fldChar w:fldCharType="begin"/>
      </w:r>
      <w:r>
        <w:instrText xml:space="preserve"> PAGEREF _Toc530554961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Orders by State Administrative Tribunal</w:t>
      </w:r>
    </w:p>
    <w:p>
      <w:pPr>
        <w:pStyle w:val="TOC8"/>
        <w:rPr>
          <w:rFonts w:asciiTheme="minorHAnsi" w:eastAsiaTheme="minorEastAsia" w:hAnsiTheme="minorHAnsi" w:cstheme="minorBidi"/>
          <w:szCs w:val="22"/>
        </w:rPr>
      </w:pPr>
      <w:r>
        <w:t>81</w:t>
      </w:r>
      <w:r>
        <w:rPr>
          <w:snapToGrid w:val="0"/>
        </w:rPr>
        <w:t>.</w:t>
      </w:r>
      <w:r>
        <w:rPr>
          <w:snapToGrid w:val="0"/>
        </w:rPr>
        <w:tab/>
        <w:t>Orders under this Division</w:t>
      </w:r>
      <w:r>
        <w:tab/>
      </w:r>
      <w:r>
        <w:fldChar w:fldCharType="begin"/>
      </w:r>
      <w:r>
        <w:instrText xml:space="preserve"> PAGEREF _Toc530554963 \h </w:instrText>
      </w:r>
      <w:r>
        <w:fldChar w:fldCharType="separate"/>
      </w:r>
      <w:r>
        <w:t>153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Interim orders</w:t>
      </w:r>
      <w:r>
        <w:tab/>
      </w:r>
      <w:r>
        <w:fldChar w:fldCharType="begin"/>
      </w:r>
      <w:r>
        <w:instrText xml:space="preserve"> PAGEREF _Toc530554964 \h </w:instrText>
      </w:r>
      <w:r>
        <w:fldChar w:fldCharType="separate"/>
      </w:r>
      <w:r>
        <w:t>155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powers of SAT to make orders</w:t>
      </w:r>
      <w:r>
        <w:tab/>
      </w:r>
      <w:r>
        <w:fldChar w:fldCharType="begin"/>
      </w:r>
      <w:r>
        <w:instrText xml:space="preserve"> PAGEREF _Toc530554965 \h </w:instrText>
      </w:r>
      <w:r>
        <w:fldChar w:fldCharType="separate"/>
      </w:r>
      <w:r>
        <w:t>156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Further powers of SAT</w:t>
      </w:r>
      <w:r>
        <w:tab/>
      </w:r>
      <w:r>
        <w:fldChar w:fldCharType="begin"/>
      </w:r>
      <w:r>
        <w:instrText xml:space="preserve"> PAGEREF _Toc530554966 \h </w:instrText>
      </w:r>
      <w:r>
        <w:fldChar w:fldCharType="separate"/>
      </w:r>
      <w:r>
        <w:t>157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Order with respect to certain consents affecting common property</w:t>
      </w:r>
      <w:r>
        <w:tab/>
      </w:r>
      <w:r>
        <w:fldChar w:fldCharType="begin"/>
      </w:r>
      <w:r>
        <w:instrText xml:space="preserve"> PAGEREF _Toc530554967 \h </w:instrText>
      </w:r>
      <w:r>
        <w:fldChar w:fldCharType="separate"/>
      </w:r>
      <w:r>
        <w:t>158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Order with respect to acquisition of personal property</w:t>
      </w:r>
      <w:r>
        <w:tab/>
      </w:r>
      <w:r>
        <w:fldChar w:fldCharType="begin"/>
      </w:r>
      <w:r>
        <w:instrText xml:space="preserve"> PAGEREF _Toc530554968 \h </w:instrText>
      </w:r>
      <w:r>
        <w:fldChar w:fldCharType="separate"/>
      </w:r>
      <w:r>
        <w:t>158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 to acquire personal property</w:t>
      </w:r>
      <w:r>
        <w:tab/>
      </w:r>
      <w:r>
        <w:fldChar w:fldCharType="begin"/>
      </w:r>
      <w:r>
        <w:instrText xml:space="preserve"> PAGEREF _Toc530554969 \h </w:instrText>
      </w:r>
      <w:r>
        <w:fldChar w:fldCharType="separate"/>
      </w:r>
      <w:r>
        <w:t>159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Order to make or pursue insurance claim</w:t>
      </w:r>
      <w:r>
        <w:tab/>
      </w:r>
      <w:r>
        <w:fldChar w:fldCharType="begin"/>
      </w:r>
      <w:r>
        <w:instrText xml:space="preserve"> PAGEREF _Toc530554970 \h </w:instrText>
      </w:r>
      <w:r>
        <w:fldChar w:fldCharType="separate"/>
      </w:r>
      <w:r>
        <w:t>159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Order varying certain rates of interest</w:t>
      </w:r>
      <w:r>
        <w:tab/>
      </w:r>
      <w:r>
        <w:fldChar w:fldCharType="begin"/>
      </w:r>
      <w:r>
        <w:instrText xml:space="preserve"> PAGEREF _Toc530554971 \h </w:instrText>
      </w:r>
      <w:r>
        <w:fldChar w:fldCharType="separate"/>
      </w:r>
      <w:r>
        <w:t>159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Order to supply information or documents</w:t>
      </w:r>
      <w:r>
        <w:tab/>
      </w:r>
      <w:r>
        <w:fldChar w:fldCharType="begin"/>
      </w:r>
      <w:r>
        <w:instrText xml:space="preserve"> PAGEREF _Toc530554972 \h </w:instrText>
      </w:r>
      <w:r>
        <w:fldChar w:fldCharType="separate"/>
      </w:r>
      <w:r>
        <w:t>160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_Toc530554973 \h </w:instrText>
      </w:r>
      <w:r>
        <w:fldChar w:fldCharType="separate"/>
      </w:r>
      <w:r>
        <w:t>160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_Toc530554974 \h </w:instrText>
      </w:r>
      <w:r>
        <w:fldChar w:fldCharType="separate"/>
      </w:r>
      <w:r>
        <w:t>161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 relating to by</w:t>
      </w:r>
      <w:r>
        <w:rPr>
          <w:snapToGrid w:val="0"/>
        </w:rPr>
        <w:noBreakHyphen/>
        <w:t>laws</w:t>
      </w:r>
      <w:r>
        <w:tab/>
      </w:r>
      <w:r>
        <w:fldChar w:fldCharType="begin"/>
      </w:r>
      <w:r>
        <w:instrText xml:space="preserve"> PAGEREF _Toc530554975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granting certain licence</w:t>
      </w:r>
      <w:r>
        <w:tab/>
      </w:r>
      <w:r>
        <w:fldChar w:fldCharType="begin"/>
      </w:r>
      <w:r>
        <w:instrText xml:space="preserve"> PAGEREF _Toc530554976 \h </w:instrText>
      </w:r>
      <w:r>
        <w:fldChar w:fldCharType="separate"/>
      </w:r>
      <w:r>
        <w:t>163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SAT may make certain by</w:t>
      </w:r>
      <w:r>
        <w:rPr>
          <w:snapToGrid w:val="0"/>
        </w:rPr>
        <w:noBreakHyphen/>
        <w:t>laws</w:t>
      </w:r>
      <w:r>
        <w:tab/>
      </w:r>
      <w:r>
        <w:fldChar w:fldCharType="begin"/>
      </w:r>
      <w:r>
        <w:instrText xml:space="preserve"> PAGEREF _Toc530554977 \h </w:instrText>
      </w:r>
      <w:r>
        <w:fldChar w:fldCharType="separate"/>
      </w:r>
      <w:r>
        <w:t>163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Power of SAT to invalidate a resolution or election</w:t>
      </w:r>
      <w:r>
        <w:tab/>
      </w:r>
      <w:r>
        <w:fldChar w:fldCharType="begin"/>
      </w:r>
      <w:r>
        <w:instrText xml:space="preserve"> PAGEREF _Toc530554978 \h </w:instrText>
      </w:r>
      <w:r>
        <w:fldChar w:fldCharType="separate"/>
      </w:r>
      <w:r>
        <w:t>164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Order authorising application to SAT</w:t>
      </w:r>
      <w:r>
        <w:tab/>
      </w:r>
      <w:r>
        <w:fldChar w:fldCharType="begin"/>
      </w:r>
      <w:r>
        <w:instrText xml:space="preserve"> PAGEREF _Toc530554979 \h </w:instrText>
      </w:r>
      <w:r>
        <w:fldChar w:fldCharType="separate"/>
      </w:r>
      <w:r>
        <w:t>165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for variation or manner of payment of contributions</w:t>
      </w:r>
      <w:r>
        <w:tab/>
      </w:r>
      <w:r>
        <w:fldChar w:fldCharType="begin"/>
      </w:r>
      <w:r>
        <w:instrText xml:space="preserve"> PAGEREF _Toc530554980 \h </w:instrText>
      </w:r>
      <w:r>
        <w:fldChar w:fldCharType="separate"/>
      </w:r>
      <w:r>
        <w:t>165</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Order fixing different basis for levying contributions</w:t>
      </w:r>
      <w:r>
        <w:tab/>
      </w:r>
      <w:r>
        <w:fldChar w:fldCharType="begin"/>
      </w:r>
      <w:r>
        <w:instrText xml:space="preserve"> PAGEREF _Toc530554981 \h </w:instrText>
      </w:r>
      <w:r>
        <w:fldChar w:fldCharType="separate"/>
      </w:r>
      <w:r>
        <w:t>166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where voting rights denied or due notice of item of business not given</w:t>
      </w:r>
      <w:r>
        <w:tab/>
      </w:r>
      <w:r>
        <w:fldChar w:fldCharType="begin"/>
      </w:r>
      <w:r>
        <w:instrText xml:space="preserve"> PAGEREF _Toc530554982 \h </w:instrText>
      </w:r>
      <w:r>
        <w:fldChar w:fldCharType="separate"/>
      </w:r>
      <w:r>
        <w:t>167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varying amount of insurance to be provided</w:t>
      </w:r>
      <w:r>
        <w:tab/>
      </w:r>
      <w:r>
        <w:fldChar w:fldCharType="begin"/>
      </w:r>
      <w:r>
        <w:instrText xml:space="preserve"> PAGEREF _Toc530554983 \h </w:instrText>
      </w:r>
      <w:r>
        <w:fldChar w:fldCharType="separate"/>
      </w:r>
      <w:r>
        <w:t>168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Order appointing administrator</w:t>
      </w:r>
      <w:r>
        <w:tab/>
      </w:r>
      <w:r>
        <w:fldChar w:fldCharType="begin"/>
      </w:r>
      <w:r>
        <w:instrText xml:space="preserve"> PAGEREF _Toc530554984 \h </w:instrText>
      </w:r>
      <w:r>
        <w:fldChar w:fldCharType="separate"/>
      </w:r>
      <w:r>
        <w:t>168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Order calling first annual general meeting of strata company</w:t>
      </w:r>
      <w:r>
        <w:tab/>
      </w:r>
      <w:r>
        <w:fldChar w:fldCharType="begin"/>
      </w:r>
      <w:r>
        <w:instrText xml:space="preserve"> PAGEREF _Toc530554985 \h </w:instrText>
      </w:r>
      <w:r>
        <w:fldChar w:fldCharType="separate"/>
      </w:r>
      <w:r>
        <w:t>170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Order for compliance, despite s. 36A</w:t>
      </w:r>
      <w:r>
        <w:tab/>
      </w:r>
      <w:r>
        <w:fldChar w:fldCharType="begin"/>
      </w:r>
      <w:r>
        <w:instrText xml:space="preserve"> PAGEREF _Toc530554986 \h </w:instrText>
      </w:r>
      <w:r>
        <w:fldChar w:fldCharType="separate"/>
      </w:r>
      <w:r>
        <w:t>172</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_Toc530554987 \h </w:instrText>
      </w:r>
      <w:r>
        <w:fldChar w:fldCharType="separate"/>
      </w:r>
      <w:r>
        <w:t>172</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_Toc530554988 \h </w:instrText>
      </w:r>
      <w:r>
        <w:fldChar w:fldCharType="separate"/>
      </w:r>
      <w:r>
        <w:t>173</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Order cancelling special resolution</w:t>
      </w:r>
      <w:r>
        <w:tab/>
      </w:r>
      <w:r>
        <w:fldChar w:fldCharType="begin"/>
      </w:r>
      <w:r>
        <w:instrText xml:space="preserve"> PAGEREF _Toc530554989 \h </w:instrText>
      </w:r>
      <w:r>
        <w:fldChar w:fldCharType="separate"/>
      </w:r>
      <w:r>
        <w:t>174</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Order for termination of contract for services to strata company</w:t>
      </w:r>
      <w:r>
        <w:tab/>
      </w:r>
      <w:r>
        <w:fldChar w:fldCharType="begin"/>
      </w:r>
      <w:r>
        <w:instrText xml:space="preserve"> PAGEREF _Toc530554990 \h </w:instrText>
      </w:r>
      <w:r>
        <w:fldChar w:fldCharType="separate"/>
      </w:r>
      <w:r>
        <w:t>174</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Order dispensing with approval under s. 7(2) or 7A(2)</w:t>
      </w:r>
      <w:r>
        <w:tab/>
      </w:r>
      <w:r>
        <w:fldChar w:fldCharType="begin"/>
      </w:r>
      <w:r>
        <w:instrText xml:space="preserve"> PAGEREF _Toc530554991 \h </w:instrText>
      </w:r>
      <w:r>
        <w:fldChar w:fldCharType="separate"/>
      </w:r>
      <w:r>
        <w:t>175</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Order granting relief for breach of s. 7(2)</w:t>
      </w:r>
      <w:r>
        <w:tab/>
      </w:r>
      <w:r>
        <w:fldChar w:fldCharType="begin"/>
      </w:r>
      <w:r>
        <w:instrText xml:space="preserve"> PAGEREF _Toc530554992 \h </w:instrText>
      </w:r>
      <w:r>
        <w:fldChar w:fldCharType="separate"/>
      </w:r>
      <w:r>
        <w:t>176</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Order for variation of unit entitlement</w:t>
      </w:r>
      <w:r>
        <w:tab/>
      </w:r>
      <w:r>
        <w:fldChar w:fldCharType="begin"/>
      </w:r>
      <w:r>
        <w:instrText xml:space="preserve"> PAGEREF _Toc530554993 \h </w:instrText>
      </w:r>
      <w:r>
        <w:fldChar w:fldCharType="separate"/>
      </w:r>
      <w:r>
        <w:t>177</w:t>
      </w:r>
      <w:r>
        <w:fldChar w:fldCharType="end"/>
      </w:r>
    </w:p>
    <w:p>
      <w:pPr>
        <w:pStyle w:val="TOC8"/>
        <w:rPr>
          <w:rFonts w:asciiTheme="minorHAnsi" w:eastAsiaTheme="minorEastAsia" w:hAnsiTheme="minorHAnsi" w:cstheme="minorBidi"/>
          <w:szCs w:val="22"/>
        </w:rPr>
      </w:pPr>
      <w:r>
        <w:t>103I</w:t>
      </w:r>
      <w:r>
        <w:rPr>
          <w:snapToGrid w:val="0"/>
        </w:rPr>
        <w:t>.</w:t>
      </w:r>
      <w:r>
        <w:rPr>
          <w:snapToGrid w:val="0"/>
        </w:rPr>
        <w:tab/>
        <w:t>Order for payment of penalty</w:t>
      </w:r>
      <w:r>
        <w:tab/>
      </w:r>
      <w:r>
        <w:fldChar w:fldCharType="begin"/>
      </w:r>
      <w:r>
        <w:instrText xml:space="preserve"> PAGEREF _Toc530554994 \h </w:instrText>
      </w:r>
      <w:r>
        <w:fldChar w:fldCharType="separate"/>
      </w:r>
      <w:r>
        <w:t>179</w:t>
      </w:r>
      <w:r>
        <w:fldChar w:fldCharType="end"/>
      </w:r>
    </w:p>
    <w:p>
      <w:pPr>
        <w:pStyle w:val="TOC8"/>
        <w:rPr>
          <w:rFonts w:asciiTheme="minorHAnsi" w:eastAsiaTheme="minorEastAsia" w:hAnsiTheme="minorHAnsi" w:cstheme="minorBidi"/>
          <w:szCs w:val="22"/>
        </w:rPr>
      </w:pPr>
      <w:r>
        <w:t>103J</w:t>
      </w:r>
      <w:r>
        <w:rPr>
          <w:snapToGrid w:val="0"/>
        </w:rPr>
        <w:t>.</w:t>
      </w:r>
      <w:r>
        <w:rPr>
          <w:snapToGrid w:val="0"/>
        </w:rPr>
        <w:tab/>
        <w:t>Order for exemption from s. 54 or 55(1)</w:t>
      </w:r>
      <w:r>
        <w:tab/>
      </w:r>
      <w:r>
        <w:fldChar w:fldCharType="begin"/>
      </w:r>
      <w:r>
        <w:instrText xml:space="preserve"> PAGEREF _Toc530554995 \h </w:instrText>
      </w:r>
      <w:r>
        <w:fldChar w:fldCharType="separate"/>
      </w:r>
      <w:r>
        <w:t>179</w:t>
      </w:r>
      <w:r>
        <w:fldChar w:fldCharType="end"/>
      </w:r>
    </w:p>
    <w:p>
      <w:pPr>
        <w:pStyle w:val="TOC8"/>
        <w:rPr>
          <w:rFonts w:asciiTheme="minorHAnsi" w:eastAsiaTheme="minorEastAsia" w:hAnsiTheme="minorHAnsi" w:cstheme="minorBidi"/>
          <w:szCs w:val="22"/>
        </w:rPr>
      </w:pPr>
      <w:r>
        <w:t>103K</w:t>
      </w:r>
      <w:r>
        <w:rPr>
          <w:snapToGrid w:val="0"/>
        </w:rPr>
        <w:t>.</w:t>
      </w:r>
      <w:r>
        <w:rPr>
          <w:snapToGrid w:val="0"/>
        </w:rPr>
        <w:tab/>
        <w:t>Order for compliance with s. 54A</w:t>
      </w:r>
      <w:r>
        <w:tab/>
      </w:r>
      <w:r>
        <w:fldChar w:fldCharType="begin"/>
      </w:r>
      <w:r>
        <w:instrText xml:space="preserve"> PAGEREF _Toc530554996 \h </w:instrText>
      </w:r>
      <w:r>
        <w:fldChar w:fldCharType="separate"/>
      </w:r>
      <w:r>
        <w:t>180</w:t>
      </w:r>
      <w:r>
        <w:fldChar w:fldCharType="end"/>
      </w:r>
    </w:p>
    <w:p>
      <w:pPr>
        <w:pStyle w:val="TOC8"/>
        <w:rPr>
          <w:rFonts w:asciiTheme="minorHAnsi" w:eastAsiaTheme="minorEastAsia" w:hAnsiTheme="minorHAnsi" w:cstheme="minorBidi"/>
          <w:szCs w:val="22"/>
        </w:rPr>
      </w:pPr>
      <w:r>
        <w:t>103L</w:t>
      </w:r>
      <w:r>
        <w:rPr>
          <w:snapToGrid w:val="0"/>
        </w:rPr>
        <w:t>.</w:t>
      </w:r>
      <w:r>
        <w:rPr>
          <w:snapToGrid w:val="0"/>
        </w:rPr>
        <w:tab/>
        <w:t>Order to contribute to insurance premium paid by proprietor</w:t>
      </w:r>
      <w:r>
        <w:tab/>
      </w:r>
      <w:r>
        <w:fldChar w:fldCharType="begin"/>
      </w:r>
      <w:r>
        <w:instrText xml:space="preserve"> PAGEREF _Toc530554997 \h </w:instrText>
      </w:r>
      <w:r>
        <w:fldChar w:fldCharType="separate"/>
      </w:r>
      <w:r>
        <w:t>181</w:t>
      </w:r>
      <w:r>
        <w:fldChar w:fldCharType="end"/>
      </w:r>
    </w:p>
    <w:p>
      <w:pPr>
        <w:pStyle w:val="TOC8"/>
        <w:rPr>
          <w:rFonts w:asciiTheme="minorHAnsi" w:eastAsiaTheme="minorEastAsia" w:hAnsiTheme="minorHAnsi" w:cstheme="minorBidi"/>
          <w:szCs w:val="22"/>
        </w:rPr>
      </w:pPr>
      <w:r>
        <w:t>103M</w:t>
      </w:r>
      <w:r>
        <w:rPr>
          <w:snapToGrid w:val="0"/>
        </w:rPr>
        <w:t>.</w:t>
      </w:r>
      <w:r>
        <w:rPr>
          <w:snapToGrid w:val="0"/>
        </w:rPr>
        <w:tab/>
        <w:t>Order as to resolution under s. 21F or 21Q</w:t>
      </w:r>
      <w:r>
        <w:tab/>
      </w:r>
      <w:r>
        <w:fldChar w:fldCharType="begin"/>
      </w:r>
      <w:r>
        <w:instrText xml:space="preserve"> PAGEREF _Toc530554998 \h </w:instrText>
      </w:r>
      <w:r>
        <w:fldChar w:fldCharType="separate"/>
      </w:r>
      <w:r>
        <w:t>183</w:t>
      </w:r>
      <w:r>
        <w:fldChar w:fldCharType="end"/>
      </w:r>
    </w:p>
    <w:p>
      <w:pPr>
        <w:pStyle w:val="TOC8"/>
        <w:rPr>
          <w:rFonts w:asciiTheme="minorHAnsi" w:eastAsiaTheme="minorEastAsia" w:hAnsiTheme="minorHAnsi" w:cstheme="minorBidi"/>
          <w:szCs w:val="22"/>
        </w:rPr>
      </w:pPr>
      <w:r>
        <w:t>103N</w:t>
      </w:r>
      <w:r>
        <w:rPr>
          <w:snapToGrid w:val="0"/>
        </w:rPr>
        <w:t>.</w:t>
      </w:r>
      <w:r>
        <w:rPr>
          <w:snapToGrid w:val="0"/>
        </w:rPr>
        <w:tab/>
        <w:t>Order for extension of period for reinstatement of building under s. 3AB(2)</w:t>
      </w:r>
      <w:r>
        <w:tab/>
      </w:r>
      <w:r>
        <w:fldChar w:fldCharType="begin"/>
      </w:r>
      <w:r>
        <w:instrText xml:space="preserve"> PAGEREF _Toc530554999 \h </w:instrText>
      </w:r>
      <w:r>
        <w:fldChar w:fldCharType="separate"/>
      </w:r>
      <w:r>
        <w:t>183</w:t>
      </w:r>
      <w:r>
        <w:fldChar w:fldCharType="end"/>
      </w:r>
    </w:p>
    <w:p>
      <w:pPr>
        <w:pStyle w:val="TOC8"/>
        <w:rPr>
          <w:rFonts w:asciiTheme="minorHAnsi" w:eastAsiaTheme="minorEastAsia" w:hAnsiTheme="minorHAnsi" w:cstheme="minorBidi"/>
          <w:szCs w:val="22"/>
        </w:rPr>
      </w:pPr>
      <w:r>
        <w:t>103O</w:t>
      </w:r>
      <w:r>
        <w:rPr>
          <w:snapToGrid w:val="0"/>
        </w:rPr>
        <w:t>.</w:t>
      </w:r>
      <w:r>
        <w:rPr>
          <w:snapToGrid w:val="0"/>
        </w:rPr>
        <w:tab/>
        <w:t>Order for extension of period for reinstatement of building under regulations</w:t>
      </w:r>
      <w:r>
        <w:tab/>
      </w:r>
      <w:r>
        <w:fldChar w:fldCharType="begin"/>
      </w:r>
      <w:r>
        <w:instrText xml:space="preserve"> PAGEREF _Toc530555000 \h </w:instrText>
      </w:r>
      <w:r>
        <w:fldChar w:fldCharType="separate"/>
      </w:r>
      <w:r>
        <w:t>184</w:t>
      </w:r>
      <w:r>
        <w:fldChar w:fldCharType="end"/>
      </w:r>
    </w:p>
    <w:p>
      <w:pPr>
        <w:pStyle w:val="TOC8"/>
        <w:rPr>
          <w:rFonts w:asciiTheme="minorHAnsi" w:eastAsiaTheme="minorEastAsia" w:hAnsiTheme="minorHAnsi" w:cstheme="minorBidi"/>
          <w:szCs w:val="22"/>
        </w:rPr>
      </w:pPr>
      <w:r>
        <w:t>103P</w:t>
      </w:r>
      <w:r>
        <w:rPr>
          <w:snapToGrid w:val="0"/>
        </w:rPr>
        <w:t>.</w:t>
      </w:r>
      <w:r>
        <w:rPr>
          <w:snapToGrid w:val="0"/>
        </w:rPr>
        <w:tab/>
        <w:t>Order reversing the effect of s. 21M</w:t>
      </w:r>
      <w:r>
        <w:tab/>
      </w:r>
      <w:r>
        <w:fldChar w:fldCharType="begin"/>
      </w:r>
      <w:r>
        <w:instrText xml:space="preserve"> PAGEREF _Toc530555001 \h </w:instrText>
      </w:r>
      <w:r>
        <w:fldChar w:fldCharType="separate"/>
      </w:r>
      <w:r>
        <w:t>185</w:t>
      </w:r>
      <w:r>
        <w:fldChar w:fldCharType="end"/>
      </w:r>
    </w:p>
    <w:p>
      <w:pPr>
        <w:pStyle w:val="TOC8"/>
        <w:rPr>
          <w:rFonts w:asciiTheme="minorHAnsi" w:eastAsiaTheme="minorEastAsia" w:hAnsiTheme="minorHAnsi" w:cstheme="minorBidi"/>
          <w:szCs w:val="22"/>
        </w:rPr>
      </w:pPr>
      <w:r>
        <w:t>103Q</w:t>
      </w:r>
      <w:r>
        <w:rPr>
          <w:snapToGrid w:val="0"/>
        </w:rPr>
        <w:t>.</w:t>
      </w:r>
      <w:r>
        <w:rPr>
          <w:snapToGrid w:val="0"/>
        </w:rPr>
        <w:tab/>
        <w:t>Order rectifying failure to give notice under s. 123A</w:t>
      </w:r>
      <w:r>
        <w:tab/>
      </w:r>
      <w:r>
        <w:fldChar w:fldCharType="begin"/>
      </w:r>
      <w:r>
        <w:instrText xml:space="preserve"> PAGEREF _Toc530555002 \h </w:instrText>
      </w:r>
      <w:r>
        <w:fldChar w:fldCharType="separate"/>
      </w:r>
      <w:r>
        <w:t>186</w:t>
      </w:r>
      <w:r>
        <w:fldChar w:fldCharType="end"/>
      </w:r>
    </w:p>
    <w:p>
      <w:pPr>
        <w:pStyle w:val="TOC8"/>
        <w:rPr>
          <w:rFonts w:asciiTheme="minorHAnsi" w:eastAsiaTheme="minorEastAsia" w:hAnsiTheme="minorHAnsi" w:cstheme="minorBidi"/>
          <w:szCs w:val="22"/>
        </w:rPr>
      </w:pPr>
      <w:r>
        <w:t>103R</w:t>
      </w:r>
      <w:r>
        <w:rPr>
          <w:snapToGrid w:val="0"/>
        </w:rPr>
        <w:t>.</w:t>
      </w:r>
      <w:r>
        <w:rPr>
          <w:snapToGrid w:val="0"/>
        </w:rPr>
        <w:tab/>
        <w:t>Order rectifying failure to give notice under s. 123C</w:t>
      </w:r>
      <w:r>
        <w:tab/>
      </w:r>
      <w:r>
        <w:fldChar w:fldCharType="begin"/>
      </w:r>
      <w:r>
        <w:instrText xml:space="preserve"> PAGEREF _Toc530555003 \h </w:instrText>
      </w:r>
      <w:r>
        <w:fldChar w:fldCharType="separate"/>
      </w:r>
      <w:r>
        <w:t>187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Copy of order to be served</w:t>
      </w:r>
      <w:r>
        <w:tab/>
      </w:r>
      <w:r>
        <w:fldChar w:fldCharType="begin"/>
      </w:r>
      <w:r>
        <w:instrText xml:space="preserve"> PAGEREF _Toc530555004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Appeals</w:t>
      </w:r>
    </w:p>
    <w:p>
      <w:pPr>
        <w:pStyle w:val="TOC8"/>
        <w:rPr>
          <w:rFonts w:asciiTheme="minorHAnsi" w:eastAsiaTheme="minorEastAsia" w:hAnsiTheme="minorHAnsi" w:cstheme="minorBidi"/>
          <w:szCs w:val="22"/>
        </w:rPr>
      </w:pPr>
      <w:r>
        <w:t>111</w:t>
      </w:r>
      <w:r>
        <w:rPr>
          <w:snapToGrid w:val="0"/>
        </w:rPr>
        <w:t>.</w:t>
      </w:r>
      <w:r>
        <w:rPr>
          <w:snapToGrid w:val="0"/>
        </w:rPr>
        <w:tab/>
        <w:t>Expenses of strata company on appeal</w:t>
      </w:r>
      <w:r>
        <w:tab/>
      </w:r>
      <w:r>
        <w:fldChar w:fldCharType="begin"/>
      </w:r>
      <w:r>
        <w:instrText xml:space="preserve"> PAGEREF _Toc530555006 \h </w:instrText>
      </w:r>
      <w:r>
        <w:fldChar w:fldCharType="separate"/>
      </w:r>
      <w:r>
        <w:t>189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Copy of order to be served</w:t>
      </w:r>
      <w:r>
        <w:tab/>
      </w:r>
      <w:r>
        <w:fldChar w:fldCharType="begin"/>
      </w:r>
      <w:r>
        <w:instrText xml:space="preserve"> PAGEREF _Toc530555007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114</w:t>
      </w:r>
      <w:r>
        <w:rPr>
          <w:snapToGrid w:val="0"/>
        </w:rPr>
        <w:t>.</w:t>
      </w:r>
      <w:r>
        <w:rPr>
          <w:snapToGrid w:val="0"/>
        </w:rPr>
        <w:tab/>
        <w:t>Effect of certain orders</w:t>
      </w:r>
      <w:r>
        <w:tab/>
      </w:r>
      <w:r>
        <w:fldChar w:fldCharType="begin"/>
      </w:r>
      <w:r>
        <w:instrText xml:space="preserve"> PAGEREF _Toc530555009 \h </w:instrText>
      </w:r>
      <w:r>
        <w:fldChar w:fldCharType="separate"/>
      </w:r>
      <w:r>
        <w:t>190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Recording of certain orders</w:t>
      </w:r>
      <w:r>
        <w:tab/>
      </w:r>
      <w:r>
        <w:fldChar w:fldCharType="begin"/>
      </w:r>
      <w:r>
        <w:instrText xml:space="preserve"> PAGEREF _Toc530555010 \h </w:instrText>
      </w:r>
      <w:r>
        <w:fldChar w:fldCharType="separate"/>
      </w:r>
      <w:r>
        <w:t>191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SAT not to have jurisdiction where title to land in question</w:t>
      </w:r>
      <w:r>
        <w:tab/>
      </w:r>
      <w:r>
        <w:fldChar w:fldCharType="begin"/>
      </w:r>
      <w:r>
        <w:instrText xml:space="preserve"> PAGEREF _Toc530555011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122</w:t>
      </w:r>
      <w:r>
        <w:rPr>
          <w:snapToGrid w:val="0"/>
        </w:rPr>
        <w:t>.</w:t>
      </w:r>
      <w:r>
        <w:rPr>
          <w:snapToGrid w:val="0"/>
        </w:rPr>
        <w:tab/>
        <w:t>Other rights and remedies not affected by this Act</w:t>
      </w:r>
      <w:r>
        <w:tab/>
      </w:r>
      <w:r>
        <w:fldChar w:fldCharType="begin"/>
      </w:r>
      <w:r>
        <w:instrText xml:space="preserve"> PAGEREF _Toc530555013 \h </w:instrText>
      </w:r>
      <w:r>
        <w:fldChar w:fldCharType="separate"/>
      </w:r>
      <w:r>
        <w:t>193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Caravan and camping areas not to be subdivided</w:t>
      </w:r>
      <w:r>
        <w:tab/>
      </w:r>
      <w:r>
        <w:fldChar w:fldCharType="begin"/>
      </w:r>
      <w:r>
        <w:instrText xml:space="preserve"> PAGEREF _Toc530555014 \h </w:instrText>
      </w:r>
      <w:r>
        <w:fldChar w:fldCharType="separate"/>
      </w:r>
      <w:r>
        <w:t>193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Dividing fences</w:t>
      </w:r>
      <w:r>
        <w:tab/>
      </w:r>
      <w:r>
        <w:fldChar w:fldCharType="begin"/>
      </w:r>
      <w:r>
        <w:instrText xml:space="preserve"> PAGEREF _Toc530555015 \h </w:instrText>
      </w:r>
      <w:r>
        <w:fldChar w:fldCharType="separate"/>
      </w:r>
      <w:r>
        <w:t>194</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Transitional provision as to dividing fences</w:t>
      </w:r>
      <w:r>
        <w:tab/>
      </w:r>
      <w:r>
        <w:fldChar w:fldCharType="begin"/>
      </w:r>
      <w:r>
        <w:instrText xml:space="preserve"> PAGEREF _Toc530555016 \h </w:instrText>
      </w:r>
      <w:r>
        <w:fldChar w:fldCharType="separate"/>
      </w:r>
      <w:r>
        <w:t>194</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Internal fencing</w:t>
      </w:r>
      <w:r>
        <w:tab/>
      </w:r>
      <w:r>
        <w:fldChar w:fldCharType="begin"/>
      </w:r>
      <w:r>
        <w:instrText xml:space="preserve"> PAGEREF _Toc530555017 \h </w:instrText>
      </w:r>
      <w:r>
        <w:fldChar w:fldCharType="separate"/>
      </w:r>
      <w:r>
        <w:t>196</w:t>
      </w:r>
      <w:r>
        <w:fldChar w:fldCharType="end"/>
      </w:r>
    </w:p>
    <w:p>
      <w:pPr>
        <w:pStyle w:val="TOC8"/>
        <w:rPr>
          <w:rFonts w:asciiTheme="minorHAnsi" w:eastAsiaTheme="minorEastAsia" w:hAnsiTheme="minorHAnsi" w:cstheme="minorBidi"/>
          <w:szCs w:val="22"/>
        </w:rPr>
      </w:pPr>
      <w:r>
        <w:t>123C</w:t>
      </w:r>
      <w:r>
        <w:rPr>
          <w:snapToGrid w:val="0"/>
        </w:rPr>
        <w:t>.</w:t>
      </w:r>
      <w:r>
        <w:rPr>
          <w:snapToGrid w:val="0"/>
        </w:rPr>
        <w:tab/>
        <w:t>Transitional provision as to internal fencing</w:t>
      </w:r>
      <w:r>
        <w:tab/>
      </w:r>
      <w:r>
        <w:fldChar w:fldCharType="begin"/>
      </w:r>
      <w:r>
        <w:instrText xml:space="preserve"> PAGEREF _Toc530555018 \h </w:instrText>
      </w:r>
      <w:r>
        <w:fldChar w:fldCharType="separate"/>
      </w:r>
      <w:r>
        <w:t>196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Notice of application for order under s. 28, 29 or 31</w:t>
      </w:r>
      <w:r>
        <w:tab/>
      </w:r>
      <w:r>
        <w:fldChar w:fldCharType="begin"/>
      </w:r>
      <w:r>
        <w:instrText xml:space="preserve"> PAGEREF _Toc530555019 \h </w:instrText>
      </w:r>
      <w:r>
        <w:fldChar w:fldCharType="separate"/>
      </w:r>
      <w:r>
        <w:t>198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Service of documents on strata company, proprietors and others</w:t>
      </w:r>
      <w:r>
        <w:tab/>
      </w:r>
      <w:r>
        <w:fldChar w:fldCharType="begin"/>
      </w:r>
      <w:r>
        <w:instrText xml:space="preserve"> PAGEREF _Toc530555020 \h </w:instrText>
      </w:r>
      <w:r>
        <w:fldChar w:fldCharType="separate"/>
      </w:r>
      <w:r>
        <w:t>198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entry by public authority or local government</w:t>
      </w:r>
      <w:r>
        <w:tab/>
      </w:r>
      <w:r>
        <w:fldChar w:fldCharType="begin"/>
      </w:r>
      <w:r>
        <w:instrText xml:space="preserve"> PAGEREF _Toc530555021 \h </w:instrText>
      </w:r>
      <w:r>
        <w:fldChar w:fldCharType="separate"/>
      </w:r>
      <w:r>
        <w:t>200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orders by public authority or local government</w:t>
      </w:r>
      <w:r>
        <w:tab/>
      </w:r>
      <w:r>
        <w:fldChar w:fldCharType="begin"/>
      </w:r>
      <w:r>
        <w:instrText xml:space="preserve"> PAGEREF _Toc530555022 \h </w:instrText>
      </w:r>
      <w:r>
        <w:fldChar w:fldCharType="separate"/>
      </w:r>
      <w:r>
        <w:t>200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Procedure upon application to District Court</w:t>
      </w:r>
      <w:r>
        <w:tab/>
      </w:r>
      <w:r>
        <w:fldChar w:fldCharType="begin"/>
      </w:r>
      <w:r>
        <w:instrText xml:space="preserve"> PAGEREF _Toc530555023 \h </w:instrText>
      </w:r>
      <w:r>
        <w:fldChar w:fldCharType="separate"/>
      </w:r>
      <w:r>
        <w:t>201</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t>Correction of errors by Registrar</w:t>
      </w:r>
      <w:r>
        <w:tab/>
      </w:r>
      <w:r>
        <w:fldChar w:fldCharType="begin"/>
      </w:r>
      <w:r>
        <w:instrText xml:space="preserve"> PAGEREF _Toc530555024 \h </w:instrText>
      </w:r>
      <w:r>
        <w:fldChar w:fldCharType="separate"/>
      </w:r>
      <w:r>
        <w:t>201</w:t>
      </w:r>
      <w:r>
        <w:fldChar w:fldCharType="end"/>
      </w:r>
    </w:p>
    <w:p>
      <w:pPr>
        <w:pStyle w:val="TOC8"/>
        <w:rPr>
          <w:rFonts w:asciiTheme="minorHAnsi" w:eastAsiaTheme="minorEastAsia" w:hAnsiTheme="minorHAnsi" w:cstheme="minorBidi"/>
          <w:szCs w:val="22"/>
        </w:rPr>
      </w:pPr>
      <w:r>
        <w:t>129B.</w:t>
      </w:r>
      <w:r>
        <w:tab/>
        <w:t>Delegation by Commissioner of Titles</w:t>
      </w:r>
      <w:r>
        <w:tab/>
      </w:r>
      <w:r>
        <w:fldChar w:fldCharType="begin"/>
      </w:r>
      <w:r>
        <w:instrText xml:space="preserve"> PAGEREF _Toc530555025 \h </w:instrText>
      </w:r>
      <w:r>
        <w:fldChar w:fldCharType="separate"/>
      </w:r>
      <w:r>
        <w:t>202</w:t>
      </w:r>
      <w:r>
        <w:fldChar w:fldCharType="end"/>
      </w:r>
    </w:p>
    <w:p>
      <w:pPr>
        <w:pStyle w:val="TOC8"/>
        <w:rPr>
          <w:rFonts w:asciiTheme="minorHAnsi" w:eastAsiaTheme="minorEastAsia" w:hAnsiTheme="minorHAnsi" w:cstheme="minorBidi"/>
          <w:szCs w:val="22"/>
        </w:rPr>
      </w:pPr>
      <w:r>
        <w:t>129C.</w:t>
      </w:r>
      <w:r>
        <w:tab/>
        <w:t>Delegation by Registrar of Titles</w:t>
      </w:r>
      <w:r>
        <w:tab/>
      </w:r>
      <w:r>
        <w:fldChar w:fldCharType="begin"/>
      </w:r>
      <w:r>
        <w:instrText xml:space="preserve"> PAGEREF _Toc530555026 \h </w:instrText>
      </w:r>
      <w:r>
        <w:fldChar w:fldCharType="separate"/>
      </w:r>
      <w:r>
        <w:t>203</w:t>
      </w:r>
      <w:r>
        <w:fldChar w:fldCharType="end"/>
      </w:r>
    </w:p>
    <w:p>
      <w:pPr>
        <w:pStyle w:val="TOC8"/>
        <w:rPr>
          <w:rFonts w:asciiTheme="minorHAnsi" w:eastAsiaTheme="minorEastAsia" w:hAnsiTheme="minorHAnsi" w:cstheme="minorBidi"/>
          <w:szCs w:val="22"/>
        </w:rPr>
      </w:pPr>
      <w:r>
        <w:t>129D.</w:t>
      </w:r>
      <w:r>
        <w:tab/>
        <w:t>Money received by Registrar</w:t>
      </w:r>
      <w:r>
        <w:tab/>
      </w:r>
      <w:r>
        <w:fldChar w:fldCharType="begin"/>
      </w:r>
      <w:r>
        <w:instrText xml:space="preserve"> PAGEREF _Toc530555027 \h </w:instrText>
      </w:r>
      <w:r>
        <w:fldChar w:fldCharType="separate"/>
      </w:r>
      <w:r>
        <w:t>203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w:t>
      </w:r>
      <w:r>
        <w:tab/>
      </w:r>
      <w:r>
        <w:fldChar w:fldCharType="begin"/>
      </w:r>
      <w:r>
        <w:instrText xml:space="preserve"> PAGEREF _Toc530555028 \h </w:instrText>
      </w:r>
      <w:r>
        <w:fldChar w:fldCharType="separate"/>
      </w:r>
      <w:r>
        <w:t>204</w:t>
      </w:r>
      <w:r>
        <w:fldChar w:fldCharType="end"/>
      </w:r>
    </w:p>
    <w:p>
      <w:pPr>
        <w:pStyle w:val="TOC8"/>
        <w:rPr>
          <w:rFonts w:asciiTheme="minorHAnsi" w:eastAsiaTheme="minorEastAsia" w:hAnsiTheme="minorHAnsi" w:cstheme="minorBidi"/>
          <w:szCs w:val="22"/>
        </w:rPr>
      </w:pPr>
      <w:r>
        <w:t>131A.</w:t>
      </w:r>
      <w:r>
        <w:tab/>
        <w:t>Certain prescribed fees may exceed cost recovery</w:t>
      </w:r>
      <w:r>
        <w:tab/>
      </w:r>
      <w:r>
        <w:fldChar w:fldCharType="begin"/>
      </w:r>
      <w:r>
        <w:instrText xml:space="preserve"> PAGEREF _Toc530555029 \h </w:instrText>
      </w:r>
      <w:r>
        <w:fldChar w:fldCharType="separate"/>
      </w:r>
      <w:r>
        <w:t>205</w:t>
      </w:r>
      <w:r>
        <w:fldChar w:fldCharType="end"/>
      </w:r>
    </w:p>
    <w:p>
      <w:pPr>
        <w:pStyle w:val="TOC8"/>
        <w:rPr>
          <w:rFonts w:asciiTheme="minorHAnsi" w:eastAsiaTheme="minorEastAsia" w:hAnsiTheme="minorHAnsi" w:cstheme="minorBidi"/>
          <w:szCs w:val="22"/>
        </w:rPr>
      </w:pPr>
      <w:r>
        <w:t>131B.</w:t>
      </w:r>
      <w:r>
        <w:tab/>
        <w:t>Expiry of section 131A</w:t>
      </w:r>
      <w:r>
        <w:tab/>
      </w:r>
      <w:r>
        <w:fldChar w:fldCharType="begin"/>
      </w:r>
      <w:r>
        <w:instrText xml:space="preserve"> PAGEREF _Toc530555030 \h </w:instrText>
      </w:r>
      <w:r>
        <w:fldChar w:fldCharType="separate"/>
      </w:r>
      <w:r>
        <w:t>206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Transitional and savings</w:t>
      </w:r>
      <w:r>
        <w:tab/>
      </w:r>
      <w:r>
        <w:fldChar w:fldCharType="begin"/>
      </w:r>
      <w:r>
        <w:instrText xml:space="preserve"> PAGEREF _Toc530555031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Transitional provisions for amendments made to this Act</w:t>
      </w:r>
    </w:p>
    <w:p>
      <w:pPr>
        <w:pStyle w:val="TOC8"/>
        <w:rPr>
          <w:rFonts w:asciiTheme="minorHAnsi" w:eastAsiaTheme="minorEastAsia" w:hAnsiTheme="minorHAnsi" w:cstheme="minorBidi"/>
          <w:szCs w:val="22"/>
        </w:rPr>
      </w:pPr>
      <w:r>
        <w:tab/>
        <w:t xml:space="preserve">Division 1 — Transitional provisions arising from certain amendments made by the </w:t>
      </w:r>
      <w:r>
        <w:rPr>
          <w:i/>
        </w:rPr>
        <w:t>Building Act 2011</w:t>
      </w:r>
      <w:r>
        <w:tab/>
      </w:r>
      <w:r>
        <w:fldChar w:fldCharType="begin"/>
      </w:r>
      <w:r>
        <w:instrText xml:space="preserve"> PAGEREF _Toc530555033 \h </w:instrText>
      </w:r>
      <w:r>
        <w:fldChar w:fldCharType="separate"/>
      </w:r>
      <w:r>
        <w:t>208</w:t>
      </w:r>
      <w:r>
        <w:fldChar w:fldCharType="end"/>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_Toc530555034 \h </w:instrText>
      </w:r>
      <w:r>
        <w:fldChar w:fldCharType="separate"/>
      </w:r>
      <w:r>
        <w:t>208</w:t>
      </w:r>
      <w:r>
        <w:fldChar w:fldCharType="end"/>
      </w:r>
    </w:p>
    <w:p>
      <w:pPr>
        <w:pStyle w:val="TOC8"/>
        <w:rPr>
          <w:rFonts w:asciiTheme="minorHAnsi" w:eastAsiaTheme="minorEastAsia" w:hAnsiTheme="minorHAnsi" w:cstheme="minorBidi"/>
          <w:szCs w:val="22"/>
        </w:rPr>
      </w:pPr>
      <w:r>
        <w:t>134.</w:t>
      </w:r>
      <w:r>
        <w:tab/>
        <w:t>Certificates of local government required by s. 5B(2)</w:t>
      </w:r>
      <w:r>
        <w:tab/>
      </w:r>
      <w:r>
        <w:fldChar w:fldCharType="begin"/>
      </w:r>
      <w:r>
        <w:instrText xml:space="preserve"> PAGEREF _Toc530555035 \h </w:instrText>
      </w:r>
      <w:r>
        <w:fldChar w:fldCharType="separate"/>
      </w:r>
      <w:r>
        <w:t>208</w:t>
      </w:r>
      <w:r>
        <w:fldChar w:fldCharType="end"/>
      </w:r>
    </w:p>
    <w:p>
      <w:pPr>
        <w:pStyle w:val="TOC8"/>
        <w:rPr>
          <w:rFonts w:asciiTheme="minorHAnsi" w:eastAsiaTheme="minorEastAsia" w:hAnsiTheme="minorHAnsi" w:cstheme="minorBidi"/>
          <w:szCs w:val="22"/>
        </w:rPr>
      </w:pPr>
      <w:r>
        <w:t>135.</w:t>
      </w:r>
      <w:r>
        <w:tab/>
        <w:t>Certificates of local government required by s. 8A(f)</w:t>
      </w:r>
      <w:r>
        <w:tab/>
      </w:r>
      <w:r>
        <w:fldChar w:fldCharType="begin"/>
      </w:r>
      <w:r>
        <w:instrText xml:space="preserve"> PAGEREF _Toc530555036 \h </w:instrText>
      </w:r>
      <w:r>
        <w:fldChar w:fldCharType="separate"/>
      </w:r>
      <w:r>
        <w:t>208</w:t>
      </w:r>
      <w:r>
        <w:fldChar w:fldCharType="end"/>
      </w:r>
    </w:p>
    <w:p>
      <w:pPr>
        <w:pStyle w:val="TOC8"/>
        <w:rPr>
          <w:rFonts w:asciiTheme="minorHAnsi" w:eastAsiaTheme="minorEastAsia" w:hAnsiTheme="minorHAnsi" w:cstheme="minorBidi"/>
          <w:szCs w:val="22"/>
        </w:rPr>
      </w:pPr>
      <w:r>
        <w:t>136.</w:t>
      </w:r>
      <w:r>
        <w:tab/>
        <w:t>Applications for certificates of local government and review of related decisions</w:t>
      </w:r>
      <w:r>
        <w:tab/>
      </w:r>
      <w:r>
        <w:fldChar w:fldCharType="begin"/>
      </w:r>
      <w:r>
        <w:instrText xml:space="preserve"> PAGEREF _Toc530555037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Schedule 1 — By-laws</w:t>
      </w:r>
    </w:p>
    <w:p>
      <w:pPr>
        <w:pStyle w:val="TOC8"/>
        <w:rPr>
          <w:rFonts w:asciiTheme="minorHAnsi" w:eastAsiaTheme="minorEastAsia" w:hAnsiTheme="minorHAnsi" w:cstheme="minorBidi"/>
          <w:szCs w:val="22"/>
        </w:rPr>
      </w:pPr>
      <w:r>
        <w:t>1</w:t>
      </w:r>
      <w:r>
        <w:rPr>
          <w:snapToGrid w:val="0"/>
        </w:rPr>
        <w:t>.</w:t>
      </w:r>
      <w:r>
        <w:rPr>
          <w:snapToGrid w:val="0"/>
        </w:rPr>
        <w:tab/>
        <w:t>Duties of proprietor, occupiers etc.</w:t>
      </w:r>
      <w:r>
        <w:tab/>
      </w:r>
      <w:r>
        <w:fldChar w:fldCharType="begin"/>
      </w:r>
      <w:r>
        <w:instrText xml:space="preserve"> PAGEREF _Toc530555039 \h </w:instrText>
      </w:r>
      <w:r>
        <w:fldChar w:fldCharType="separate"/>
      </w:r>
      <w:r>
        <w:t>210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proprietor to decorate etc.</w:t>
      </w:r>
      <w:r>
        <w:tab/>
      </w:r>
      <w:r>
        <w:fldChar w:fldCharType="begin"/>
      </w:r>
      <w:r>
        <w:instrText xml:space="preserve"> PAGEREF _Toc530555040 \h </w:instrText>
      </w:r>
      <w:r>
        <w:fldChar w:fldCharType="separate"/>
      </w:r>
      <w:r>
        <w:t>211</w:t>
      </w:r>
      <w:r>
        <w:fldChar w:fldCharType="end"/>
      </w:r>
    </w:p>
    <w:p>
      <w:pPr>
        <w:pStyle w:val="TOC8"/>
        <w:rPr>
          <w:rFonts w:asciiTheme="minorHAnsi" w:eastAsiaTheme="minorEastAsia" w:hAnsiTheme="minorHAnsi" w:cstheme="minorBidi"/>
          <w:szCs w:val="22"/>
        </w:rPr>
      </w:pPr>
      <w:r>
        <w:rPr>
          <w:snapToGrid w:val="0"/>
        </w:rPr>
        <w:t>3.</w:t>
      </w:r>
      <w:r>
        <w:rPr>
          <w:snapToGrid w:val="0"/>
        </w:rPr>
        <w:tab/>
        <w:t>Power of strata company regarding submeters</w:t>
      </w:r>
      <w:r>
        <w:tab/>
      </w:r>
      <w:r>
        <w:fldChar w:fldCharType="begin"/>
      </w:r>
      <w:r>
        <w:instrText xml:space="preserve"> PAGEREF _Toc530555041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_Toc530555042 \h </w:instrText>
      </w:r>
      <w:r>
        <w:fldChar w:fldCharType="separate"/>
      </w:r>
      <w:r>
        <w:t>212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w:t>
      </w:r>
      <w:r>
        <w:tab/>
      </w:r>
      <w:r>
        <w:fldChar w:fldCharType="begin"/>
      </w:r>
      <w:r>
        <w:instrText xml:space="preserve"> PAGEREF _Toc530555043 \h </w:instrText>
      </w:r>
      <w:r>
        <w:fldChar w:fldCharType="separate"/>
      </w:r>
      <w:r>
        <w:t>214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 secretary and treasurer of council</w:t>
      </w:r>
      <w:r>
        <w:tab/>
      </w:r>
      <w:r>
        <w:fldChar w:fldCharType="begin"/>
      </w:r>
      <w:r>
        <w:instrText xml:space="preserve"> PAGEREF _Toc530555044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secretary and treasurer of strata company</w:t>
      </w:r>
      <w:r>
        <w:tab/>
      </w:r>
      <w:r>
        <w:fldChar w:fldCharType="begin"/>
      </w:r>
      <w:r>
        <w:instrText xml:space="preserve"> PAGEREF _Toc530555045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_Toc530555046 \h </w:instrText>
      </w:r>
      <w:r>
        <w:fldChar w:fldCharType="separate"/>
      </w:r>
      <w:r>
        <w:t>217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_Toc530555047 \h </w:instrText>
      </w:r>
      <w:r>
        <w:fldChar w:fldCharType="separate"/>
      </w:r>
      <w:r>
        <w:t>217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_Toc530555048 \h </w:instrText>
      </w:r>
      <w:r>
        <w:fldChar w:fldCharType="separate"/>
      </w:r>
      <w:r>
        <w:t>218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meetings of strata company</w:t>
      </w:r>
      <w:r>
        <w:tab/>
      </w:r>
      <w:r>
        <w:fldChar w:fldCharType="begin"/>
      </w:r>
      <w:r>
        <w:instrText xml:space="preserve"> PAGEREF _Toc530555049 \h </w:instrText>
      </w:r>
      <w:r>
        <w:fldChar w:fldCharType="separate"/>
      </w:r>
      <w:r>
        <w:t>218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at general meetings</w:t>
      </w:r>
      <w:r>
        <w:tab/>
      </w:r>
      <w:r>
        <w:fldChar w:fldCharType="begin"/>
      </w:r>
      <w:r>
        <w:instrText xml:space="preserve"> PAGEREF _Toc530555050 \h </w:instrText>
      </w:r>
      <w:r>
        <w:fldChar w:fldCharType="separate"/>
      </w:r>
      <w:r>
        <w:t>219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moving motion or nominating candidate</w:t>
      </w:r>
      <w:r>
        <w:tab/>
      </w:r>
      <w:r>
        <w:fldChar w:fldCharType="begin"/>
      </w:r>
      <w:r>
        <w:instrText xml:space="preserve"> PAGEREF _Toc530555051 \h </w:instrText>
      </w:r>
      <w:r>
        <w:fldChar w:fldCharType="separate"/>
      </w:r>
      <w:r>
        <w:t>221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Votes of proprietors</w:t>
      </w:r>
      <w:r>
        <w:tab/>
      </w:r>
      <w:r>
        <w:fldChar w:fldCharType="begin"/>
      </w:r>
      <w:r>
        <w:instrText xml:space="preserve"> PAGEREF _Toc530555052 \h </w:instrText>
      </w:r>
      <w:r>
        <w:fldChar w:fldCharType="separate"/>
      </w:r>
      <w:r>
        <w:t>221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Common</w:t>
      </w:r>
      <w:r>
        <w:rPr>
          <w:snapToGrid w:val="0"/>
        </w:rPr>
        <w:t xml:space="preserve"> seal</w:t>
      </w:r>
      <w:r>
        <w:tab/>
      </w:r>
      <w:r>
        <w:fldChar w:fldCharType="begin"/>
      </w:r>
      <w:r>
        <w:instrText xml:space="preserve"> PAGEREF _Toc530555053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 2 by-laws</w:t>
      </w:r>
    </w:p>
    <w:p>
      <w:pPr>
        <w:pStyle w:val="TOC8"/>
        <w:rPr>
          <w:rFonts w:asciiTheme="minorHAnsi" w:eastAsiaTheme="minorEastAsia" w:hAnsiTheme="minorHAnsi" w:cstheme="minorBidi"/>
          <w:szCs w:val="22"/>
        </w:rPr>
      </w:pPr>
      <w:r>
        <w:t>1</w:t>
      </w:r>
      <w:r>
        <w:rPr>
          <w:snapToGrid w:val="0"/>
        </w:rPr>
        <w:t>.</w:t>
      </w:r>
      <w:r>
        <w:rPr>
          <w:snapToGrid w:val="0"/>
        </w:rPr>
        <w:tab/>
        <w:t>Vehicles</w:t>
      </w:r>
      <w:r>
        <w:tab/>
      </w:r>
      <w:r>
        <w:fldChar w:fldCharType="begin"/>
      </w:r>
      <w:r>
        <w:instrText xml:space="preserve"> PAGEREF _Toc530555055 \h </w:instrText>
      </w:r>
      <w:r>
        <w:fldChar w:fldCharType="separate"/>
      </w:r>
      <w:r>
        <w:t>223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Obstruction of common property</w:t>
      </w:r>
      <w:r>
        <w:tab/>
      </w:r>
      <w:r>
        <w:fldChar w:fldCharType="begin"/>
      </w:r>
      <w:r>
        <w:instrText xml:space="preserve"> PAGEREF _Toc530555056 \h </w:instrText>
      </w:r>
      <w:r>
        <w:fldChar w:fldCharType="separate"/>
      </w:r>
      <w:r>
        <w:t>223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_Toc530555057 \h </w:instrText>
      </w:r>
      <w:r>
        <w:fldChar w:fldCharType="separate"/>
      </w:r>
      <w:r>
        <w:t>223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proprietors and occupiers</w:t>
      </w:r>
      <w:r>
        <w:tab/>
      </w:r>
      <w:r>
        <w:fldChar w:fldCharType="begin"/>
      </w:r>
      <w:r>
        <w:instrText xml:space="preserve"> PAGEREF _Toc530555058 \h </w:instrText>
      </w:r>
      <w:r>
        <w:fldChar w:fldCharType="separate"/>
      </w:r>
      <w:r>
        <w:t>223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Children playing upon common property in building</w:t>
      </w:r>
      <w:r>
        <w:tab/>
      </w:r>
      <w:r>
        <w:fldChar w:fldCharType="begin"/>
      </w:r>
      <w:r>
        <w:instrText xml:space="preserve"> PAGEREF _Toc530555059 \h </w:instrText>
      </w:r>
      <w:r>
        <w:fldChar w:fldCharType="separate"/>
      </w:r>
      <w:r>
        <w:t>223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_Toc530555060 \h </w:instrText>
      </w:r>
      <w:r>
        <w:fldChar w:fldCharType="separate"/>
      </w:r>
      <w:r>
        <w:t>224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w:t>
      </w:r>
      <w:r>
        <w:tab/>
      </w:r>
      <w:r>
        <w:fldChar w:fldCharType="begin"/>
      </w:r>
      <w:r>
        <w:instrText xml:space="preserve"> PAGEREF _Toc530555061 \h </w:instrText>
      </w:r>
      <w:r>
        <w:fldChar w:fldCharType="separate"/>
      </w:r>
      <w:r>
        <w:t>224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_Toc530555062 \h </w:instrText>
      </w:r>
      <w:r>
        <w:fldChar w:fldCharType="separate"/>
      </w:r>
      <w:r>
        <w:t>224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_Toc530555063 \h </w:instrText>
      </w:r>
      <w:r>
        <w:fldChar w:fldCharType="separate"/>
      </w:r>
      <w:r>
        <w:t>224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_Toc530555064 \h </w:instrText>
      </w:r>
      <w:r>
        <w:fldChar w:fldCharType="separate"/>
      </w:r>
      <w:r>
        <w:t>225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_Toc530555065 \h </w:instrText>
      </w:r>
      <w:r>
        <w:fldChar w:fldCharType="separate"/>
      </w:r>
      <w:r>
        <w:t>225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proprietors, occupiers etc.</w:t>
      </w:r>
      <w:r>
        <w:tab/>
      </w:r>
      <w:r>
        <w:fldChar w:fldCharType="begin"/>
      </w:r>
      <w:r>
        <w:instrText xml:space="preserve"> PAGEREF _Toc530555066 \h </w:instrText>
      </w:r>
      <w:r>
        <w:fldChar w:fldCharType="separate"/>
      </w:r>
      <w:r>
        <w:t>225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_Toc530555067 \h </w:instrText>
      </w:r>
      <w:r>
        <w:fldChar w:fldCharType="separate"/>
      </w:r>
      <w:r>
        <w:t>226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_Toc530555068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Schedule 2A — Matters that may be provided for in management statement</w:t>
      </w:r>
    </w:p>
    <w:p>
      <w:pPr>
        <w:pStyle w:val="TOC2"/>
        <w:tabs>
          <w:tab w:val="right" w:leader="dot" w:pos="7077"/>
        </w:tabs>
        <w:rPr>
          <w:rFonts w:asciiTheme="minorHAnsi" w:eastAsiaTheme="minorEastAsia" w:hAnsiTheme="minorHAnsi" w:cstheme="minorBidi"/>
          <w:b w:val="0"/>
          <w:sz w:val="22"/>
          <w:szCs w:val="22"/>
        </w:rPr>
      </w:pPr>
      <w:r>
        <w:t>Schedule 3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_Toc530555071 \h </w:instrText>
      </w:r>
      <w:r>
        <w:fldChar w:fldCharType="separate"/>
      </w:r>
      <w:r>
        <w:t>229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_Toc530555072 \h </w:instrText>
      </w:r>
      <w:r>
        <w:fldChar w:fldCharType="separate"/>
      </w:r>
      <w:r>
        <w:t>230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_Toc530555073 \h </w:instrText>
      </w:r>
      <w:r>
        <w:fldChar w:fldCharType="separate"/>
      </w:r>
      <w:r>
        <w:t>232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_Toc530555074 \h </w:instrText>
      </w:r>
      <w:r>
        <w:fldChar w:fldCharType="separate"/>
      </w:r>
      <w:r>
        <w:t>233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_Toc530555075 \h </w:instrText>
      </w:r>
      <w:r>
        <w:fldChar w:fldCharType="separate"/>
      </w:r>
      <w:r>
        <w:t>233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_Toc530555076 \h </w:instrText>
      </w:r>
      <w:r>
        <w:fldChar w:fldCharType="separate"/>
      </w:r>
      <w:r>
        <w:t>234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_Toc530555077 \h </w:instrText>
      </w:r>
      <w:r>
        <w:fldChar w:fldCharType="separate"/>
      </w:r>
      <w:r>
        <w:t>234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_Toc530555078 \h </w:instrText>
      </w:r>
      <w:r>
        <w:fldChar w:fldCharType="separate"/>
      </w:r>
      <w:r>
        <w:t>235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_Toc530555079 \h </w:instrText>
      </w:r>
      <w:r>
        <w:fldChar w:fldCharType="separate"/>
      </w:r>
      <w:r>
        <w:t>235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_Toc530555080 \h </w:instrText>
      </w:r>
      <w:r>
        <w:fldChar w:fldCharType="separate"/>
      </w:r>
      <w:r>
        <w:t>237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_Toc530555081 \h </w:instrText>
      </w:r>
      <w:r>
        <w:fldChar w:fldCharType="separate"/>
      </w:r>
      <w:r>
        <w:t>237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_Toc530555082 \h </w:instrText>
      </w:r>
      <w:r>
        <w:fldChar w:fldCharType="separate"/>
      </w:r>
      <w:r>
        <w:t>237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_Toc530555083 \h </w:instrText>
      </w:r>
      <w:r>
        <w:fldChar w:fldCharType="separate"/>
      </w:r>
      <w:r>
        <w:t>240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_Toc530555084 \h </w:instrText>
      </w:r>
      <w:r>
        <w:fldChar w:fldCharType="separate"/>
      </w:r>
      <w:r>
        <w:t>240</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_Toc530555085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_Toc530555086 \h </w:instrText>
      </w:r>
      <w:r>
        <w:fldChar w:fldCharType="separate"/>
      </w:r>
      <w:r>
        <w:t>243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_Toc530555087 \h </w:instrText>
      </w:r>
      <w:r>
        <w:fldChar w:fldCharType="separate"/>
      </w:r>
      <w:r>
        <w:t>243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_Toc530555088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_Toc530555089 \h </w:instrText>
      </w:r>
      <w:r>
        <w:fldChar w:fldCharType="separate"/>
      </w:r>
      <w:r>
        <w:t>244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_Toc530555090 \h </w:instrText>
      </w:r>
      <w:r>
        <w:fldChar w:fldCharType="separate"/>
      </w:r>
      <w:r>
        <w:t>244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_Toc530555091 \h </w:instrText>
      </w:r>
      <w:r>
        <w:fldChar w:fldCharType="separate"/>
      </w:r>
      <w:r>
        <w:t>244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_Toc530555092 \h </w:instrText>
      </w:r>
      <w:r>
        <w:fldChar w:fldCharType="separate"/>
      </w:r>
      <w:r>
        <w:t>244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_Toc530555093 \h </w:instrText>
      </w:r>
      <w:r>
        <w:fldChar w:fldCharType="separate"/>
      </w:r>
      <w:r>
        <w:t>245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_Toc530555094 \h </w:instrText>
      </w:r>
      <w:r>
        <w:fldChar w:fldCharType="separate"/>
      </w:r>
      <w:r>
        <w:t>245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_Toc530555095 \h </w:instrText>
      </w:r>
      <w:r>
        <w:fldChar w:fldCharType="separate"/>
      </w:r>
      <w:r>
        <w:t>246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_Toc530555096 \h </w:instrText>
      </w:r>
      <w:r>
        <w:fldChar w:fldCharType="separate"/>
      </w:r>
      <w:r>
        <w:t>246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_Toc530555097 \h </w:instrText>
      </w:r>
      <w:r>
        <w:fldChar w:fldCharType="separate"/>
      </w:r>
      <w:r>
        <w:t>247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_Toc530555098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Schedule 4 — Transitional provisions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_Toc530555100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_Toc530555101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_Toc530555103 \h </w:instrText>
      </w:r>
      <w:r>
        <w:fldChar w:fldCharType="separate"/>
      </w:r>
      <w:r>
        <w:t>250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_Toc530555104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000"/>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No. 58 of 1995 s. 4.]</w:t>
      </w:r>
    </w:p>
    <w:p>
      <w:pPr>
        <w:pStyle w:val="Heading2"/>
      </w:pPr>
      <w:bookmarkStart w:id="3" w:name="_Toc525288398"/>
      <w:bookmarkStart w:id="4" w:name="_Toc530554434"/>
      <w:bookmarkStart w:id="5" w:name="_Toc53055477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3055477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7" w:name="_Toc53055477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3055477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pPr>
      <w:r>
        <w:tab/>
        <w:t>(i)</w:t>
      </w:r>
      <w:r>
        <w:tab/>
        <w:t>the floor area of any such cubic space; and</w:t>
      </w:r>
    </w:p>
    <w:p>
      <w:pPr>
        <w:pStyle w:val="Defsubpara"/>
        <w:keepLines w:val="0"/>
      </w:pPr>
      <w:r>
        <w:tab/>
        <w:t>(ii)</w:t>
      </w:r>
      <w: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pPr>
      <w:r>
        <w:tab/>
        <w:t>(i)</w:t>
      </w:r>
      <w:r>
        <w:tab/>
        <w:t>shows the base lines in respect of the proposed lots or parts thereof that are so superimposed separately from those in respect of the other proposed lots or parts thereof upon which they are superimposed; and</w:t>
      </w:r>
    </w:p>
    <w:p>
      <w:pPr>
        <w:pStyle w:val="Defsubpara"/>
      </w:pPr>
      <w:r>
        <w:tab/>
        <w:t>(ii)</w:t>
      </w:r>
      <w: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pPr>
      <w:r>
        <w:tab/>
        <w:t>(i)</w:t>
      </w:r>
      <w:r>
        <w:tab/>
        <w:t>has boundaries described in accordance with the regulations; and</w:t>
      </w:r>
    </w:p>
    <w:p>
      <w:pPr>
        <w:pStyle w:val="Defsubpara"/>
      </w:pPr>
      <w:r>
        <w:tab/>
        <w:t>(ii)</w:t>
      </w:r>
      <w: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pPr>
      <w:r>
        <w:tab/>
        <w:t>(i)</w:t>
      </w:r>
      <w:r>
        <w:tab/>
        <w:t>of which at least 14 days’ notice specifying the proposed resolution has been given; and</w:t>
      </w:r>
    </w:p>
    <w:p>
      <w:pPr>
        <w:pStyle w:val="Defsubpara"/>
        <w:rPr>
          <w:spacing w:val="-4"/>
        </w:rPr>
      </w:pPr>
      <w:r>
        <w:rPr>
          <w:spacing w:val="-4"/>
        </w:rPr>
        <w:tab/>
        <w:t>(ii)</w:t>
      </w:r>
      <w:r>
        <w:rPr>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9" w:name="_Toc530554774"/>
      <w:r>
        <w:rPr>
          <w:rStyle w:val="CharSectno"/>
        </w:rPr>
        <w:t>3A</w:t>
      </w:r>
      <w:r>
        <w:rPr>
          <w:snapToGrid w:val="0"/>
        </w:rPr>
        <w:t>.</w:t>
      </w:r>
      <w:r>
        <w:rPr>
          <w:snapToGrid w:val="0"/>
        </w:rPr>
        <w:tab/>
        <w:t>Single tier strata schemes to which s. 3AB applies</w:t>
      </w:r>
      <w:bookmarkEnd w:id="9"/>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No. 61 of 1996 s. 6.]</w:t>
      </w:r>
    </w:p>
    <w:p>
      <w:pPr>
        <w:pStyle w:val="Heading5"/>
        <w:rPr>
          <w:snapToGrid w:val="0"/>
        </w:rPr>
      </w:pPr>
      <w:bookmarkStart w:id="10" w:name="_Toc530554775"/>
      <w:r>
        <w:rPr>
          <w:rStyle w:val="CharSectno"/>
        </w:rPr>
        <w:t>3AB</w:t>
      </w:r>
      <w:r>
        <w:rPr>
          <w:snapToGrid w:val="0"/>
        </w:rPr>
        <w:t>.</w:t>
      </w:r>
      <w:r>
        <w:rPr>
          <w:snapToGrid w:val="0"/>
        </w:rPr>
        <w:tab/>
        <w:t>Alternative boundaries for lots in single tier strata schemes</w:t>
      </w:r>
      <w:bookmarkEnd w:id="10"/>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No. 61 of 1996 s. 6; amended: No. 55 of 2004 s. 1157.]</w:t>
      </w:r>
    </w:p>
    <w:p>
      <w:pPr>
        <w:pStyle w:val="Heading5"/>
        <w:rPr>
          <w:snapToGrid w:val="0"/>
        </w:rPr>
      </w:pPr>
      <w:bookmarkStart w:id="11" w:name="_Toc530554776"/>
      <w:r>
        <w:rPr>
          <w:rStyle w:val="CharSectno"/>
        </w:rPr>
        <w:t>3AC</w:t>
      </w:r>
      <w:r>
        <w:rPr>
          <w:snapToGrid w:val="0"/>
        </w:rPr>
        <w:t>.</w:t>
      </w:r>
      <w:r>
        <w:rPr>
          <w:snapToGrid w:val="0"/>
        </w:rPr>
        <w:tab/>
        <w:t>R</w:t>
      </w:r>
      <w:r>
        <w:t>esolution without dissent</w:t>
      </w:r>
      <w:bookmarkEnd w:id="11"/>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No. 58 of 1995 s. 6; renumbered as section 3AC: No. 61 of 1996 s. 5.]</w:t>
      </w:r>
    </w:p>
    <w:p>
      <w:pPr>
        <w:pStyle w:val="Heading5"/>
        <w:rPr>
          <w:snapToGrid w:val="0"/>
        </w:rPr>
      </w:pPr>
      <w:bookmarkStart w:id="12" w:name="_Toc530554777"/>
      <w:r>
        <w:rPr>
          <w:rStyle w:val="CharSectno"/>
        </w:rPr>
        <w:t>3B</w:t>
      </w:r>
      <w:r>
        <w:rPr>
          <w:snapToGrid w:val="0"/>
        </w:rPr>
        <w:t>.</w:t>
      </w:r>
      <w:r>
        <w:rPr>
          <w:snapToGrid w:val="0"/>
        </w:rPr>
        <w:tab/>
        <w:t>Special resolution of strata company</w:t>
      </w:r>
      <w:bookmarkEnd w:id="12"/>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No. 58 of 1995 s. 6; amended: No. 55 of 2004 s. 1108 and 1156(3).]</w:t>
      </w:r>
    </w:p>
    <w:p>
      <w:pPr>
        <w:pStyle w:val="Heading5"/>
        <w:rPr>
          <w:snapToGrid w:val="0"/>
        </w:rPr>
      </w:pPr>
      <w:bookmarkStart w:id="13" w:name="_Toc530554778"/>
      <w:r>
        <w:rPr>
          <w:rStyle w:val="CharSectno"/>
        </w:rPr>
        <w:t>3C</w:t>
      </w:r>
      <w:r>
        <w:rPr>
          <w:snapToGrid w:val="0"/>
        </w:rPr>
        <w:t>.</w:t>
      </w:r>
      <w:r>
        <w:rPr>
          <w:snapToGrid w:val="0"/>
        </w:rPr>
        <w:tab/>
        <w:t>Supplementary provisions to s. 3AC and 3B</w:t>
      </w:r>
      <w:bookmarkEnd w:id="13"/>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No. 58 of 1995 s. 6; amended: No. 61 of 1996 s. 5.]</w:t>
      </w:r>
    </w:p>
    <w:p>
      <w:pPr>
        <w:pStyle w:val="Heading5"/>
        <w:rPr>
          <w:snapToGrid w:val="0"/>
        </w:rPr>
      </w:pPr>
      <w:bookmarkStart w:id="14" w:name="_Toc530554779"/>
      <w:r>
        <w:rPr>
          <w:rStyle w:val="CharSectno"/>
        </w:rPr>
        <w:t>3CA</w:t>
      </w:r>
      <w:r>
        <w:rPr>
          <w:snapToGrid w:val="0"/>
        </w:rPr>
        <w:t>.</w:t>
      </w:r>
      <w:r>
        <w:rPr>
          <w:snapToGrid w:val="0"/>
        </w:rPr>
        <w:tab/>
        <w:t>Certain resolutions deemed to be resolutions without dissent or special resolutions</w:t>
      </w:r>
      <w:bookmarkEnd w:id="14"/>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No. 61 of 1996 s. 7.]</w:t>
      </w:r>
    </w:p>
    <w:p>
      <w:pPr>
        <w:pStyle w:val="Heading5"/>
        <w:rPr>
          <w:snapToGrid w:val="0"/>
        </w:rPr>
      </w:pPr>
      <w:bookmarkStart w:id="15" w:name="_Toc530554780"/>
      <w:r>
        <w:rPr>
          <w:rStyle w:val="CharSectno"/>
        </w:rPr>
        <w:t>3D</w:t>
      </w:r>
      <w:r>
        <w:rPr>
          <w:snapToGrid w:val="0"/>
        </w:rPr>
        <w:t>.</w:t>
      </w:r>
      <w:r>
        <w:rPr>
          <w:snapToGrid w:val="0"/>
        </w:rPr>
        <w:tab/>
        <w:t>Unfinancial proprietors may vote in certain cases</w:t>
      </w:r>
      <w:bookmarkEnd w:id="15"/>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No. 58 of 1995 s. 6.]</w:t>
      </w:r>
    </w:p>
    <w:p>
      <w:pPr>
        <w:pStyle w:val="Heading2"/>
      </w:pPr>
      <w:bookmarkStart w:id="16" w:name="_Toc525288409"/>
      <w:bookmarkStart w:id="17" w:name="_Toc530554445"/>
      <w:bookmarkStart w:id="18" w:name="_Toc530554781"/>
      <w:r>
        <w:rPr>
          <w:rStyle w:val="CharPartNo"/>
        </w:rPr>
        <w:t>Part II</w:t>
      </w:r>
      <w:r>
        <w:t> — </w:t>
      </w:r>
      <w:r>
        <w:rPr>
          <w:rStyle w:val="CharPartText"/>
        </w:rPr>
        <w:t>Strata schemes and survey</w:t>
      </w:r>
      <w:r>
        <w:rPr>
          <w:rStyle w:val="CharPartText"/>
        </w:rPr>
        <w:noBreakHyphen/>
        <w:t>strata schemes</w:t>
      </w:r>
      <w:bookmarkEnd w:id="16"/>
      <w:bookmarkEnd w:id="17"/>
      <w:bookmarkEnd w:id="18"/>
    </w:p>
    <w:p>
      <w:pPr>
        <w:pStyle w:val="Footnoteheading"/>
      </w:pPr>
      <w:r>
        <w:tab/>
        <w:t>[Heading inserted: No. 58 of 1995 s. 7.]</w:t>
      </w:r>
    </w:p>
    <w:p>
      <w:pPr>
        <w:pStyle w:val="Heading3"/>
        <w:spacing w:before="180"/>
      </w:pPr>
      <w:bookmarkStart w:id="19" w:name="_Toc525288410"/>
      <w:bookmarkStart w:id="20" w:name="_Toc530554446"/>
      <w:bookmarkStart w:id="21" w:name="_Toc530554782"/>
      <w:r>
        <w:rPr>
          <w:rStyle w:val="CharDivNo"/>
        </w:rPr>
        <w:t>Division 1</w:t>
      </w:r>
      <w:r>
        <w:rPr>
          <w:snapToGrid w:val="0"/>
        </w:rPr>
        <w:t> — </w:t>
      </w:r>
      <w:r>
        <w:rPr>
          <w:rStyle w:val="CharDivText"/>
        </w:rPr>
        <w:t>Creation of lots and common property</w:t>
      </w:r>
      <w:bookmarkEnd w:id="19"/>
      <w:bookmarkEnd w:id="20"/>
      <w:bookmarkEnd w:id="21"/>
    </w:p>
    <w:p>
      <w:pPr>
        <w:pStyle w:val="Heading5"/>
        <w:spacing w:before="180"/>
        <w:rPr>
          <w:snapToGrid w:val="0"/>
        </w:rPr>
      </w:pPr>
      <w:bookmarkStart w:id="22" w:name="_Toc530554783"/>
      <w:r>
        <w:rPr>
          <w:rStyle w:val="CharSectno"/>
        </w:rPr>
        <w:t>4</w:t>
      </w:r>
      <w:r>
        <w:rPr>
          <w:snapToGrid w:val="0"/>
        </w:rPr>
        <w:t>.</w:t>
      </w:r>
      <w:r>
        <w:rPr>
          <w:snapToGrid w:val="0"/>
        </w:rPr>
        <w:tab/>
        <w:t>Subdivision into lots and common property</w:t>
      </w:r>
      <w:bookmarkEnd w:id="22"/>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No. 58 of 1995 s. 8 and 95; No. 61 of 1996 s. 8; No. 81 of 1996 s. 153(1).]</w:t>
      </w:r>
    </w:p>
    <w:p>
      <w:pPr>
        <w:pStyle w:val="Heading5"/>
        <w:rPr>
          <w:snapToGrid w:val="0"/>
        </w:rPr>
      </w:pPr>
      <w:bookmarkStart w:id="23" w:name="_Toc530554784"/>
      <w:r>
        <w:rPr>
          <w:rStyle w:val="CharSectno"/>
        </w:rPr>
        <w:t>5</w:t>
      </w:r>
      <w:r>
        <w:rPr>
          <w:snapToGrid w:val="0"/>
        </w:rPr>
        <w:t>.</w:t>
      </w:r>
      <w:r>
        <w:rPr>
          <w:snapToGrid w:val="0"/>
        </w:rPr>
        <w:tab/>
        <w:t>Strata plan: requirements</w:t>
      </w:r>
      <w:bookmarkEnd w:id="23"/>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No. 84 of 1994 s. 46; No. 58 of 1995 s. 9; No. 61 of 1996 s. 9.]</w:t>
      </w:r>
    </w:p>
    <w:p>
      <w:pPr>
        <w:pStyle w:val="Heading5"/>
        <w:rPr>
          <w:snapToGrid w:val="0"/>
        </w:rPr>
      </w:pPr>
      <w:bookmarkStart w:id="24" w:name="_Toc530554785"/>
      <w:r>
        <w:rPr>
          <w:rStyle w:val="CharSectno"/>
        </w:rPr>
        <w:t>5A</w:t>
      </w:r>
      <w:r>
        <w:rPr>
          <w:snapToGrid w:val="0"/>
        </w:rPr>
        <w:t>.</w:t>
      </w:r>
      <w:r>
        <w:rPr>
          <w:snapToGrid w:val="0"/>
        </w:rPr>
        <w:tab/>
        <w:t>Survey</w:t>
      </w:r>
      <w:r>
        <w:rPr>
          <w:snapToGrid w:val="0"/>
        </w:rPr>
        <w:noBreakHyphen/>
        <w:t>strata plan: requirements</w:t>
      </w:r>
      <w:bookmarkEnd w:id="24"/>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No. 58 of 1995 s. 10.]</w:t>
      </w:r>
    </w:p>
    <w:p>
      <w:pPr>
        <w:pStyle w:val="Heading5"/>
        <w:rPr>
          <w:snapToGrid w:val="0"/>
        </w:rPr>
      </w:pPr>
      <w:bookmarkStart w:id="25" w:name="_Toc530554786"/>
      <w:r>
        <w:rPr>
          <w:rStyle w:val="CharSectno"/>
        </w:rPr>
        <w:t>5B</w:t>
      </w:r>
      <w:r>
        <w:rPr>
          <w:snapToGrid w:val="0"/>
        </w:rPr>
        <w:t>.</w:t>
      </w:r>
      <w:r>
        <w:rPr>
          <w:snapToGrid w:val="0"/>
        </w:rPr>
        <w:tab/>
        <w:t>Further provisions as to registration of plans</w:t>
      </w:r>
      <w:bookmarkEnd w:id="25"/>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No. 58 of 1995 s. 10; amended: No. 57 of 1997 s. 115(1); No. 24 of 2011 s. 174(2).]</w:t>
      </w:r>
    </w:p>
    <w:p>
      <w:pPr>
        <w:pStyle w:val="Heading5"/>
        <w:keepLines w:val="0"/>
        <w:rPr>
          <w:snapToGrid w:val="0"/>
        </w:rPr>
      </w:pPr>
      <w:bookmarkStart w:id="26" w:name="_Toc530554787"/>
      <w:r>
        <w:rPr>
          <w:rStyle w:val="CharSectno"/>
        </w:rPr>
        <w:t>5C</w:t>
      </w:r>
      <w:r>
        <w:rPr>
          <w:snapToGrid w:val="0"/>
        </w:rPr>
        <w:t>.</w:t>
      </w:r>
      <w:r>
        <w:rPr>
          <w:snapToGrid w:val="0"/>
        </w:rPr>
        <w:tab/>
        <w:t>Management statement setting out by</w:t>
      </w:r>
      <w:r>
        <w:rPr>
          <w:snapToGrid w:val="0"/>
        </w:rPr>
        <w:noBreakHyphen/>
        <w:t>laws may be registered</w:t>
      </w:r>
      <w:bookmarkEnd w:id="26"/>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No. 58 of 1995 s. 10; amended: No. 61 of 1996 s. 10.]</w:t>
      </w:r>
    </w:p>
    <w:p>
      <w:pPr>
        <w:pStyle w:val="Heading5"/>
        <w:rPr>
          <w:snapToGrid w:val="0"/>
        </w:rPr>
      </w:pPr>
      <w:bookmarkStart w:id="27" w:name="_Toc530554788"/>
      <w:r>
        <w:rPr>
          <w:rStyle w:val="CharSectno"/>
        </w:rPr>
        <w:t>5D</w:t>
      </w:r>
      <w:r>
        <w:rPr>
          <w:snapToGrid w:val="0"/>
        </w:rPr>
        <w:t>.</w:t>
      </w:r>
      <w:r>
        <w:rPr>
          <w:snapToGrid w:val="0"/>
        </w:rPr>
        <w:tab/>
        <w:t>Creation of easements by notation on survey</w:t>
      </w:r>
      <w:r>
        <w:rPr>
          <w:snapToGrid w:val="0"/>
        </w:rPr>
        <w:noBreakHyphen/>
        <w:t>strata plans</w:t>
      </w:r>
      <w:bookmarkEnd w:id="27"/>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No. 61 of 1996 s. 11.]</w:t>
      </w:r>
    </w:p>
    <w:p>
      <w:pPr>
        <w:pStyle w:val="Heading5"/>
        <w:rPr>
          <w:snapToGrid w:val="0"/>
        </w:rPr>
      </w:pPr>
      <w:bookmarkStart w:id="28" w:name="_Toc530554789"/>
      <w:r>
        <w:rPr>
          <w:rStyle w:val="CharSectno"/>
        </w:rPr>
        <w:t>5E</w:t>
      </w:r>
      <w:r>
        <w:rPr>
          <w:snapToGrid w:val="0"/>
        </w:rPr>
        <w:t>.</w:t>
      </w:r>
      <w:r>
        <w:rPr>
          <w:snapToGrid w:val="0"/>
        </w:rPr>
        <w:tab/>
        <w:t>Provision on plan etc. overrides regulations as to easements</w:t>
      </w:r>
      <w:bookmarkEnd w:id="28"/>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No. 61 of 1996 s. 11.]</w:t>
      </w:r>
    </w:p>
    <w:p>
      <w:pPr>
        <w:pStyle w:val="Heading5"/>
        <w:rPr>
          <w:snapToGrid w:val="0"/>
        </w:rPr>
      </w:pPr>
      <w:bookmarkStart w:id="29" w:name="_Toc530554790"/>
      <w:r>
        <w:rPr>
          <w:rStyle w:val="CharSectno"/>
        </w:rPr>
        <w:t>5F</w:t>
      </w:r>
      <w:r>
        <w:rPr>
          <w:snapToGrid w:val="0"/>
        </w:rPr>
        <w:t>.</w:t>
      </w:r>
      <w:r>
        <w:rPr>
          <w:snapToGrid w:val="0"/>
        </w:rPr>
        <w:tab/>
        <w:t>Variation or discharge of easements under s. 5D</w:t>
      </w:r>
      <w:bookmarkEnd w:id="29"/>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No. 61 of 1996 s. 11.]</w:t>
      </w:r>
    </w:p>
    <w:p>
      <w:pPr>
        <w:pStyle w:val="Heading5"/>
        <w:rPr>
          <w:snapToGrid w:val="0"/>
        </w:rPr>
      </w:pPr>
      <w:bookmarkStart w:id="30" w:name="_Toc530554791"/>
      <w:r>
        <w:rPr>
          <w:rStyle w:val="CharSectno"/>
        </w:rPr>
        <w:t>5G</w:t>
      </w:r>
      <w:r>
        <w:rPr>
          <w:snapToGrid w:val="0"/>
        </w:rPr>
        <w:t>.</w:t>
      </w:r>
      <w:r>
        <w:rPr>
          <w:snapToGrid w:val="0"/>
        </w:rPr>
        <w:tab/>
        <w:t>Easement where common ownership</w:t>
      </w:r>
      <w:bookmarkEnd w:id="30"/>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No. 61 of 1996 s. 11.]</w:t>
      </w:r>
    </w:p>
    <w:p>
      <w:pPr>
        <w:pStyle w:val="Heading5"/>
        <w:rPr>
          <w:snapToGrid w:val="0"/>
        </w:rPr>
      </w:pPr>
      <w:bookmarkStart w:id="31" w:name="_Toc530554792"/>
      <w:r>
        <w:rPr>
          <w:rStyle w:val="CharSectno"/>
        </w:rPr>
        <w:t>5H</w:t>
      </w:r>
      <w:r>
        <w:rPr>
          <w:snapToGrid w:val="0"/>
        </w:rPr>
        <w:t>.</w:t>
      </w:r>
      <w:r>
        <w:rPr>
          <w:snapToGrid w:val="0"/>
        </w:rPr>
        <w:tab/>
        <w:t>Regulations as to easements</w:t>
      </w:r>
      <w:bookmarkEnd w:id="31"/>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No. 61 of 1996 s. 11.]</w:t>
      </w:r>
    </w:p>
    <w:p>
      <w:pPr>
        <w:pStyle w:val="Heading5"/>
        <w:keepLines w:val="0"/>
        <w:rPr>
          <w:snapToGrid w:val="0"/>
        </w:rPr>
      </w:pPr>
      <w:bookmarkStart w:id="32" w:name="_Toc530554793"/>
      <w:r>
        <w:rPr>
          <w:rStyle w:val="CharSectno"/>
        </w:rPr>
        <w:t>6</w:t>
      </w:r>
      <w:r>
        <w:rPr>
          <w:snapToGrid w:val="0"/>
        </w:rPr>
        <w:t>.</w:t>
      </w:r>
      <w:r>
        <w:rPr>
          <w:snapToGrid w:val="0"/>
        </w:rPr>
        <w:tab/>
        <w:t>Strata/survey</w:t>
      </w:r>
      <w:r>
        <w:rPr>
          <w:snapToGrid w:val="0"/>
        </w:rPr>
        <w:noBreakHyphen/>
        <w:t>strata plan may restrict use of parcel or part of parcel</w:t>
      </w:r>
      <w:bookmarkEnd w:id="32"/>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No. 84 of 1994 s. 46; No. 58 of 1995 s. 11 and 95; No. 57 of 1997 s. 115(1); No. 24 of 2000 s. 40(1) and (2).]</w:t>
      </w:r>
    </w:p>
    <w:p>
      <w:pPr>
        <w:pStyle w:val="Heading5"/>
        <w:rPr>
          <w:snapToGrid w:val="0"/>
        </w:rPr>
      </w:pPr>
      <w:bookmarkStart w:id="33" w:name="_Toc530554794"/>
      <w:r>
        <w:rPr>
          <w:rStyle w:val="CharSectno"/>
        </w:rPr>
        <w:t>6A</w:t>
      </w:r>
      <w:r>
        <w:rPr>
          <w:snapToGrid w:val="0"/>
        </w:rPr>
        <w:t>.</w:t>
      </w:r>
      <w:r>
        <w:rPr>
          <w:snapToGrid w:val="0"/>
        </w:rPr>
        <w:tab/>
        <w:t>Restrictions relating to retired persons</w:t>
      </w:r>
      <w:bookmarkEnd w:id="33"/>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No. 58 of 1995 s. 12; amended: No. 28 of 2003 s. 195.]</w:t>
      </w:r>
    </w:p>
    <w:p>
      <w:pPr>
        <w:pStyle w:val="Heading5"/>
        <w:rPr>
          <w:snapToGrid w:val="0"/>
        </w:rPr>
      </w:pPr>
      <w:bookmarkStart w:id="34" w:name="_Toc530554795"/>
      <w:r>
        <w:rPr>
          <w:rStyle w:val="CharSectno"/>
        </w:rPr>
        <w:t>7</w:t>
      </w:r>
      <w:r>
        <w:rPr>
          <w:snapToGrid w:val="0"/>
        </w:rPr>
        <w:t>.</w:t>
      </w:r>
      <w:r>
        <w:rPr>
          <w:snapToGrid w:val="0"/>
        </w:rPr>
        <w:tab/>
        <w:t>Structural erections, alterations and extensions restricted, strata schemes</w:t>
      </w:r>
      <w:bookmarkEnd w:id="34"/>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No. 58 of 1995 s. 13.]</w:t>
      </w:r>
    </w:p>
    <w:p>
      <w:pPr>
        <w:pStyle w:val="Heading5"/>
        <w:rPr>
          <w:snapToGrid w:val="0"/>
        </w:rPr>
      </w:pPr>
      <w:bookmarkStart w:id="35" w:name="_Toc530554796"/>
      <w:r>
        <w:rPr>
          <w:rStyle w:val="CharSectno"/>
        </w:rPr>
        <w:t>7A</w:t>
      </w:r>
      <w:r>
        <w:rPr>
          <w:snapToGrid w:val="0"/>
        </w:rPr>
        <w:t>.</w:t>
      </w:r>
      <w:r>
        <w:rPr>
          <w:snapToGrid w:val="0"/>
        </w:rPr>
        <w:tab/>
        <w:t>Structural erections, alterations and extensions restricted, survey</w:t>
      </w:r>
      <w:r>
        <w:rPr>
          <w:snapToGrid w:val="0"/>
        </w:rPr>
        <w:noBreakHyphen/>
        <w:t>strata schemes</w:t>
      </w:r>
      <w:bookmarkEnd w:id="35"/>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No. 58 of 1995 s. 13.]</w:t>
      </w:r>
    </w:p>
    <w:p>
      <w:pPr>
        <w:pStyle w:val="Heading5"/>
        <w:rPr>
          <w:snapToGrid w:val="0"/>
        </w:rPr>
      </w:pPr>
      <w:bookmarkStart w:id="36" w:name="_Toc530554797"/>
      <w:r>
        <w:rPr>
          <w:rStyle w:val="CharSectno"/>
        </w:rPr>
        <w:t>7B</w:t>
      </w:r>
      <w:r>
        <w:rPr>
          <w:snapToGrid w:val="0"/>
        </w:rPr>
        <w:t>.</w:t>
      </w:r>
      <w:r>
        <w:rPr>
          <w:snapToGrid w:val="0"/>
        </w:rPr>
        <w:tab/>
        <w:t>Further provisions as to approvals for purposes of s. 7 and 7A</w:t>
      </w:r>
      <w:bookmarkEnd w:id="36"/>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No. 58 of 1995 s. 13.]</w:t>
      </w:r>
    </w:p>
    <w:p>
      <w:pPr>
        <w:pStyle w:val="Heading5"/>
        <w:rPr>
          <w:snapToGrid w:val="0"/>
        </w:rPr>
      </w:pPr>
      <w:bookmarkStart w:id="37" w:name="_Toc530554798"/>
      <w:r>
        <w:rPr>
          <w:rStyle w:val="CharSectno"/>
        </w:rPr>
        <w:t>8</w:t>
      </w:r>
      <w:r>
        <w:rPr>
          <w:snapToGrid w:val="0"/>
        </w:rPr>
        <w:t>.</w:t>
      </w:r>
      <w:r>
        <w:rPr>
          <w:snapToGrid w:val="0"/>
        </w:rPr>
        <w:tab/>
        <w:t>Re</w:t>
      </w:r>
      <w:r>
        <w:rPr>
          <w:snapToGrid w:val="0"/>
        </w:rPr>
        <w:noBreakHyphen/>
        <w:t>subdivision within a scheme</w:t>
      </w:r>
      <w:bookmarkEnd w:id="37"/>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No. 58 of 1995 s. 14.]</w:t>
      </w:r>
    </w:p>
    <w:p>
      <w:pPr>
        <w:pStyle w:val="Heading5"/>
        <w:rPr>
          <w:snapToGrid w:val="0"/>
        </w:rPr>
      </w:pPr>
      <w:bookmarkStart w:id="38" w:name="_Toc530554799"/>
      <w:r>
        <w:rPr>
          <w:rStyle w:val="CharSectno"/>
        </w:rPr>
        <w:t>8A</w:t>
      </w:r>
      <w:r>
        <w:rPr>
          <w:snapToGrid w:val="0"/>
        </w:rPr>
        <w:t>.</w:t>
      </w:r>
      <w:r>
        <w:rPr>
          <w:snapToGrid w:val="0"/>
        </w:rPr>
        <w:tab/>
        <w:t>Requirements for plan of re</w:t>
      </w:r>
      <w:r>
        <w:rPr>
          <w:snapToGrid w:val="0"/>
        </w:rPr>
        <w:noBreakHyphen/>
        <w:t>subdivision</w:t>
      </w:r>
      <w:bookmarkEnd w:id="38"/>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No. 58 of 1995 s. 14; amended: No. 61 of 1996 s. 12; No. 57 of 1997 s. 115(1); No. 24 of 2011 s. 174(3).]</w:t>
      </w:r>
    </w:p>
    <w:p>
      <w:pPr>
        <w:pStyle w:val="Heading5"/>
        <w:rPr>
          <w:snapToGrid w:val="0"/>
        </w:rPr>
      </w:pPr>
      <w:bookmarkStart w:id="39" w:name="_Toc530554800"/>
      <w:r>
        <w:rPr>
          <w:rStyle w:val="CharSectno"/>
        </w:rPr>
        <w:t>8B</w:t>
      </w:r>
      <w:r>
        <w:rPr>
          <w:snapToGrid w:val="0"/>
        </w:rPr>
        <w:t>.</w:t>
      </w:r>
      <w:r>
        <w:rPr>
          <w:snapToGrid w:val="0"/>
        </w:rPr>
        <w:tab/>
        <w:t>Transfers etc. to give effect to plan</w:t>
      </w:r>
      <w:bookmarkEnd w:id="39"/>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No. 58 of 1995 s. 14.]</w:t>
      </w:r>
    </w:p>
    <w:p>
      <w:pPr>
        <w:pStyle w:val="Heading5"/>
        <w:rPr>
          <w:snapToGrid w:val="0"/>
        </w:rPr>
      </w:pPr>
      <w:bookmarkStart w:id="40" w:name="_Toc530554801"/>
      <w:r>
        <w:rPr>
          <w:rStyle w:val="CharSectno"/>
        </w:rPr>
        <w:t>8C</w:t>
      </w:r>
      <w:r>
        <w:rPr>
          <w:snapToGrid w:val="0"/>
        </w:rPr>
        <w:t>.</w:t>
      </w:r>
      <w:r>
        <w:rPr>
          <w:snapToGrid w:val="0"/>
        </w:rPr>
        <w:tab/>
        <w:t>Effect of registration of plan of re</w:t>
      </w:r>
      <w:r>
        <w:rPr>
          <w:snapToGrid w:val="0"/>
        </w:rPr>
        <w:noBreakHyphen/>
        <w:t>subdivision</w:t>
      </w:r>
      <w:bookmarkEnd w:id="40"/>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No. 58 of 1995 s. 14.]</w:t>
      </w:r>
    </w:p>
    <w:p>
      <w:pPr>
        <w:pStyle w:val="Heading5"/>
        <w:rPr>
          <w:snapToGrid w:val="0"/>
        </w:rPr>
      </w:pPr>
      <w:bookmarkStart w:id="41" w:name="_Toc530554802"/>
      <w:r>
        <w:rPr>
          <w:rStyle w:val="CharSectno"/>
        </w:rPr>
        <w:t>9</w:t>
      </w:r>
      <w:r>
        <w:rPr>
          <w:snapToGrid w:val="0"/>
        </w:rPr>
        <w:t>.</w:t>
      </w:r>
      <w:r>
        <w:rPr>
          <w:snapToGrid w:val="0"/>
        </w:rPr>
        <w:tab/>
        <w:t>Consolidation of lots</w:t>
      </w:r>
      <w:bookmarkEnd w:id="41"/>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No. 84 of 1994 s. 46; No. 58 of 1995 s. 15 and 95; No. 14 of 1996 s. 4.]</w:t>
      </w:r>
    </w:p>
    <w:p>
      <w:pPr>
        <w:pStyle w:val="Heading5"/>
        <w:rPr>
          <w:snapToGrid w:val="0"/>
        </w:rPr>
      </w:pPr>
      <w:bookmarkStart w:id="42" w:name="_Toc530554803"/>
      <w:r>
        <w:rPr>
          <w:rStyle w:val="CharSectno"/>
        </w:rPr>
        <w:t>10</w:t>
      </w:r>
      <w:r>
        <w:rPr>
          <w:snapToGrid w:val="0"/>
        </w:rPr>
        <w:t>.</w:t>
      </w:r>
      <w:r>
        <w:rPr>
          <w:snapToGrid w:val="0"/>
        </w:rPr>
        <w:tab/>
        <w:t>Conversion of lots into common property</w:t>
      </w:r>
      <w:bookmarkEnd w:id="42"/>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No. 58 of 1995 s. 92 and 95; No. 14 of 1996 s. 4; No. 81 of 1996 s. 153(1).]</w:t>
      </w:r>
    </w:p>
    <w:p>
      <w:pPr>
        <w:pStyle w:val="Heading5"/>
        <w:rPr>
          <w:snapToGrid w:val="0"/>
        </w:rPr>
      </w:pPr>
      <w:bookmarkStart w:id="43" w:name="_Toc530554804"/>
      <w:r>
        <w:rPr>
          <w:rStyle w:val="CharSectno"/>
        </w:rPr>
        <w:t>11</w:t>
      </w:r>
      <w:r>
        <w:rPr>
          <w:snapToGrid w:val="0"/>
        </w:rPr>
        <w:t>.</w:t>
      </w:r>
      <w:r>
        <w:rPr>
          <w:snapToGrid w:val="0"/>
        </w:rPr>
        <w:tab/>
        <w:t>Support and services</w:t>
      </w:r>
      <w:bookmarkEnd w:id="43"/>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44" w:name="_Toc530554805"/>
      <w:r>
        <w:rPr>
          <w:rStyle w:val="CharSectno"/>
        </w:rPr>
        <w:t>12</w:t>
      </w:r>
      <w:r>
        <w:rPr>
          <w:snapToGrid w:val="0"/>
        </w:rPr>
        <w:t>.</w:t>
      </w:r>
      <w:r>
        <w:rPr>
          <w:snapToGrid w:val="0"/>
        </w:rPr>
        <w:tab/>
        <w:t>Shelter</w:t>
      </w:r>
      <w:bookmarkEnd w:id="44"/>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No. 58 of 1995 s. 16.]</w:t>
      </w:r>
    </w:p>
    <w:p>
      <w:pPr>
        <w:pStyle w:val="Heading5"/>
        <w:rPr>
          <w:snapToGrid w:val="0"/>
        </w:rPr>
      </w:pPr>
      <w:bookmarkStart w:id="45" w:name="_Toc530554806"/>
      <w:r>
        <w:rPr>
          <w:rStyle w:val="CharSectno"/>
        </w:rPr>
        <w:t>12A</w:t>
      </w:r>
      <w:r>
        <w:rPr>
          <w:snapToGrid w:val="0"/>
        </w:rPr>
        <w:t>.</w:t>
      </w:r>
      <w:r>
        <w:rPr>
          <w:snapToGrid w:val="0"/>
        </w:rPr>
        <w:tab/>
        <w:t>Access for maintenance where part of building intrudes into another lot</w:t>
      </w:r>
      <w:bookmarkEnd w:id="45"/>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No. 61 of 1996 s. 13.]</w:t>
      </w:r>
    </w:p>
    <w:p>
      <w:pPr>
        <w:pStyle w:val="Heading5"/>
        <w:rPr>
          <w:snapToGrid w:val="0"/>
        </w:rPr>
      </w:pPr>
      <w:bookmarkStart w:id="46" w:name="_Toc530554807"/>
      <w:r>
        <w:rPr>
          <w:rStyle w:val="CharSectno"/>
        </w:rPr>
        <w:t>13</w:t>
      </w:r>
      <w:r>
        <w:rPr>
          <w:snapToGrid w:val="0"/>
        </w:rPr>
        <w:t>.</w:t>
      </w:r>
      <w:r>
        <w:rPr>
          <w:snapToGrid w:val="0"/>
        </w:rPr>
        <w:tab/>
        <w:t>Ancillary rights</w:t>
      </w:r>
      <w:bookmarkEnd w:id="46"/>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47" w:name="_Toc530554808"/>
      <w:r>
        <w:rPr>
          <w:rStyle w:val="CharSectno"/>
        </w:rPr>
        <w:t>14</w:t>
      </w:r>
      <w:r>
        <w:rPr>
          <w:snapToGrid w:val="0"/>
        </w:rPr>
        <w:t>.</w:t>
      </w:r>
      <w:r>
        <w:rPr>
          <w:snapToGrid w:val="0"/>
        </w:rPr>
        <w:tab/>
        <w:t>Unit entitlement of lots</w:t>
      </w:r>
      <w:bookmarkEnd w:id="47"/>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No. 58 of 1995 s. 17 and 95; No. 61 of 1996 s. 14; No. 24 of 2000 s. 40(3).]</w:t>
      </w:r>
    </w:p>
    <w:p>
      <w:pPr>
        <w:pStyle w:val="Heading5"/>
        <w:rPr>
          <w:snapToGrid w:val="0"/>
        </w:rPr>
      </w:pPr>
      <w:bookmarkStart w:id="48" w:name="_Toc530554809"/>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48"/>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No. 58 of 1995 s. 18, 92, 95 and 96; No. 59 of 2004 Sch. 1 cl. 150.]</w:t>
      </w:r>
    </w:p>
    <w:p>
      <w:pPr>
        <w:pStyle w:val="Heading5"/>
        <w:rPr>
          <w:snapToGrid w:val="0"/>
        </w:rPr>
      </w:pPr>
      <w:bookmarkStart w:id="49" w:name="_Toc530554810"/>
      <w:r>
        <w:rPr>
          <w:rStyle w:val="CharSectno"/>
        </w:rPr>
        <w:t>16</w:t>
      </w:r>
      <w:r>
        <w:rPr>
          <w:snapToGrid w:val="0"/>
        </w:rPr>
        <w:t>.</w:t>
      </w:r>
      <w:r>
        <w:rPr>
          <w:snapToGrid w:val="0"/>
        </w:rPr>
        <w:tab/>
        <w:t>Reallocation of unit entitlement by SAT</w:t>
      </w:r>
      <w:bookmarkEnd w:id="49"/>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No. 58 of 1995 s. 19, 95 and 96; No. 55 of 2004 s. 1109.]</w:t>
      </w:r>
    </w:p>
    <w:p>
      <w:pPr>
        <w:pStyle w:val="Heading3"/>
        <w:spacing w:before="300"/>
      </w:pPr>
      <w:bookmarkStart w:id="50" w:name="_Toc525288439"/>
      <w:bookmarkStart w:id="51" w:name="_Toc530554475"/>
      <w:bookmarkStart w:id="52" w:name="_Toc530554811"/>
      <w:r>
        <w:rPr>
          <w:rStyle w:val="CharDivNo"/>
        </w:rPr>
        <w:t>Division 2</w:t>
      </w:r>
      <w:r>
        <w:rPr>
          <w:snapToGrid w:val="0"/>
        </w:rPr>
        <w:t> — </w:t>
      </w:r>
      <w:r>
        <w:rPr>
          <w:rStyle w:val="CharDivText"/>
        </w:rPr>
        <w:t>Common property</w:t>
      </w:r>
      <w:bookmarkEnd w:id="50"/>
      <w:bookmarkEnd w:id="51"/>
      <w:bookmarkEnd w:id="52"/>
    </w:p>
    <w:p>
      <w:pPr>
        <w:pStyle w:val="Heading5"/>
        <w:rPr>
          <w:snapToGrid w:val="0"/>
        </w:rPr>
      </w:pPr>
      <w:bookmarkStart w:id="53" w:name="_Toc530554812"/>
      <w:r>
        <w:rPr>
          <w:rStyle w:val="CharSectno"/>
        </w:rPr>
        <w:t>17</w:t>
      </w:r>
      <w:r>
        <w:rPr>
          <w:snapToGrid w:val="0"/>
        </w:rPr>
        <w:t>.</w:t>
      </w:r>
      <w:r>
        <w:rPr>
          <w:snapToGrid w:val="0"/>
        </w:rPr>
        <w:tab/>
        <w:t>Ownership of common property</w:t>
      </w:r>
      <w:bookmarkEnd w:id="53"/>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No. 58 of 1995 s. 96.]</w:t>
      </w:r>
    </w:p>
    <w:p>
      <w:pPr>
        <w:pStyle w:val="Heading5"/>
        <w:spacing w:before="240"/>
        <w:rPr>
          <w:snapToGrid w:val="0"/>
        </w:rPr>
      </w:pPr>
      <w:bookmarkStart w:id="54" w:name="_Toc530554813"/>
      <w:r>
        <w:rPr>
          <w:rStyle w:val="CharSectno"/>
        </w:rPr>
        <w:t>18</w:t>
      </w:r>
      <w:r>
        <w:rPr>
          <w:snapToGrid w:val="0"/>
        </w:rPr>
        <w:t>.</w:t>
      </w:r>
      <w:r>
        <w:rPr>
          <w:snapToGrid w:val="0"/>
        </w:rPr>
        <w:tab/>
        <w:t>Acquisition of additional common property</w:t>
      </w:r>
      <w:bookmarkEnd w:id="54"/>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No. 58 of 1995 s. 20, 92 and 95; No. 60 of 2006 s. 160(3).]</w:t>
      </w:r>
    </w:p>
    <w:p>
      <w:pPr>
        <w:pStyle w:val="Heading5"/>
        <w:spacing w:before="300"/>
        <w:rPr>
          <w:snapToGrid w:val="0"/>
        </w:rPr>
      </w:pPr>
      <w:bookmarkStart w:id="55" w:name="_Toc530554814"/>
      <w:r>
        <w:rPr>
          <w:rStyle w:val="CharSectno"/>
        </w:rPr>
        <w:t>19</w:t>
      </w:r>
      <w:r>
        <w:rPr>
          <w:snapToGrid w:val="0"/>
        </w:rPr>
        <w:t>.</w:t>
      </w:r>
      <w:r>
        <w:rPr>
          <w:snapToGrid w:val="0"/>
        </w:rPr>
        <w:tab/>
        <w:t>Transfer or lease of common property</w:t>
      </w:r>
      <w:bookmarkEnd w:id="55"/>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No. 84 of 1994 s. 46; No. 58 of 1995 s. 21, 92 and 95; No. 14 of 1996 s. 4; No. 61 of 1996 s. 15; No. 81 of 1996 s. 153(1).]</w:t>
      </w:r>
    </w:p>
    <w:p>
      <w:pPr>
        <w:pStyle w:val="Heading5"/>
        <w:rPr>
          <w:snapToGrid w:val="0"/>
        </w:rPr>
      </w:pPr>
      <w:bookmarkStart w:id="56" w:name="_Toc530554815"/>
      <w:r>
        <w:rPr>
          <w:rStyle w:val="CharSectno"/>
        </w:rPr>
        <w:t>20</w:t>
      </w:r>
      <w:r>
        <w:rPr>
          <w:snapToGrid w:val="0"/>
        </w:rPr>
        <w:t>.</w:t>
      </w:r>
      <w:r>
        <w:rPr>
          <w:snapToGrid w:val="0"/>
        </w:rPr>
        <w:tab/>
        <w:t>Creation of easements and covenants</w:t>
      </w:r>
      <w:bookmarkEnd w:id="5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No. 58 of 1995 s. 92.]</w:t>
      </w:r>
    </w:p>
    <w:p>
      <w:pPr>
        <w:pStyle w:val="Heading5"/>
        <w:spacing w:before="260"/>
        <w:rPr>
          <w:snapToGrid w:val="0"/>
        </w:rPr>
      </w:pPr>
      <w:bookmarkStart w:id="57" w:name="_Toc530554816"/>
      <w:r>
        <w:rPr>
          <w:rStyle w:val="CharSectno"/>
        </w:rPr>
        <w:t>21</w:t>
      </w:r>
      <w:r>
        <w:rPr>
          <w:snapToGrid w:val="0"/>
        </w:rPr>
        <w:t>.</w:t>
      </w:r>
      <w:r>
        <w:rPr>
          <w:snapToGrid w:val="0"/>
        </w:rPr>
        <w:tab/>
        <w:t>Encroachments treated as common property</w:t>
      </w:r>
      <w:bookmarkEnd w:id="57"/>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No. 58 of 1995 s. 22.]</w:t>
      </w:r>
    </w:p>
    <w:p>
      <w:pPr>
        <w:pStyle w:val="Heading3"/>
        <w:keepLines/>
      </w:pPr>
      <w:bookmarkStart w:id="58" w:name="_Toc525288445"/>
      <w:bookmarkStart w:id="59" w:name="_Toc530554481"/>
      <w:bookmarkStart w:id="60" w:name="_Toc530554817"/>
      <w:r>
        <w:rPr>
          <w:rStyle w:val="CharDivNo"/>
        </w:rPr>
        <w:t>Division 2A</w:t>
      </w:r>
      <w:r>
        <w:rPr>
          <w:snapToGrid w:val="0"/>
        </w:rPr>
        <w:t> — </w:t>
      </w:r>
      <w:r>
        <w:rPr>
          <w:rStyle w:val="CharDivText"/>
        </w:rPr>
        <w:t>Merger of common property into lots in certain strata schemes</w:t>
      </w:r>
      <w:bookmarkEnd w:id="58"/>
      <w:bookmarkEnd w:id="59"/>
      <w:bookmarkEnd w:id="60"/>
    </w:p>
    <w:p>
      <w:pPr>
        <w:pStyle w:val="Footnoteheading"/>
      </w:pPr>
      <w:r>
        <w:tab/>
        <w:t>[Heading inserted: No. 61 of 1996 s. 16.]</w:t>
      </w:r>
    </w:p>
    <w:p>
      <w:pPr>
        <w:pStyle w:val="Heading4"/>
        <w:keepLines/>
        <w:rPr>
          <w:snapToGrid w:val="0"/>
        </w:rPr>
      </w:pPr>
      <w:bookmarkStart w:id="61" w:name="_Toc525288446"/>
      <w:bookmarkStart w:id="62" w:name="_Toc530554482"/>
      <w:bookmarkStart w:id="63" w:name="_Toc530554818"/>
      <w:r>
        <w:rPr>
          <w:snapToGrid w:val="0"/>
        </w:rPr>
        <w:t>Subdivision 1 — Preliminary</w:t>
      </w:r>
      <w:bookmarkEnd w:id="61"/>
      <w:bookmarkEnd w:id="62"/>
      <w:bookmarkEnd w:id="63"/>
    </w:p>
    <w:p>
      <w:pPr>
        <w:pStyle w:val="Footnoteheading"/>
      </w:pPr>
      <w:r>
        <w:tab/>
        <w:t>[Heading inserted: No. 61 of 1996 s. 16.]</w:t>
      </w:r>
    </w:p>
    <w:p>
      <w:pPr>
        <w:pStyle w:val="Heading5"/>
        <w:rPr>
          <w:snapToGrid w:val="0"/>
        </w:rPr>
      </w:pPr>
      <w:bookmarkStart w:id="64" w:name="_Toc530554819"/>
      <w:r>
        <w:rPr>
          <w:rStyle w:val="CharSectno"/>
        </w:rPr>
        <w:t>21A</w:t>
      </w:r>
      <w:r>
        <w:rPr>
          <w:snapToGrid w:val="0"/>
        </w:rPr>
        <w:t>.</w:t>
      </w:r>
      <w:r>
        <w:rPr>
          <w:snapToGrid w:val="0"/>
        </w:rPr>
        <w:tab/>
        <w:t>Term used: existing small strata scheme</w:t>
      </w:r>
      <w:bookmarkEnd w:id="6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No. 61 of 1996 s. 16.]</w:t>
      </w:r>
    </w:p>
    <w:p>
      <w:pPr>
        <w:pStyle w:val="Heading5"/>
        <w:rPr>
          <w:snapToGrid w:val="0"/>
        </w:rPr>
      </w:pPr>
      <w:bookmarkStart w:id="65" w:name="_Toc530554820"/>
      <w:r>
        <w:rPr>
          <w:rStyle w:val="CharSectno"/>
        </w:rPr>
        <w:t>21B</w:t>
      </w:r>
      <w:r>
        <w:rPr>
          <w:snapToGrid w:val="0"/>
        </w:rPr>
        <w:t>.</w:t>
      </w:r>
      <w:r>
        <w:rPr>
          <w:snapToGrid w:val="0"/>
        </w:rPr>
        <w:tab/>
        <w:t>Division only applies to single tier strata schemes</w:t>
      </w:r>
      <w:bookmarkEnd w:id="65"/>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No. 61 of 1996 s. 16.]</w:t>
      </w:r>
    </w:p>
    <w:p>
      <w:pPr>
        <w:pStyle w:val="Heading5"/>
        <w:rPr>
          <w:snapToGrid w:val="0"/>
        </w:rPr>
      </w:pPr>
      <w:bookmarkStart w:id="66" w:name="_Toc530554821"/>
      <w:r>
        <w:rPr>
          <w:rStyle w:val="CharSectno"/>
        </w:rPr>
        <w:t>21C</w:t>
      </w:r>
      <w:r>
        <w:rPr>
          <w:snapToGrid w:val="0"/>
        </w:rPr>
        <w:t>.</w:t>
      </w:r>
      <w:r>
        <w:rPr>
          <w:snapToGrid w:val="0"/>
        </w:rPr>
        <w:tab/>
        <w:t>Procedures cannot be invoked more than once</w:t>
      </w:r>
      <w:bookmarkEnd w:id="66"/>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No. 61 of 1996 s. 16.]</w:t>
      </w:r>
    </w:p>
    <w:p>
      <w:pPr>
        <w:pStyle w:val="Heading5"/>
        <w:rPr>
          <w:snapToGrid w:val="0"/>
        </w:rPr>
      </w:pPr>
      <w:bookmarkStart w:id="67" w:name="_Toc530554822"/>
      <w:r>
        <w:rPr>
          <w:rStyle w:val="CharSectno"/>
        </w:rPr>
        <w:t>21D</w:t>
      </w:r>
      <w:r>
        <w:rPr>
          <w:snapToGrid w:val="0"/>
        </w:rPr>
        <w:t>.</w:t>
      </w:r>
      <w:r>
        <w:rPr>
          <w:snapToGrid w:val="0"/>
        </w:rPr>
        <w:tab/>
        <w:t>Saving</w:t>
      </w:r>
      <w:bookmarkEnd w:id="67"/>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No. 61 of 1996 s. 16.]</w:t>
      </w:r>
    </w:p>
    <w:p>
      <w:pPr>
        <w:pStyle w:val="Heading4"/>
      </w:pPr>
      <w:bookmarkStart w:id="68" w:name="_Toc525288451"/>
      <w:bookmarkStart w:id="69" w:name="_Toc530554487"/>
      <w:bookmarkStart w:id="70" w:name="_Toc530554823"/>
      <w:r>
        <w:t>Subdivision 2 — Merger by resolution of buildings that are common property</w:t>
      </w:r>
      <w:bookmarkEnd w:id="68"/>
      <w:bookmarkEnd w:id="69"/>
      <w:bookmarkEnd w:id="70"/>
    </w:p>
    <w:p>
      <w:pPr>
        <w:pStyle w:val="Footnoteheading"/>
      </w:pPr>
      <w:r>
        <w:tab/>
        <w:t>[Heading inserted: No. 61 of 1996 s. 16.]</w:t>
      </w:r>
    </w:p>
    <w:p>
      <w:pPr>
        <w:pStyle w:val="Heading5"/>
        <w:rPr>
          <w:snapToGrid w:val="0"/>
        </w:rPr>
      </w:pPr>
      <w:bookmarkStart w:id="71" w:name="_Toc530554824"/>
      <w:r>
        <w:rPr>
          <w:rStyle w:val="CharSectno"/>
        </w:rPr>
        <w:t>21E</w:t>
      </w:r>
      <w:r>
        <w:rPr>
          <w:snapToGrid w:val="0"/>
        </w:rPr>
        <w:t>.</w:t>
      </w:r>
      <w:r>
        <w:rPr>
          <w:snapToGrid w:val="0"/>
        </w:rPr>
        <w:tab/>
        <w:t>Application of this Subdivision</w:t>
      </w:r>
      <w:bookmarkEnd w:id="71"/>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No. 61 of 1996 s. 16.]</w:t>
      </w:r>
    </w:p>
    <w:p>
      <w:pPr>
        <w:pStyle w:val="Heading5"/>
        <w:rPr>
          <w:snapToGrid w:val="0"/>
        </w:rPr>
      </w:pPr>
      <w:bookmarkStart w:id="72" w:name="_Toc530554825"/>
      <w:r>
        <w:rPr>
          <w:rStyle w:val="CharSectno"/>
        </w:rPr>
        <w:t>21F</w:t>
      </w:r>
      <w:r>
        <w:rPr>
          <w:snapToGrid w:val="0"/>
        </w:rPr>
        <w:t>.</w:t>
      </w:r>
      <w:r>
        <w:rPr>
          <w:snapToGrid w:val="0"/>
        </w:rPr>
        <w:tab/>
        <w:t>Resolution by strata company</w:t>
      </w:r>
      <w:bookmarkEnd w:id="72"/>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No. 61 of 1996 s. 16; amended: No. 55 of 2004 s. 1157.]</w:t>
      </w:r>
    </w:p>
    <w:p>
      <w:pPr>
        <w:pStyle w:val="Heading5"/>
        <w:rPr>
          <w:snapToGrid w:val="0"/>
        </w:rPr>
      </w:pPr>
      <w:bookmarkStart w:id="73" w:name="_Toc530554826"/>
      <w:r>
        <w:rPr>
          <w:rStyle w:val="CharSectno"/>
        </w:rPr>
        <w:t>21G</w:t>
      </w:r>
      <w:r>
        <w:rPr>
          <w:snapToGrid w:val="0"/>
        </w:rPr>
        <w:t>.</w:t>
      </w:r>
      <w:r>
        <w:rPr>
          <w:snapToGrid w:val="0"/>
        </w:rPr>
        <w:tab/>
        <w:t>Lodgement of notice of resolution for registration</w:t>
      </w:r>
      <w:bookmarkEnd w:id="73"/>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No. 61 of 1996 s. 16; amended: No. 55 of 2004 s. 1110.]</w:t>
      </w:r>
    </w:p>
    <w:p>
      <w:pPr>
        <w:pStyle w:val="Heading5"/>
        <w:keepLines w:val="0"/>
        <w:spacing w:before="180"/>
        <w:rPr>
          <w:snapToGrid w:val="0"/>
        </w:rPr>
      </w:pPr>
      <w:bookmarkStart w:id="74" w:name="_Toc530554827"/>
      <w:r>
        <w:rPr>
          <w:rStyle w:val="CharSectno"/>
        </w:rPr>
        <w:t>21H</w:t>
      </w:r>
      <w:r>
        <w:rPr>
          <w:snapToGrid w:val="0"/>
        </w:rPr>
        <w:t>.</w:t>
      </w:r>
      <w:r>
        <w:rPr>
          <w:snapToGrid w:val="0"/>
        </w:rPr>
        <w:tab/>
        <w:t>Registration of notice of resolution</w:t>
      </w:r>
      <w:bookmarkEnd w:id="74"/>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No. 61 of 1996 s. 16.]</w:t>
      </w:r>
    </w:p>
    <w:p>
      <w:pPr>
        <w:pStyle w:val="Heading5"/>
        <w:spacing w:before="180"/>
        <w:rPr>
          <w:snapToGrid w:val="0"/>
        </w:rPr>
      </w:pPr>
      <w:bookmarkStart w:id="75" w:name="_Toc530554828"/>
      <w:r>
        <w:rPr>
          <w:rStyle w:val="CharSectno"/>
        </w:rPr>
        <w:t>21I</w:t>
      </w:r>
      <w:r>
        <w:rPr>
          <w:snapToGrid w:val="0"/>
        </w:rPr>
        <w:t>.</w:t>
      </w:r>
      <w:r>
        <w:rPr>
          <w:snapToGrid w:val="0"/>
        </w:rPr>
        <w:tab/>
        <w:t>Effect of registration</w:t>
      </w:r>
      <w:bookmarkEnd w:id="75"/>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No. 61 of 1996 s. 16.]</w:t>
      </w:r>
    </w:p>
    <w:p>
      <w:pPr>
        <w:pStyle w:val="Heading5"/>
        <w:rPr>
          <w:snapToGrid w:val="0"/>
        </w:rPr>
      </w:pPr>
      <w:bookmarkStart w:id="76" w:name="_Toc530554829"/>
      <w:r>
        <w:rPr>
          <w:rStyle w:val="CharSectno"/>
        </w:rPr>
        <w:t>21J</w:t>
      </w:r>
      <w:r>
        <w:rPr>
          <w:snapToGrid w:val="0"/>
        </w:rPr>
        <w:t>.</w:t>
      </w:r>
      <w:r>
        <w:rPr>
          <w:snapToGrid w:val="0"/>
        </w:rPr>
        <w:tab/>
        <w:t>Registrar of Titles to amend strata plan</w:t>
      </w:r>
      <w:bookmarkEnd w:id="76"/>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No. 61 of 1996 s. 16.]</w:t>
      </w:r>
    </w:p>
    <w:p>
      <w:pPr>
        <w:pStyle w:val="Heading4"/>
        <w:spacing w:before="280"/>
      </w:pPr>
      <w:bookmarkStart w:id="77" w:name="_Toc525288458"/>
      <w:bookmarkStart w:id="78" w:name="_Toc530554494"/>
      <w:bookmarkStart w:id="79" w:name="_Toc530554830"/>
      <w:r>
        <w:t>Subdivision 3 — Automatic merger of buildings that are common property</w:t>
      </w:r>
      <w:bookmarkEnd w:id="77"/>
      <w:bookmarkEnd w:id="78"/>
      <w:bookmarkEnd w:id="79"/>
    </w:p>
    <w:p>
      <w:pPr>
        <w:pStyle w:val="Footnoteheading"/>
      </w:pPr>
      <w:r>
        <w:tab/>
        <w:t>[Heading inserted: No. 61 of 1996 s. 16.]</w:t>
      </w:r>
    </w:p>
    <w:p>
      <w:pPr>
        <w:pStyle w:val="Heading5"/>
        <w:keepNext w:val="0"/>
        <w:rPr>
          <w:snapToGrid w:val="0"/>
        </w:rPr>
      </w:pPr>
      <w:bookmarkStart w:id="80" w:name="_Toc530554831"/>
      <w:r>
        <w:rPr>
          <w:rStyle w:val="CharSectno"/>
        </w:rPr>
        <w:t>21K</w:t>
      </w:r>
      <w:r>
        <w:rPr>
          <w:snapToGrid w:val="0"/>
        </w:rPr>
        <w:t>.</w:t>
      </w:r>
      <w:r>
        <w:rPr>
          <w:snapToGrid w:val="0"/>
        </w:rPr>
        <w:tab/>
        <w:t>Terms used</w:t>
      </w:r>
      <w:bookmarkEnd w:id="80"/>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No. 61 of 1996 s. 16.]</w:t>
      </w:r>
    </w:p>
    <w:p>
      <w:pPr>
        <w:pStyle w:val="Heading5"/>
        <w:rPr>
          <w:snapToGrid w:val="0"/>
        </w:rPr>
      </w:pPr>
      <w:bookmarkStart w:id="81" w:name="_Toc530554832"/>
      <w:r>
        <w:rPr>
          <w:rStyle w:val="CharSectno"/>
        </w:rPr>
        <w:t>21L</w:t>
      </w:r>
      <w:r>
        <w:rPr>
          <w:snapToGrid w:val="0"/>
        </w:rPr>
        <w:t>.</w:t>
      </w:r>
      <w:r>
        <w:rPr>
          <w:snapToGrid w:val="0"/>
        </w:rPr>
        <w:tab/>
        <w:t>Application of this Subdivision</w:t>
      </w:r>
      <w:bookmarkEnd w:id="81"/>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No. 61 of 1996 s. 16.]</w:t>
      </w:r>
    </w:p>
    <w:p>
      <w:pPr>
        <w:pStyle w:val="Heading5"/>
        <w:rPr>
          <w:snapToGrid w:val="0"/>
        </w:rPr>
      </w:pPr>
      <w:bookmarkStart w:id="82" w:name="_Toc530554833"/>
      <w:r>
        <w:rPr>
          <w:rStyle w:val="CharSectno"/>
        </w:rPr>
        <w:t>21M</w:t>
      </w:r>
      <w:r>
        <w:rPr>
          <w:snapToGrid w:val="0"/>
        </w:rPr>
        <w:t>.</w:t>
      </w:r>
      <w:r>
        <w:rPr>
          <w:snapToGrid w:val="0"/>
        </w:rPr>
        <w:tab/>
        <w:t>Automatic application of lot boundaries under s. 3AB</w:t>
      </w:r>
      <w:bookmarkEnd w:id="82"/>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No. 61 of 1996 s. 16.]</w:t>
      </w:r>
    </w:p>
    <w:p>
      <w:pPr>
        <w:pStyle w:val="Heading5"/>
        <w:rPr>
          <w:snapToGrid w:val="0"/>
        </w:rPr>
      </w:pPr>
      <w:bookmarkStart w:id="83" w:name="_Toc530554834"/>
      <w:r>
        <w:rPr>
          <w:rStyle w:val="CharSectno"/>
        </w:rPr>
        <w:t>21N</w:t>
      </w:r>
      <w:r>
        <w:rPr>
          <w:snapToGrid w:val="0"/>
        </w:rPr>
        <w:t>.</w:t>
      </w:r>
      <w:r>
        <w:rPr>
          <w:snapToGrid w:val="0"/>
        </w:rPr>
        <w:tab/>
        <w:t>Plan to be noted</w:t>
      </w:r>
      <w:bookmarkEnd w:id="83"/>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No. 61 of 1996 s. 16.]</w:t>
      </w:r>
    </w:p>
    <w:p>
      <w:pPr>
        <w:pStyle w:val="Heading5"/>
        <w:rPr>
          <w:snapToGrid w:val="0"/>
        </w:rPr>
      </w:pPr>
      <w:bookmarkStart w:id="84" w:name="_Toc530554835"/>
      <w:r>
        <w:rPr>
          <w:rStyle w:val="CharSectno"/>
        </w:rPr>
        <w:t>21O</w:t>
      </w:r>
      <w:r>
        <w:rPr>
          <w:snapToGrid w:val="0"/>
        </w:rPr>
        <w:t>.</w:t>
      </w:r>
      <w:r>
        <w:rPr>
          <w:snapToGrid w:val="0"/>
        </w:rPr>
        <w:tab/>
        <w:t>Objection by proprietor</w:t>
      </w:r>
      <w:bookmarkEnd w:id="84"/>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No. 61 of 1996 s. 16.]</w:t>
      </w:r>
    </w:p>
    <w:p>
      <w:pPr>
        <w:pStyle w:val="Heading4"/>
      </w:pPr>
      <w:bookmarkStart w:id="85" w:name="_Toc525288464"/>
      <w:bookmarkStart w:id="86" w:name="_Toc530554500"/>
      <w:bookmarkStart w:id="87" w:name="_Toc530554836"/>
      <w:r>
        <w:t>Subdivision 4 — Merger by resolution of land that is common property</w:t>
      </w:r>
      <w:bookmarkEnd w:id="85"/>
      <w:bookmarkEnd w:id="86"/>
      <w:bookmarkEnd w:id="87"/>
    </w:p>
    <w:p>
      <w:pPr>
        <w:pStyle w:val="Footnoteheading"/>
      </w:pPr>
      <w:r>
        <w:tab/>
        <w:t>[Heading inserted: No. 61 of 1996 s. 16.]</w:t>
      </w:r>
    </w:p>
    <w:p>
      <w:pPr>
        <w:pStyle w:val="Heading5"/>
        <w:rPr>
          <w:snapToGrid w:val="0"/>
        </w:rPr>
      </w:pPr>
      <w:bookmarkStart w:id="88" w:name="_Toc530554837"/>
      <w:r>
        <w:rPr>
          <w:rStyle w:val="CharSectno"/>
        </w:rPr>
        <w:t>21P</w:t>
      </w:r>
      <w:r>
        <w:rPr>
          <w:snapToGrid w:val="0"/>
        </w:rPr>
        <w:t>.</w:t>
      </w:r>
      <w:r>
        <w:rPr>
          <w:snapToGrid w:val="0"/>
        </w:rPr>
        <w:tab/>
        <w:t>Application of this Subdivision</w:t>
      </w:r>
      <w:bookmarkEnd w:id="88"/>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No. 61 of 1996 s. 16.]</w:t>
      </w:r>
    </w:p>
    <w:p>
      <w:pPr>
        <w:pStyle w:val="Heading5"/>
        <w:rPr>
          <w:snapToGrid w:val="0"/>
        </w:rPr>
      </w:pPr>
      <w:bookmarkStart w:id="89" w:name="_Toc530554838"/>
      <w:r>
        <w:rPr>
          <w:rStyle w:val="CharSectno"/>
        </w:rPr>
        <w:t>21Q</w:t>
      </w:r>
      <w:r>
        <w:rPr>
          <w:snapToGrid w:val="0"/>
        </w:rPr>
        <w:t>.</w:t>
      </w:r>
      <w:r>
        <w:rPr>
          <w:snapToGrid w:val="0"/>
        </w:rPr>
        <w:tab/>
        <w:t>Resolution by strata company</w:t>
      </w:r>
      <w:bookmarkEnd w:id="89"/>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No. 61 of 1996 s. 16; amended: No. 55 of 2004 s. 1157.]</w:t>
      </w:r>
    </w:p>
    <w:p>
      <w:pPr>
        <w:pStyle w:val="Heading5"/>
        <w:rPr>
          <w:snapToGrid w:val="0"/>
        </w:rPr>
      </w:pPr>
      <w:bookmarkStart w:id="90" w:name="_Toc530554839"/>
      <w:r>
        <w:rPr>
          <w:rStyle w:val="CharSectno"/>
        </w:rPr>
        <w:t>21R</w:t>
      </w:r>
      <w:r>
        <w:rPr>
          <w:snapToGrid w:val="0"/>
        </w:rPr>
        <w:t>.</w:t>
      </w:r>
      <w:r>
        <w:rPr>
          <w:snapToGrid w:val="0"/>
        </w:rPr>
        <w:tab/>
        <w:t>Further provisions as to contents of resolution</w:t>
      </w:r>
      <w:bookmarkEnd w:id="90"/>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No. 61 of 1996 s. 16; amended: No. 24 of 2011 s. 174(4).]</w:t>
      </w:r>
    </w:p>
    <w:p>
      <w:pPr>
        <w:pStyle w:val="Heading5"/>
        <w:rPr>
          <w:snapToGrid w:val="0"/>
        </w:rPr>
      </w:pPr>
      <w:bookmarkStart w:id="91" w:name="_Toc530554840"/>
      <w:r>
        <w:rPr>
          <w:rStyle w:val="CharSectno"/>
        </w:rPr>
        <w:t>21S</w:t>
      </w:r>
      <w:r>
        <w:rPr>
          <w:snapToGrid w:val="0"/>
        </w:rPr>
        <w:t>.</w:t>
      </w:r>
      <w:r>
        <w:rPr>
          <w:snapToGrid w:val="0"/>
        </w:rPr>
        <w:tab/>
        <w:t>Notice of resolution may be lodged for registration</w:t>
      </w:r>
      <w:bookmarkEnd w:id="91"/>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No. 61 of 1996 s. 16.]</w:t>
      </w:r>
    </w:p>
    <w:p>
      <w:pPr>
        <w:pStyle w:val="Heading5"/>
        <w:rPr>
          <w:snapToGrid w:val="0"/>
        </w:rPr>
      </w:pPr>
      <w:bookmarkStart w:id="92" w:name="_Toc530554841"/>
      <w:r>
        <w:rPr>
          <w:rStyle w:val="CharSectno"/>
        </w:rPr>
        <w:t>21T</w:t>
      </w:r>
      <w:r>
        <w:rPr>
          <w:snapToGrid w:val="0"/>
        </w:rPr>
        <w:t>.</w:t>
      </w:r>
      <w:r>
        <w:rPr>
          <w:snapToGrid w:val="0"/>
        </w:rPr>
        <w:tab/>
        <w:t>Documents to accompany notice</w:t>
      </w:r>
      <w:bookmarkEnd w:id="92"/>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No. 61 of 1996 s. 16; amended: No. 55 of 2004 s. 1111.]</w:t>
      </w:r>
    </w:p>
    <w:p>
      <w:pPr>
        <w:pStyle w:val="Heading5"/>
        <w:rPr>
          <w:snapToGrid w:val="0"/>
        </w:rPr>
      </w:pPr>
      <w:bookmarkStart w:id="93" w:name="_Toc530554842"/>
      <w:r>
        <w:rPr>
          <w:rStyle w:val="CharSectno"/>
        </w:rPr>
        <w:t>21U</w:t>
      </w:r>
      <w:r>
        <w:rPr>
          <w:snapToGrid w:val="0"/>
        </w:rPr>
        <w:t>.</w:t>
      </w:r>
      <w:r>
        <w:rPr>
          <w:snapToGrid w:val="0"/>
        </w:rPr>
        <w:tab/>
        <w:t>Certificate of licensed surveyor</w:t>
      </w:r>
      <w:bookmarkEnd w:id="93"/>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No. 61 of 1996 s. 16; amended: No. 38 of 2005 s. 15; No. 28 of 2010 s. 37(2) and (3); No. 24 of 2011 s. 174(5).]</w:t>
      </w:r>
    </w:p>
    <w:p>
      <w:pPr>
        <w:pStyle w:val="Heading5"/>
        <w:rPr>
          <w:snapToGrid w:val="0"/>
        </w:rPr>
      </w:pPr>
      <w:bookmarkStart w:id="94" w:name="_Toc530554843"/>
      <w:r>
        <w:rPr>
          <w:rStyle w:val="CharSectno"/>
        </w:rPr>
        <w:t>21V</w:t>
      </w:r>
      <w:r>
        <w:rPr>
          <w:snapToGrid w:val="0"/>
        </w:rPr>
        <w:t>.</w:t>
      </w:r>
      <w:r>
        <w:rPr>
          <w:snapToGrid w:val="0"/>
        </w:rPr>
        <w:tab/>
        <w:t>Transfers etc. to give effect to notice of resolution</w:t>
      </w:r>
      <w:bookmarkEnd w:id="94"/>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No. 61 of 1996 s. 16; amended: No. 12 of 2008 Sch. 1 cl. 36(1).]</w:t>
      </w:r>
    </w:p>
    <w:p>
      <w:pPr>
        <w:pStyle w:val="Heading5"/>
        <w:rPr>
          <w:snapToGrid w:val="0"/>
        </w:rPr>
      </w:pPr>
      <w:bookmarkStart w:id="95" w:name="_Toc530554844"/>
      <w:r>
        <w:rPr>
          <w:rStyle w:val="CharSectno"/>
        </w:rPr>
        <w:t>21W</w:t>
      </w:r>
      <w:r>
        <w:rPr>
          <w:snapToGrid w:val="0"/>
        </w:rPr>
        <w:t>.</w:t>
      </w:r>
      <w:r>
        <w:rPr>
          <w:snapToGrid w:val="0"/>
        </w:rPr>
        <w:tab/>
        <w:t>Creation of easements for parking etc.</w:t>
      </w:r>
      <w:bookmarkEnd w:id="95"/>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No. 61 of 1996 s. 16.]</w:t>
      </w:r>
    </w:p>
    <w:p>
      <w:pPr>
        <w:pStyle w:val="Heading5"/>
        <w:rPr>
          <w:snapToGrid w:val="0"/>
        </w:rPr>
      </w:pPr>
      <w:bookmarkStart w:id="96" w:name="_Toc530554845"/>
      <w:r>
        <w:rPr>
          <w:rStyle w:val="CharSectno"/>
        </w:rPr>
        <w:t>21X</w:t>
      </w:r>
      <w:r>
        <w:rPr>
          <w:snapToGrid w:val="0"/>
        </w:rPr>
        <w:t>.</w:t>
      </w:r>
      <w:r>
        <w:rPr>
          <w:snapToGrid w:val="0"/>
        </w:rPr>
        <w:tab/>
        <w:t>Registration of notice of resolution</w:t>
      </w:r>
      <w:bookmarkEnd w:id="96"/>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No. 61 of 1996 s. 16.]</w:t>
      </w:r>
    </w:p>
    <w:p>
      <w:pPr>
        <w:pStyle w:val="Heading5"/>
        <w:rPr>
          <w:snapToGrid w:val="0"/>
        </w:rPr>
      </w:pPr>
      <w:bookmarkStart w:id="97" w:name="_Toc530554846"/>
      <w:r>
        <w:rPr>
          <w:rStyle w:val="CharSectno"/>
        </w:rPr>
        <w:t>21Y</w:t>
      </w:r>
      <w:r>
        <w:rPr>
          <w:snapToGrid w:val="0"/>
        </w:rPr>
        <w:t>.</w:t>
      </w:r>
      <w:r>
        <w:rPr>
          <w:snapToGrid w:val="0"/>
        </w:rPr>
        <w:tab/>
        <w:t>Effect of registration</w:t>
      </w:r>
      <w:bookmarkEnd w:id="97"/>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No. 61 of 1996 s. 16.]</w:t>
      </w:r>
    </w:p>
    <w:p>
      <w:pPr>
        <w:pStyle w:val="Heading5"/>
        <w:rPr>
          <w:snapToGrid w:val="0"/>
        </w:rPr>
      </w:pPr>
      <w:bookmarkStart w:id="98" w:name="_Toc530554847"/>
      <w:r>
        <w:rPr>
          <w:rStyle w:val="CharSectno"/>
        </w:rPr>
        <w:t>21Z</w:t>
      </w:r>
      <w:r>
        <w:rPr>
          <w:snapToGrid w:val="0"/>
        </w:rPr>
        <w:t>.</w:t>
      </w:r>
      <w:r>
        <w:rPr>
          <w:snapToGrid w:val="0"/>
        </w:rPr>
        <w:tab/>
        <w:t>Registrar of Titles to make necessary amendments</w:t>
      </w:r>
      <w:bookmarkEnd w:id="98"/>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No. 61 of 1996 s. 16; amended: No. 60 of 2006 s. 160(4).]</w:t>
      </w:r>
    </w:p>
    <w:p>
      <w:pPr>
        <w:pStyle w:val="Heading3"/>
        <w:spacing w:before="220"/>
      </w:pPr>
      <w:bookmarkStart w:id="99" w:name="_Toc525288476"/>
      <w:bookmarkStart w:id="100" w:name="_Toc530554512"/>
      <w:bookmarkStart w:id="101" w:name="_Toc530554848"/>
      <w:r>
        <w:rPr>
          <w:rStyle w:val="CharDivNo"/>
        </w:rPr>
        <w:t>Division 3</w:t>
      </w:r>
      <w:r>
        <w:rPr>
          <w:snapToGrid w:val="0"/>
        </w:rPr>
        <w:t> — </w:t>
      </w:r>
      <w:r>
        <w:rPr>
          <w:rStyle w:val="CharDivText"/>
        </w:rPr>
        <w:t>Certificates and approvals</w:t>
      </w:r>
      <w:bookmarkEnd w:id="99"/>
      <w:bookmarkEnd w:id="100"/>
      <w:bookmarkEnd w:id="101"/>
    </w:p>
    <w:p>
      <w:pPr>
        <w:pStyle w:val="Heading5"/>
        <w:keepLines w:val="0"/>
        <w:rPr>
          <w:snapToGrid w:val="0"/>
        </w:rPr>
      </w:pPr>
      <w:bookmarkStart w:id="102" w:name="_Toc530554849"/>
      <w:r>
        <w:rPr>
          <w:rStyle w:val="CharSectno"/>
        </w:rPr>
        <w:t>22</w:t>
      </w:r>
      <w:r>
        <w:rPr>
          <w:snapToGrid w:val="0"/>
        </w:rPr>
        <w:t>.</w:t>
      </w:r>
      <w:r>
        <w:rPr>
          <w:snapToGrid w:val="0"/>
        </w:rPr>
        <w:tab/>
        <w:t>Certificate of licensed surveyor</w:t>
      </w:r>
      <w:bookmarkEnd w:id="102"/>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No. 58 of 1995 s. 23.]</w:t>
      </w:r>
    </w:p>
    <w:p>
      <w:pPr>
        <w:pStyle w:val="Ednotesection"/>
      </w:pPr>
      <w:r>
        <w:t>[</w:t>
      </w:r>
      <w:r>
        <w:rPr>
          <w:b/>
        </w:rPr>
        <w:t>23.</w:t>
      </w:r>
      <w:r>
        <w:tab/>
        <w:t>Deleted: No. 24 of 2011 s. 174(6).]</w:t>
      </w:r>
    </w:p>
    <w:p>
      <w:pPr>
        <w:pStyle w:val="Heading5"/>
        <w:rPr>
          <w:snapToGrid w:val="0"/>
        </w:rPr>
      </w:pPr>
      <w:bookmarkStart w:id="103" w:name="_Toc530554850"/>
      <w:r>
        <w:rPr>
          <w:rStyle w:val="CharSectno"/>
        </w:rPr>
        <w:t>24</w:t>
      </w:r>
      <w:r>
        <w:rPr>
          <w:snapToGrid w:val="0"/>
        </w:rPr>
        <w:t>.</w:t>
      </w:r>
      <w:r>
        <w:rPr>
          <w:snapToGrid w:val="0"/>
        </w:rPr>
        <w:tab/>
        <w:t>Preliminary determinations by local government</w:t>
      </w:r>
      <w:bookmarkEnd w:id="103"/>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w:t>
      </w:r>
    </w:p>
    <w:p>
      <w:pPr>
        <w:pStyle w:val="Heading5"/>
        <w:rPr>
          <w:snapToGrid w:val="0"/>
        </w:rPr>
      </w:pPr>
      <w:bookmarkStart w:id="104" w:name="_Toc530554851"/>
      <w:r>
        <w:rPr>
          <w:rStyle w:val="CharSectno"/>
        </w:rPr>
        <w:t>25</w:t>
      </w:r>
      <w:r>
        <w:rPr>
          <w:snapToGrid w:val="0"/>
        </w:rPr>
        <w:t>.</w:t>
      </w:r>
      <w:r>
        <w:rPr>
          <w:snapToGrid w:val="0"/>
        </w:rPr>
        <w:tab/>
        <w:t>Certificate of Commission</w:t>
      </w:r>
      <w:bookmarkEnd w:id="104"/>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No. 97 of 1990 s. 30; No. 84 of 1994 s. 46; No. 58 of 1995 s. 261; No. 55 of 2004 s. 1114; No. 38 of 2005 s. 15.]</w:t>
      </w:r>
    </w:p>
    <w:p>
      <w:pPr>
        <w:pStyle w:val="Heading5"/>
        <w:spacing w:before="600"/>
        <w:rPr>
          <w:snapToGrid w:val="0"/>
        </w:rPr>
      </w:pPr>
      <w:bookmarkStart w:id="105" w:name="_Toc530554852"/>
      <w:r>
        <w:rPr>
          <w:rStyle w:val="CharSectno"/>
        </w:rPr>
        <w:t>25A</w:t>
      </w:r>
      <w:r>
        <w:rPr>
          <w:snapToGrid w:val="0"/>
        </w:rPr>
        <w:t>.</w:t>
      </w:r>
      <w:r>
        <w:rPr>
          <w:snapToGrid w:val="0"/>
        </w:rPr>
        <w:tab/>
        <w:t>Commission to refer plan to other bodies in certain cases</w:t>
      </w:r>
      <w:bookmarkEnd w:id="105"/>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No. 58 of 1995 s. 27; amended: No. 55 of 2004 s. 1115; No. 38 of 2005 s. 15.]</w:t>
      </w:r>
    </w:p>
    <w:p>
      <w:pPr>
        <w:pStyle w:val="Heading5"/>
        <w:rPr>
          <w:snapToGrid w:val="0"/>
        </w:rPr>
      </w:pPr>
      <w:bookmarkStart w:id="106" w:name="_Toc530554853"/>
      <w:r>
        <w:rPr>
          <w:rStyle w:val="CharSectno"/>
        </w:rPr>
        <w:t>25B</w:t>
      </w:r>
      <w:r>
        <w:rPr>
          <w:snapToGrid w:val="0"/>
        </w:rPr>
        <w:t>.</w:t>
      </w:r>
      <w:r>
        <w:rPr>
          <w:snapToGrid w:val="0"/>
        </w:rPr>
        <w:tab/>
        <w:t>Subdivision in survey</w:t>
      </w:r>
      <w:r>
        <w:rPr>
          <w:snapToGrid w:val="0"/>
        </w:rPr>
        <w:noBreakHyphen/>
        <w:t>strata scheme requires approval by Commission</w:t>
      </w:r>
      <w:bookmarkEnd w:id="106"/>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No. 58 of 1995 s. 27; amended: No. 61 of 1996 s. 17; No. 24 of 2002 s. 28(2); No. 55 of 2004 s. 1116; No. 38 of 2005 s. 15.]</w:t>
      </w:r>
    </w:p>
    <w:p>
      <w:pPr>
        <w:pStyle w:val="Heading5"/>
        <w:rPr>
          <w:snapToGrid w:val="0"/>
        </w:rPr>
      </w:pPr>
      <w:bookmarkStart w:id="107" w:name="_Toc530554854"/>
      <w:r>
        <w:rPr>
          <w:rStyle w:val="CharSectno"/>
        </w:rPr>
        <w:t>26</w:t>
      </w:r>
      <w:r>
        <w:rPr>
          <w:snapToGrid w:val="0"/>
        </w:rPr>
        <w:t>.</w:t>
      </w:r>
      <w:r>
        <w:rPr>
          <w:snapToGrid w:val="0"/>
        </w:rPr>
        <w:tab/>
        <w:t>Review of local government decision</w:t>
      </w:r>
      <w:bookmarkEnd w:id="10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No. 84 of 1994 s. 46; No. 58 of 1995 s. 28, 95 and 96; No. 14 of 1996 s. 4; No. 24 of 2002 s. 28(3)</w:t>
      </w:r>
      <w:r>
        <w:noBreakHyphen/>
        <w:t>(9); No. 55 of 2004 s. 1117; No. 38 of 2005 s. 15; No. 24 of 2011 s. 174(10) and (11).]</w:t>
      </w:r>
    </w:p>
    <w:p>
      <w:pPr>
        <w:pStyle w:val="Heading5"/>
        <w:rPr>
          <w:snapToGrid w:val="0"/>
        </w:rPr>
      </w:pPr>
      <w:bookmarkStart w:id="108" w:name="_Toc530554855"/>
      <w:r>
        <w:rPr>
          <w:rStyle w:val="CharSectno"/>
        </w:rPr>
        <w:t>27</w:t>
      </w:r>
      <w:r>
        <w:rPr>
          <w:snapToGrid w:val="0"/>
        </w:rPr>
        <w:t>.</w:t>
      </w:r>
      <w:r>
        <w:rPr>
          <w:snapToGrid w:val="0"/>
        </w:rPr>
        <w:tab/>
        <w:t>Review of Commission decision</w:t>
      </w:r>
      <w:bookmarkEnd w:id="10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No. 84 of 1994 s. 46; No. 58 of 1995 s. 29; No. 24 of 2002 s. 28(10)</w:t>
      </w:r>
      <w:r>
        <w:noBreakHyphen/>
        <w:t>(15); No. 74 of 2003 s. 112(4); No. 55 of 2004 s. 1118; No. 38 of 2005 s. 15.]</w:t>
      </w:r>
    </w:p>
    <w:p>
      <w:pPr>
        <w:pStyle w:val="Heading2"/>
      </w:pPr>
      <w:bookmarkStart w:id="109" w:name="_Toc525288484"/>
      <w:bookmarkStart w:id="110" w:name="_Toc530554520"/>
      <w:bookmarkStart w:id="111" w:name="_Toc530554856"/>
      <w:r>
        <w:rPr>
          <w:rStyle w:val="CharPartNo"/>
        </w:rPr>
        <w:t>Part III</w:t>
      </w:r>
      <w:r>
        <w:t> — </w:t>
      </w:r>
      <w:r>
        <w:rPr>
          <w:rStyle w:val="CharPartText"/>
        </w:rPr>
        <w:t>Variation, termination and conversion of schemes</w:t>
      </w:r>
      <w:bookmarkEnd w:id="109"/>
      <w:bookmarkEnd w:id="110"/>
      <w:bookmarkEnd w:id="111"/>
    </w:p>
    <w:p>
      <w:pPr>
        <w:pStyle w:val="Footnoteheading"/>
      </w:pPr>
      <w:r>
        <w:tab/>
        <w:t>[Heading amended: No. 61 of 1996 s. 18.]</w:t>
      </w:r>
    </w:p>
    <w:p>
      <w:pPr>
        <w:pStyle w:val="Heading3"/>
        <w:spacing w:before="180"/>
      </w:pPr>
      <w:bookmarkStart w:id="112" w:name="_Toc525288485"/>
      <w:bookmarkStart w:id="113" w:name="_Toc530554521"/>
      <w:bookmarkStart w:id="114" w:name="_Toc530554857"/>
      <w:r>
        <w:rPr>
          <w:rStyle w:val="CharDivNo"/>
        </w:rPr>
        <w:t>Division 1</w:t>
      </w:r>
      <w:r>
        <w:rPr>
          <w:snapToGrid w:val="0"/>
        </w:rPr>
        <w:t> — </w:t>
      </w:r>
      <w:r>
        <w:rPr>
          <w:rStyle w:val="CharDivText"/>
        </w:rPr>
        <w:t>Variation of schemes</w:t>
      </w:r>
      <w:bookmarkEnd w:id="112"/>
      <w:bookmarkEnd w:id="113"/>
      <w:bookmarkEnd w:id="114"/>
    </w:p>
    <w:p>
      <w:pPr>
        <w:pStyle w:val="Footnoteheading"/>
      </w:pPr>
      <w:r>
        <w:tab/>
        <w:t>[Heading inserted: No. 61 of 1996 s. 19.]</w:t>
      </w:r>
    </w:p>
    <w:p>
      <w:pPr>
        <w:pStyle w:val="Heading5"/>
        <w:spacing w:before="160"/>
        <w:rPr>
          <w:snapToGrid w:val="0"/>
        </w:rPr>
      </w:pPr>
      <w:bookmarkStart w:id="115" w:name="_Toc530554858"/>
      <w:r>
        <w:rPr>
          <w:rStyle w:val="CharSectno"/>
        </w:rPr>
        <w:t>28</w:t>
      </w:r>
      <w:r>
        <w:rPr>
          <w:snapToGrid w:val="0"/>
        </w:rPr>
        <w:t>.</w:t>
      </w:r>
      <w:r>
        <w:rPr>
          <w:snapToGrid w:val="0"/>
        </w:rPr>
        <w:tab/>
        <w:t>Variation of strata scheme upon damage or destruction of building</w:t>
      </w:r>
      <w:bookmarkEnd w:id="115"/>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No. 58 of 1995 s. 30 and 93(1); No. 74 of 2003 s. 112(5).]</w:t>
      </w:r>
    </w:p>
    <w:p>
      <w:pPr>
        <w:pStyle w:val="Heading5"/>
        <w:rPr>
          <w:snapToGrid w:val="0"/>
        </w:rPr>
      </w:pPr>
      <w:bookmarkStart w:id="116" w:name="_Toc530554859"/>
      <w:r>
        <w:rPr>
          <w:rStyle w:val="CharSectno"/>
        </w:rPr>
        <w:t>29</w:t>
      </w:r>
      <w:r>
        <w:rPr>
          <w:snapToGrid w:val="0"/>
        </w:rPr>
        <w:t>.</w:t>
      </w:r>
      <w:r>
        <w:rPr>
          <w:snapToGrid w:val="0"/>
        </w:rPr>
        <w:tab/>
        <w:t>Variation of strata scheme upon taking</w:t>
      </w:r>
      <w:bookmarkEnd w:id="116"/>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No. 58 of 1995 s. 31 and 93(1); No. 74 of 2003 s. 112(5).]</w:t>
      </w:r>
    </w:p>
    <w:p>
      <w:pPr>
        <w:pStyle w:val="Heading5"/>
        <w:rPr>
          <w:snapToGrid w:val="0"/>
        </w:rPr>
      </w:pPr>
      <w:bookmarkStart w:id="117" w:name="_Toc530554860"/>
      <w:r>
        <w:rPr>
          <w:rStyle w:val="CharSectno"/>
        </w:rPr>
        <w:t>29A</w:t>
      </w:r>
      <w:r>
        <w:rPr>
          <w:snapToGrid w:val="0"/>
        </w:rPr>
        <w:t>.</w:t>
      </w:r>
      <w:r>
        <w:rPr>
          <w:snapToGrid w:val="0"/>
        </w:rPr>
        <w:tab/>
        <w:t>Variation of survey</w:t>
      </w:r>
      <w:r>
        <w:rPr>
          <w:snapToGrid w:val="0"/>
        </w:rPr>
        <w:noBreakHyphen/>
        <w:t>strata scheme on resumption</w:t>
      </w:r>
      <w:bookmarkEnd w:id="117"/>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No. 58 of 1995 s. 32; amended: No. 74 of 2003 s. 112(6).]</w:t>
      </w:r>
    </w:p>
    <w:p>
      <w:pPr>
        <w:pStyle w:val="Heading5"/>
        <w:rPr>
          <w:snapToGrid w:val="0"/>
        </w:rPr>
      </w:pPr>
      <w:bookmarkStart w:id="118" w:name="_Toc530554861"/>
      <w:r>
        <w:rPr>
          <w:rStyle w:val="CharSectno"/>
        </w:rPr>
        <w:t>29B</w:t>
      </w:r>
      <w:r>
        <w:rPr>
          <w:snapToGrid w:val="0"/>
        </w:rPr>
        <w:t>.</w:t>
      </w:r>
      <w:r>
        <w:rPr>
          <w:snapToGrid w:val="0"/>
        </w:rPr>
        <w:tab/>
        <w:t>Lodgement of documents with Registrar following partial taking in strata scheme</w:t>
      </w:r>
      <w:bookmarkEnd w:id="118"/>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No. 58 of 1995 s. 32; amended: No. 74 of 2003 s. 112(5)</w:t>
      </w:r>
      <w:r>
        <w:noBreakHyphen/>
        <w:t>(8).]</w:t>
      </w:r>
    </w:p>
    <w:p>
      <w:pPr>
        <w:pStyle w:val="Heading3"/>
        <w:keepLines/>
      </w:pPr>
      <w:bookmarkStart w:id="119" w:name="_Toc525288490"/>
      <w:bookmarkStart w:id="120" w:name="_Toc530554526"/>
      <w:bookmarkStart w:id="121" w:name="_Toc530554862"/>
      <w:r>
        <w:rPr>
          <w:rStyle w:val="CharDivNo"/>
        </w:rPr>
        <w:t>Division 2</w:t>
      </w:r>
      <w:r>
        <w:rPr>
          <w:snapToGrid w:val="0"/>
        </w:rPr>
        <w:t> — </w:t>
      </w:r>
      <w:r>
        <w:rPr>
          <w:rStyle w:val="CharDivText"/>
        </w:rPr>
        <w:t>Termination of schemes</w:t>
      </w:r>
      <w:bookmarkEnd w:id="119"/>
      <w:bookmarkEnd w:id="120"/>
      <w:bookmarkEnd w:id="121"/>
    </w:p>
    <w:p>
      <w:pPr>
        <w:pStyle w:val="Footnoteheading"/>
        <w:keepNext/>
      </w:pPr>
      <w:r>
        <w:tab/>
        <w:t>[Heading inserted: No. 61 of 1996 s. 20.]</w:t>
      </w:r>
    </w:p>
    <w:p>
      <w:pPr>
        <w:pStyle w:val="Heading5"/>
        <w:keepLines w:val="0"/>
        <w:rPr>
          <w:snapToGrid w:val="0"/>
        </w:rPr>
      </w:pPr>
      <w:bookmarkStart w:id="122" w:name="_Toc530554863"/>
      <w:r>
        <w:rPr>
          <w:rStyle w:val="CharSectno"/>
        </w:rPr>
        <w:t>29C</w:t>
      </w:r>
      <w:r>
        <w:rPr>
          <w:snapToGrid w:val="0"/>
        </w:rPr>
        <w:t>.</w:t>
      </w:r>
      <w:r>
        <w:rPr>
          <w:snapToGrid w:val="0"/>
        </w:rPr>
        <w:tab/>
        <w:t>Termination of scheme by resumption</w:t>
      </w:r>
      <w:bookmarkEnd w:id="122"/>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No. 58 of 1995 s. 32; amended: No. 74 of 2003 s. 112(9)</w:t>
      </w:r>
      <w:r>
        <w:noBreakHyphen/>
        <w:t>(11).]</w:t>
      </w:r>
    </w:p>
    <w:p>
      <w:pPr>
        <w:pStyle w:val="Heading5"/>
        <w:rPr>
          <w:snapToGrid w:val="0"/>
        </w:rPr>
      </w:pPr>
      <w:bookmarkStart w:id="123" w:name="_Toc530554864"/>
      <w:r>
        <w:rPr>
          <w:rStyle w:val="CharSectno"/>
        </w:rPr>
        <w:t>30</w:t>
      </w:r>
      <w:r>
        <w:rPr>
          <w:snapToGrid w:val="0"/>
        </w:rPr>
        <w:t>.</w:t>
      </w:r>
      <w:r>
        <w:rPr>
          <w:snapToGrid w:val="0"/>
        </w:rPr>
        <w:tab/>
        <w:t>Termination of strata scheme by unanimous resolution</w:t>
      </w:r>
      <w:bookmarkEnd w:id="123"/>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No. 58 of 1995 s. 33; No. 81 of 1996 s. 153(1).]</w:t>
      </w:r>
    </w:p>
    <w:p>
      <w:pPr>
        <w:pStyle w:val="Heading5"/>
        <w:rPr>
          <w:snapToGrid w:val="0"/>
        </w:rPr>
      </w:pPr>
      <w:bookmarkStart w:id="124" w:name="_Toc530554865"/>
      <w:r>
        <w:rPr>
          <w:rStyle w:val="CharSectno"/>
        </w:rPr>
        <w:t>30A</w:t>
      </w:r>
      <w:r>
        <w:rPr>
          <w:snapToGrid w:val="0"/>
        </w:rPr>
        <w:t>.</w:t>
      </w:r>
      <w:r>
        <w:rPr>
          <w:snapToGrid w:val="0"/>
        </w:rPr>
        <w:tab/>
        <w:t>Termination of survey</w:t>
      </w:r>
      <w:r>
        <w:rPr>
          <w:snapToGrid w:val="0"/>
        </w:rPr>
        <w:noBreakHyphen/>
        <w:t>strata scheme by unanimous resolution</w:t>
      </w:r>
      <w:bookmarkEnd w:id="124"/>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No. 58 of 1995 s. 34.]</w:t>
      </w:r>
    </w:p>
    <w:p>
      <w:pPr>
        <w:pStyle w:val="Heading5"/>
        <w:rPr>
          <w:snapToGrid w:val="0"/>
        </w:rPr>
      </w:pPr>
      <w:bookmarkStart w:id="125" w:name="_Toc530554866"/>
      <w:r>
        <w:rPr>
          <w:rStyle w:val="CharSectno"/>
        </w:rPr>
        <w:t>31</w:t>
      </w:r>
      <w:r>
        <w:rPr>
          <w:snapToGrid w:val="0"/>
        </w:rPr>
        <w:t>.</w:t>
      </w:r>
      <w:r>
        <w:rPr>
          <w:snapToGrid w:val="0"/>
        </w:rPr>
        <w:tab/>
        <w:t>Termination of scheme by order of District Court</w:t>
      </w:r>
      <w:bookmarkEnd w:id="125"/>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No. 58 of 1995 s. 35, 93(1) and 96.]</w:t>
      </w:r>
    </w:p>
    <w:p>
      <w:pPr>
        <w:pStyle w:val="Heading3"/>
        <w:keepLines/>
      </w:pPr>
      <w:bookmarkStart w:id="126" w:name="_Toc525288495"/>
      <w:bookmarkStart w:id="127" w:name="_Toc530554531"/>
      <w:bookmarkStart w:id="128" w:name="_Toc530554867"/>
      <w:r>
        <w:rPr>
          <w:rStyle w:val="CharDivNo"/>
        </w:rPr>
        <w:t>Division 3</w:t>
      </w:r>
      <w:r>
        <w:rPr>
          <w:snapToGrid w:val="0"/>
        </w:rPr>
        <w:t> — </w:t>
      </w:r>
      <w:r>
        <w:rPr>
          <w:rStyle w:val="CharDivText"/>
        </w:rPr>
        <w:t>Conversion of strata schemes to survey</w:t>
      </w:r>
      <w:r>
        <w:rPr>
          <w:rStyle w:val="CharDivText"/>
        </w:rPr>
        <w:noBreakHyphen/>
        <w:t>strata schemes</w:t>
      </w:r>
      <w:bookmarkEnd w:id="126"/>
      <w:bookmarkEnd w:id="127"/>
      <w:bookmarkEnd w:id="128"/>
    </w:p>
    <w:p>
      <w:pPr>
        <w:pStyle w:val="Footnoteheading"/>
      </w:pPr>
      <w:r>
        <w:tab/>
        <w:t>[Heading inserted: No. 61 of 1996 s. 21.]</w:t>
      </w:r>
    </w:p>
    <w:p>
      <w:pPr>
        <w:pStyle w:val="Heading5"/>
        <w:rPr>
          <w:snapToGrid w:val="0"/>
        </w:rPr>
      </w:pPr>
      <w:bookmarkStart w:id="129" w:name="_Toc530554868"/>
      <w:r>
        <w:rPr>
          <w:rStyle w:val="CharSectno"/>
        </w:rPr>
        <w:t>31A</w:t>
      </w:r>
      <w:r>
        <w:rPr>
          <w:snapToGrid w:val="0"/>
        </w:rPr>
        <w:t>.</w:t>
      </w:r>
      <w:r>
        <w:rPr>
          <w:snapToGrid w:val="0"/>
        </w:rPr>
        <w:tab/>
        <w:t>Division only applies to single tier strata schemes registered before 1 January 1998</w:t>
      </w:r>
      <w:bookmarkEnd w:id="129"/>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No. 61 of 1996 s. 21.]</w:t>
      </w:r>
    </w:p>
    <w:p>
      <w:pPr>
        <w:pStyle w:val="Heading5"/>
        <w:rPr>
          <w:snapToGrid w:val="0"/>
        </w:rPr>
      </w:pPr>
      <w:bookmarkStart w:id="130" w:name="_Toc530554869"/>
      <w:r>
        <w:rPr>
          <w:rStyle w:val="CharSectno"/>
        </w:rPr>
        <w:t>31B</w:t>
      </w:r>
      <w:r>
        <w:rPr>
          <w:snapToGrid w:val="0"/>
        </w:rPr>
        <w:t>.</w:t>
      </w:r>
      <w:r>
        <w:rPr>
          <w:snapToGrid w:val="0"/>
        </w:rPr>
        <w:tab/>
        <w:t>Saving</w:t>
      </w:r>
      <w:bookmarkEnd w:id="130"/>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No. 61 of 1996 s. 21.]</w:t>
      </w:r>
    </w:p>
    <w:p>
      <w:pPr>
        <w:pStyle w:val="Heading5"/>
        <w:rPr>
          <w:snapToGrid w:val="0"/>
        </w:rPr>
      </w:pPr>
      <w:bookmarkStart w:id="131" w:name="_Toc530554870"/>
      <w:r>
        <w:rPr>
          <w:rStyle w:val="CharSectno"/>
        </w:rPr>
        <w:t>31C</w:t>
      </w:r>
      <w:r>
        <w:rPr>
          <w:snapToGrid w:val="0"/>
        </w:rPr>
        <w:t>.</w:t>
      </w:r>
      <w:r>
        <w:rPr>
          <w:snapToGrid w:val="0"/>
        </w:rPr>
        <w:tab/>
        <w:t>Resolution by strata company</w:t>
      </w:r>
      <w:bookmarkEnd w:id="131"/>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No. 61 of 1996 s. 21.]</w:t>
      </w:r>
    </w:p>
    <w:p>
      <w:pPr>
        <w:pStyle w:val="Heading5"/>
        <w:rPr>
          <w:snapToGrid w:val="0"/>
        </w:rPr>
      </w:pPr>
      <w:bookmarkStart w:id="132" w:name="_Toc530554871"/>
      <w:r>
        <w:rPr>
          <w:rStyle w:val="CharSectno"/>
        </w:rPr>
        <w:t>31D</w:t>
      </w:r>
      <w:r>
        <w:rPr>
          <w:snapToGrid w:val="0"/>
        </w:rPr>
        <w:t>.</w:t>
      </w:r>
      <w:r>
        <w:rPr>
          <w:snapToGrid w:val="0"/>
        </w:rPr>
        <w:tab/>
        <w:t>Notice of resolution may be lodged for registration</w:t>
      </w:r>
      <w:bookmarkEnd w:id="132"/>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No. 61 of 1996 s. 21.]</w:t>
      </w:r>
    </w:p>
    <w:p>
      <w:pPr>
        <w:pStyle w:val="Heading5"/>
        <w:rPr>
          <w:snapToGrid w:val="0"/>
        </w:rPr>
      </w:pPr>
      <w:bookmarkStart w:id="133" w:name="_Toc530554872"/>
      <w:r>
        <w:rPr>
          <w:rStyle w:val="CharSectno"/>
        </w:rPr>
        <w:t>31E</w:t>
      </w:r>
      <w:r>
        <w:rPr>
          <w:snapToGrid w:val="0"/>
        </w:rPr>
        <w:t>.</w:t>
      </w:r>
      <w:r>
        <w:rPr>
          <w:snapToGrid w:val="0"/>
        </w:rPr>
        <w:tab/>
        <w:t>Documents to accompany notice</w:t>
      </w:r>
      <w:bookmarkEnd w:id="133"/>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No. 61 of 1996 s. 21.]</w:t>
      </w:r>
    </w:p>
    <w:p>
      <w:pPr>
        <w:pStyle w:val="Heading5"/>
        <w:keepNext w:val="0"/>
        <w:keepLines w:val="0"/>
        <w:rPr>
          <w:snapToGrid w:val="0"/>
        </w:rPr>
      </w:pPr>
      <w:bookmarkStart w:id="134" w:name="_Toc530554873"/>
      <w:r>
        <w:rPr>
          <w:rStyle w:val="CharSectno"/>
        </w:rPr>
        <w:t>31F</w:t>
      </w:r>
      <w:r>
        <w:rPr>
          <w:snapToGrid w:val="0"/>
        </w:rPr>
        <w:t>.</w:t>
      </w:r>
      <w:r>
        <w:rPr>
          <w:snapToGrid w:val="0"/>
        </w:rPr>
        <w:tab/>
        <w:t>Certificate of licensed surveyor</w:t>
      </w:r>
      <w:bookmarkEnd w:id="134"/>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No. 61 of 1996 s. 21; amended: No. 38 of 2005 s. 15; No. 28 of 2010 s. 37(5) and (6).]</w:t>
      </w:r>
    </w:p>
    <w:p>
      <w:pPr>
        <w:pStyle w:val="Heading5"/>
        <w:rPr>
          <w:snapToGrid w:val="0"/>
        </w:rPr>
      </w:pPr>
      <w:bookmarkStart w:id="135" w:name="_Toc530554874"/>
      <w:r>
        <w:rPr>
          <w:rStyle w:val="CharSectno"/>
        </w:rPr>
        <w:t>31G</w:t>
      </w:r>
      <w:r>
        <w:rPr>
          <w:snapToGrid w:val="0"/>
        </w:rPr>
        <w:t>.</w:t>
      </w:r>
      <w:r>
        <w:rPr>
          <w:snapToGrid w:val="0"/>
        </w:rPr>
        <w:tab/>
        <w:t>Creation of easements</w:t>
      </w:r>
      <w:bookmarkEnd w:id="135"/>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No. 61 of 1996 s. 21.]</w:t>
      </w:r>
    </w:p>
    <w:p>
      <w:pPr>
        <w:pStyle w:val="Heading5"/>
        <w:rPr>
          <w:snapToGrid w:val="0"/>
        </w:rPr>
      </w:pPr>
      <w:bookmarkStart w:id="136" w:name="_Toc530554875"/>
      <w:r>
        <w:rPr>
          <w:rStyle w:val="CharSectno"/>
        </w:rPr>
        <w:t>31H</w:t>
      </w:r>
      <w:r>
        <w:rPr>
          <w:snapToGrid w:val="0"/>
        </w:rPr>
        <w:t>.</w:t>
      </w:r>
      <w:r>
        <w:rPr>
          <w:snapToGrid w:val="0"/>
        </w:rPr>
        <w:tab/>
        <w:t>Transfers etc. to give effect to resolution</w:t>
      </w:r>
      <w:bookmarkEnd w:id="13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No. 61 of 1996 s. 21; amended: No. 12 of 2008 Sch. 1 cl. 36(2).]</w:t>
      </w:r>
    </w:p>
    <w:p>
      <w:pPr>
        <w:pStyle w:val="Heading5"/>
        <w:rPr>
          <w:snapToGrid w:val="0"/>
        </w:rPr>
      </w:pPr>
      <w:bookmarkStart w:id="137" w:name="_Toc530554876"/>
      <w:r>
        <w:rPr>
          <w:rStyle w:val="CharSectno"/>
        </w:rPr>
        <w:t>31I</w:t>
      </w:r>
      <w:r>
        <w:rPr>
          <w:snapToGrid w:val="0"/>
        </w:rPr>
        <w:t>.</w:t>
      </w:r>
      <w:r>
        <w:rPr>
          <w:snapToGrid w:val="0"/>
        </w:rPr>
        <w:tab/>
        <w:t>Registration of notice of resolution</w:t>
      </w:r>
      <w:bookmarkEnd w:id="137"/>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No. 61 of 1996 s. 21.]</w:t>
      </w:r>
    </w:p>
    <w:p>
      <w:pPr>
        <w:pStyle w:val="Heading5"/>
        <w:rPr>
          <w:snapToGrid w:val="0"/>
        </w:rPr>
      </w:pPr>
      <w:bookmarkStart w:id="138" w:name="_Toc530554877"/>
      <w:r>
        <w:rPr>
          <w:rStyle w:val="CharSectno"/>
        </w:rPr>
        <w:t>31J</w:t>
      </w:r>
      <w:r>
        <w:rPr>
          <w:snapToGrid w:val="0"/>
        </w:rPr>
        <w:t>.</w:t>
      </w:r>
      <w:r>
        <w:rPr>
          <w:snapToGrid w:val="0"/>
        </w:rPr>
        <w:tab/>
        <w:t>Effect of registration</w:t>
      </w:r>
      <w:bookmarkEnd w:id="138"/>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No. 61 of 1996 s. 21.]</w:t>
      </w:r>
    </w:p>
    <w:p>
      <w:pPr>
        <w:pStyle w:val="Heading5"/>
        <w:rPr>
          <w:snapToGrid w:val="0"/>
        </w:rPr>
      </w:pPr>
      <w:bookmarkStart w:id="139" w:name="_Toc530554878"/>
      <w:r>
        <w:rPr>
          <w:rStyle w:val="CharSectno"/>
        </w:rPr>
        <w:t>31K</w:t>
      </w:r>
      <w:r>
        <w:rPr>
          <w:snapToGrid w:val="0"/>
        </w:rPr>
        <w:t>.</w:t>
      </w:r>
      <w:r>
        <w:rPr>
          <w:snapToGrid w:val="0"/>
        </w:rPr>
        <w:tab/>
        <w:t>Registrar of Titles to make necessary amendments</w:t>
      </w:r>
      <w:bookmarkEnd w:id="139"/>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No. 61 of 1996 s. 21; amended: No. 60 of 2006 s. 160(5).]</w:t>
      </w:r>
    </w:p>
    <w:p>
      <w:pPr>
        <w:pStyle w:val="Heading2"/>
      </w:pPr>
      <w:bookmarkStart w:id="140" w:name="_Toc525288507"/>
      <w:bookmarkStart w:id="141" w:name="_Toc530554543"/>
      <w:bookmarkStart w:id="142" w:name="_Toc530554879"/>
      <w:r>
        <w:rPr>
          <w:rStyle w:val="CharPartNo"/>
        </w:rPr>
        <w:t>Part IV</w:t>
      </w:r>
      <w:r>
        <w:t> — </w:t>
      </w:r>
      <w:r>
        <w:rPr>
          <w:rStyle w:val="CharPartText"/>
        </w:rPr>
        <w:t>Management</w:t>
      </w:r>
      <w:bookmarkEnd w:id="140"/>
      <w:bookmarkEnd w:id="141"/>
      <w:bookmarkEnd w:id="142"/>
    </w:p>
    <w:p>
      <w:pPr>
        <w:pStyle w:val="Heading3"/>
      </w:pPr>
      <w:bookmarkStart w:id="143" w:name="_Toc525288508"/>
      <w:bookmarkStart w:id="144" w:name="_Toc530554544"/>
      <w:bookmarkStart w:id="145" w:name="_Toc530554880"/>
      <w:r>
        <w:rPr>
          <w:rStyle w:val="CharDivNo"/>
        </w:rPr>
        <w:t>Division 1</w:t>
      </w:r>
      <w:r>
        <w:rPr>
          <w:snapToGrid w:val="0"/>
        </w:rPr>
        <w:t> — </w:t>
      </w:r>
      <w:r>
        <w:rPr>
          <w:rStyle w:val="CharDivText"/>
        </w:rPr>
        <w:t>Strata companies</w:t>
      </w:r>
      <w:bookmarkEnd w:id="143"/>
      <w:bookmarkEnd w:id="144"/>
      <w:bookmarkEnd w:id="145"/>
    </w:p>
    <w:p>
      <w:pPr>
        <w:pStyle w:val="Heading5"/>
        <w:rPr>
          <w:snapToGrid w:val="0"/>
        </w:rPr>
      </w:pPr>
      <w:bookmarkStart w:id="146" w:name="_Toc530554881"/>
      <w:r>
        <w:rPr>
          <w:rStyle w:val="CharSectno"/>
        </w:rPr>
        <w:t>32</w:t>
      </w:r>
      <w:r>
        <w:rPr>
          <w:snapToGrid w:val="0"/>
        </w:rPr>
        <w:t>.</w:t>
      </w:r>
      <w:r>
        <w:rPr>
          <w:snapToGrid w:val="0"/>
        </w:rPr>
        <w:tab/>
        <w:t>Incorporation of proprietors</w:t>
      </w:r>
      <w:bookmarkEnd w:id="146"/>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No. 58 of 1995 s. 36; No. 10 of 2001 s. 189.]</w:t>
      </w:r>
    </w:p>
    <w:p>
      <w:pPr>
        <w:pStyle w:val="Heading5"/>
        <w:rPr>
          <w:snapToGrid w:val="0"/>
        </w:rPr>
      </w:pPr>
      <w:bookmarkStart w:id="147" w:name="_Toc530554882"/>
      <w:r>
        <w:rPr>
          <w:rStyle w:val="CharSectno"/>
        </w:rPr>
        <w:t>33</w:t>
      </w:r>
      <w:r>
        <w:rPr>
          <w:snapToGrid w:val="0"/>
        </w:rPr>
        <w:t>.</w:t>
      </w:r>
      <w:r>
        <w:rPr>
          <w:snapToGrid w:val="0"/>
        </w:rPr>
        <w:tab/>
        <w:t>Strata company is representative of proprietors in proceedings</w:t>
      </w:r>
      <w:bookmarkEnd w:id="147"/>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No. 58 of 1995 s. 96.]</w:t>
      </w:r>
    </w:p>
    <w:p>
      <w:pPr>
        <w:pStyle w:val="Heading5"/>
        <w:rPr>
          <w:snapToGrid w:val="0"/>
        </w:rPr>
      </w:pPr>
      <w:bookmarkStart w:id="148" w:name="_Toc530554883"/>
      <w:r>
        <w:rPr>
          <w:rStyle w:val="CharSectno"/>
        </w:rPr>
        <w:t>34</w:t>
      </w:r>
      <w:r>
        <w:rPr>
          <w:snapToGrid w:val="0"/>
        </w:rPr>
        <w:t>.</w:t>
      </w:r>
      <w:r>
        <w:rPr>
          <w:snapToGrid w:val="0"/>
        </w:rPr>
        <w:tab/>
        <w:t>Contract formalities</w:t>
      </w:r>
      <w:bookmarkEnd w:id="148"/>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49" w:name="_Toc530554884"/>
      <w:r>
        <w:rPr>
          <w:rStyle w:val="CharSectno"/>
        </w:rPr>
        <w:t>35</w:t>
      </w:r>
      <w:r>
        <w:rPr>
          <w:snapToGrid w:val="0"/>
        </w:rPr>
        <w:t>.</w:t>
      </w:r>
      <w:r>
        <w:rPr>
          <w:snapToGrid w:val="0"/>
        </w:rPr>
        <w:tab/>
        <w:t>Duties of strata companies</w:t>
      </w:r>
      <w:bookmarkEnd w:id="149"/>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No. 58 of 1995 s. 37, 94 and 95; No. 14 of 1996 s. 4.]</w:t>
      </w:r>
    </w:p>
    <w:p>
      <w:pPr>
        <w:pStyle w:val="Heading5"/>
        <w:rPr>
          <w:snapToGrid w:val="0"/>
        </w:rPr>
      </w:pPr>
      <w:bookmarkStart w:id="150" w:name="_Toc530554885"/>
      <w:r>
        <w:rPr>
          <w:rStyle w:val="CharSectno"/>
        </w:rPr>
        <w:t>35A</w:t>
      </w:r>
      <w:r>
        <w:rPr>
          <w:snapToGrid w:val="0"/>
        </w:rPr>
        <w:t>.</w:t>
      </w:r>
      <w:r>
        <w:rPr>
          <w:snapToGrid w:val="0"/>
        </w:rPr>
        <w:tab/>
        <w:t>Roll to be kept by strata company</w:t>
      </w:r>
      <w:bookmarkEnd w:id="150"/>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No. 58 of 1995 s. 38(1).]</w:t>
      </w:r>
    </w:p>
    <w:p>
      <w:pPr>
        <w:pStyle w:val="Heading5"/>
        <w:rPr>
          <w:snapToGrid w:val="0"/>
        </w:rPr>
      </w:pPr>
      <w:bookmarkStart w:id="151" w:name="_Toc530554886"/>
      <w:r>
        <w:rPr>
          <w:rStyle w:val="CharSectno"/>
        </w:rPr>
        <w:t>36</w:t>
      </w:r>
      <w:r>
        <w:rPr>
          <w:snapToGrid w:val="0"/>
        </w:rPr>
        <w:t>.</w:t>
      </w:r>
      <w:r>
        <w:rPr>
          <w:snapToGrid w:val="0"/>
        </w:rPr>
        <w:tab/>
        <w:t>Levy of contributions on proprietors</w:t>
      </w:r>
      <w:bookmarkEnd w:id="151"/>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No. 58 of 1995 s. 39; No. 14 of 1996 s. 4.]</w:t>
      </w:r>
    </w:p>
    <w:p>
      <w:pPr>
        <w:pStyle w:val="Heading5"/>
        <w:spacing w:before="180"/>
        <w:rPr>
          <w:snapToGrid w:val="0"/>
        </w:rPr>
      </w:pPr>
      <w:bookmarkStart w:id="152" w:name="_Toc530554887"/>
      <w:r>
        <w:rPr>
          <w:rStyle w:val="CharSectno"/>
        </w:rPr>
        <w:t>36A</w:t>
      </w:r>
      <w:r>
        <w:rPr>
          <w:snapToGrid w:val="0"/>
        </w:rPr>
        <w:t>.</w:t>
      </w:r>
      <w:r>
        <w:rPr>
          <w:snapToGrid w:val="0"/>
        </w:rPr>
        <w:tab/>
        <w:t>Certain provisions do not apply to companies for two</w:t>
      </w:r>
      <w:r>
        <w:rPr>
          <w:snapToGrid w:val="0"/>
        </w:rPr>
        <w:noBreakHyphen/>
        <w:t>lot schemes</w:t>
      </w:r>
      <w:bookmarkEnd w:id="152"/>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No. 58 of 1995 s. 40.]</w:t>
      </w:r>
    </w:p>
    <w:p>
      <w:pPr>
        <w:pStyle w:val="Heading5"/>
        <w:spacing w:before="180"/>
        <w:rPr>
          <w:snapToGrid w:val="0"/>
        </w:rPr>
      </w:pPr>
      <w:bookmarkStart w:id="153" w:name="_Toc530554888"/>
      <w:r>
        <w:rPr>
          <w:rStyle w:val="CharSectno"/>
        </w:rPr>
        <w:t>36B</w:t>
      </w:r>
      <w:r>
        <w:rPr>
          <w:snapToGrid w:val="0"/>
        </w:rPr>
        <w:t>.</w:t>
      </w:r>
      <w:r>
        <w:rPr>
          <w:snapToGrid w:val="0"/>
        </w:rPr>
        <w:tab/>
        <w:t>Certain provisions may be excluded for 3, 4 or 5 lot schemes</w:t>
      </w:r>
      <w:bookmarkEnd w:id="153"/>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No. 58 of 1995 s. 40.]</w:t>
      </w:r>
    </w:p>
    <w:p>
      <w:pPr>
        <w:pStyle w:val="Heading5"/>
        <w:rPr>
          <w:snapToGrid w:val="0"/>
        </w:rPr>
      </w:pPr>
      <w:bookmarkStart w:id="154" w:name="_Toc530554889"/>
      <w:r>
        <w:rPr>
          <w:rStyle w:val="CharSectno"/>
        </w:rPr>
        <w:t>37</w:t>
      </w:r>
      <w:r>
        <w:rPr>
          <w:snapToGrid w:val="0"/>
        </w:rPr>
        <w:t>.</w:t>
      </w:r>
      <w:r>
        <w:rPr>
          <w:snapToGrid w:val="0"/>
        </w:rPr>
        <w:tab/>
        <w:t>Powers of strata company</w:t>
      </w:r>
      <w:bookmarkEnd w:id="154"/>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55" w:name="_Toc530554890"/>
      <w:r>
        <w:rPr>
          <w:rStyle w:val="CharSectno"/>
        </w:rPr>
        <w:t>38</w:t>
      </w:r>
      <w:r>
        <w:rPr>
          <w:snapToGrid w:val="0"/>
        </w:rPr>
        <w:t>.</w:t>
      </w:r>
      <w:r>
        <w:rPr>
          <w:snapToGrid w:val="0"/>
        </w:rPr>
        <w:tab/>
        <w:t>Power of strata company to carry out work</w:t>
      </w:r>
      <w:bookmarkEnd w:id="155"/>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No. 14 of 1996 s. 4; No. 55 of 2004 s. 1119.]</w:t>
      </w:r>
    </w:p>
    <w:p>
      <w:pPr>
        <w:pStyle w:val="Heading5"/>
        <w:rPr>
          <w:snapToGrid w:val="0"/>
        </w:rPr>
      </w:pPr>
      <w:bookmarkStart w:id="156" w:name="_Toc530554891"/>
      <w:r>
        <w:rPr>
          <w:rStyle w:val="CharSectno"/>
        </w:rPr>
        <w:t>39</w:t>
      </w:r>
      <w:r>
        <w:rPr>
          <w:snapToGrid w:val="0"/>
        </w:rPr>
        <w:t>.</w:t>
      </w:r>
      <w:r>
        <w:rPr>
          <w:snapToGrid w:val="0"/>
        </w:rPr>
        <w:tab/>
        <w:t>Power of strata company to enter</w:t>
      </w:r>
      <w:bookmarkEnd w:id="156"/>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No. 58 of 1995 s. 94; No. 14 of 1996 s. 4; No. 74 of 2003 s. 112(12); No. 55 of 2004 s. 1120.]</w:t>
      </w:r>
    </w:p>
    <w:p>
      <w:pPr>
        <w:pStyle w:val="Heading5"/>
        <w:rPr>
          <w:snapToGrid w:val="0"/>
        </w:rPr>
      </w:pPr>
      <w:bookmarkStart w:id="157" w:name="_Toc530554892"/>
      <w:r>
        <w:rPr>
          <w:rStyle w:val="CharSectno"/>
        </w:rPr>
        <w:t>39A</w:t>
      </w:r>
      <w:r>
        <w:rPr>
          <w:snapToGrid w:val="0"/>
        </w:rPr>
        <w:t>.</w:t>
      </w:r>
      <w:r>
        <w:rPr>
          <w:snapToGrid w:val="0"/>
        </w:rPr>
        <w:tab/>
        <w:t>Power to terminate certain contracts for services</w:t>
      </w:r>
      <w:bookmarkEnd w:id="157"/>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No. 58 of 1995 s. 41; amended: No. 55 of 2004 s. 1121, 1156(1) and (3) and 1158.]</w:t>
      </w:r>
    </w:p>
    <w:p>
      <w:pPr>
        <w:pStyle w:val="Heading5"/>
        <w:rPr>
          <w:snapToGrid w:val="0"/>
        </w:rPr>
      </w:pPr>
      <w:bookmarkStart w:id="158" w:name="_Toc530554893"/>
      <w:r>
        <w:rPr>
          <w:rStyle w:val="CharSectno"/>
        </w:rPr>
        <w:t>40</w:t>
      </w:r>
      <w:r>
        <w:rPr>
          <w:snapToGrid w:val="0"/>
        </w:rPr>
        <w:t>.</w:t>
      </w:r>
      <w:r>
        <w:rPr>
          <w:snapToGrid w:val="0"/>
        </w:rPr>
        <w:tab/>
        <w:t>Change of strata company’s address for service</w:t>
      </w:r>
      <w:bookmarkEnd w:id="158"/>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No. 60 of 2006 s. 160(6).]</w:t>
      </w:r>
    </w:p>
    <w:p>
      <w:pPr>
        <w:pStyle w:val="Heading5"/>
        <w:rPr>
          <w:snapToGrid w:val="0"/>
        </w:rPr>
      </w:pPr>
      <w:bookmarkStart w:id="159" w:name="_Toc530554894"/>
      <w:r>
        <w:rPr>
          <w:rStyle w:val="CharSectno"/>
        </w:rPr>
        <w:t>41</w:t>
      </w:r>
      <w:r>
        <w:rPr>
          <w:snapToGrid w:val="0"/>
        </w:rPr>
        <w:t>.</w:t>
      </w:r>
      <w:r>
        <w:rPr>
          <w:snapToGrid w:val="0"/>
        </w:rPr>
        <w:tab/>
        <w:t>Change of name of strata company</w:t>
      </w:r>
      <w:bookmarkEnd w:id="159"/>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No. 58 of 1995 s. 42 and 95; No. 60 of 2006 s. 160(7).]</w:t>
      </w:r>
    </w:p>
    <w:p>
      <w:pPr>
        <w:pStyle w:val="Heading5"/>
        <w:rPr>
          <w:snapToGrid w:val="0"/>
        </w:rPr>
      </w:pPr>
      <w:bookmarkStart w:id="160" w:name="_Toc530554895"/>
      <w:r>
        <w:rPr>
          <w:rStyle w:val="CharSectno"/>
        </w:rPr>
        <w:t>42</w:t>
      </w:r>
      <w:r>
        <w:rPr>
          <w:snapToGrid w:val="0"/>
        </w:rPr>
        <w:t>.</w:t>
      </w:r>
      <w:r>
        <w:rPr>
          <w:snapToGrid w:val="0"/>
        </w:rPr>
        <w:tab/>
        <w:t>By</w:t>
      </w:r>
      <w:r>
        <w:rPr>
          <w:snapToGrid w:val="0"/>
        </w:rPr>
        <w:noBreakHyphen/>
        <w:t>laws</w:t>
      </w:r>
      <w:bookmarkEnd w:id="160"/>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No. 58 of 1995 s. 43, 92, 94, 95 and 96; No. 57 of 1997 s. 115(2); No. 24 of 2000 s. 40(4) to (7); No. 55 of 2004 s. 1156(1).]</w:t>
      </w:r>
    </w:p>
    <w:p>
      <w:pPr>
        <w:pStyle w:val="Heading5"/>
        <w:rPr>
          <w:snapToGrid w:val="0"/>
        </w:rPr>
      </w:pPr>
      <w:bookmarkStart w:id="161" w:name="_Toc530554896"/>
      <w:r>
        <w:rPr>
          <w:rStyle w:val="CharSectno"/>
        </w:rPr>
        <w:t>42A</w:t>
      </w:r>
      <w:r>
        <w:rPr>
          <w:snapToGrid w:val="0"/>
        </w:rPr>
        <w:t>.</w:t>
      </w:r>
      <w:r>
        <w:rPr>
          <w:snapToGrid w:val="0"/>
        </w:rPr>
        <w:tab/>
        <w:t>By</w:t>
      </w:r>
      <w:r>
        <w:rPr>
          <w:snapToGrid w:val="0"/>
        </w:rPr>
        <w:noBreakHyphen/>
        <w:t>laws may provide for penalties</w:t>
      </w:r>
      <w:bookmarkEnd w:id="161"/>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No. 58 of 1995 s. 44; No. 55 of 2004 s. 1156(3).]</w:t>
      </w:r>
    </w:p>
    <w:p>
      <w:pPr>
        <w:pStyle w:val="Heading5"/>
        <w:rPr>
          <w:snapToGrid w:val="0"/>
        </w:rPr>
      </w:pPr>
      <w:bookmarkStart w:id="162" w:name="_Toc530554897"/>
      <w:r>
        <w:rPr>
          <w:rStyle w:val="CharSectno"/>
        </w:rPr>
        <w:t>42B</w:t>
      </w:r>
      <w:r>
        <w:rPr>
          <w:snapToGrid w:val="0"/>
        </w:rPr>
        <w:t>.</w:t>
      </w:r>
      <w:r>
        <w:rPr>
          <w:snapToGrid w:val="0"/>
        </w:rPr>
        <w:tab/>
        <w:t>By</w:t>
      </w:r>
      <w:r>
        <w:rPr>
          <w:snapToGrid w:val="0"/>
        </w:rPr>
        <w:noBreakHyphen/>
        <w:t>laws may provide for different basis for levying contributions</w:t>
      </w:r>
      <w:bookmarkEnd w:id="162"/>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No. 58 of 1995 s. 44.]</w:t>
      </w:r>
    </w:p>
    <w:p>
      <w:pPr>
        <w:pStyle w:val="Heading5"/>
        <w:rPr>
          <w:snapToGrid w:val="0"/>
        </w:rPr>
      </w:pPr>
      <w:bookmarkStart w:id="163" w:name="_Toc530554898"/>
      <w:r>
        <w:rPr>
          <w:rStyle w:val="CharSectno"/>
        </w:rPr>
        <w:t>42C</w:t>
      </w:r>
      <w:r>
        <w:rPr>
          <w:snapToGrid w:val="0"/>
        </w:rPr>
        <w:t>.</w:t>
      </w:r>
      <w:r>
        <w:rPr>
          <w:snapToGrid w:val="0"/>
        </w:rPr>
        <w:tab/>
        <w:t>Transitional provision</w:t>
      </w:r>
      <w:bookmarkEnd w:id="163"/>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No. 58 of 1995 s. 44.]</w:t>
      </w:r>
    </w:p>
    <w:p>
      <w:pPr>
        <w:pStyle w:val="Heading5"/>
        <w:rPr>
          <w:snapToGrid w:val="0"/>
        </w:rPr>
      </w:pPr>
      <w:bookmarkStart w:id="164" w:name="_Toc530554899"/>
      <w:r>
        <w:rPr>
          <w:rStyle w:val="CharSectno"/>
        </w:rPr>
        <w:t>43</w:t>
      </w:r>
      <w:r>
        <w:rPr>
          <w:snapToGrid w:val="0"/>
        </w:rPr>
        <w:t>.</w:t>
      </w:r>
      <w:r>
        <w:rPr>
          <w:snapToGrid w:val="0"/>
        </w:rPr>
        <w:tab/>
        <w:t>Supply of information and certificates by strata company</w:t>
      </w:r>
      <w:bookmarkEnd w:id="164"/>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No. 58 of 1995 s. 45, 94 and 95.]</w:t>
      </w:r>
    </w:p>
    <w:p>
      <w:pPr>
        <w:pStyle w:val="Heading3"/>
      </w:pPr>
      <w:bookmarkStart w:id="165" w:name="_Toc525288528"/>
      <w:bookmarkStart w:id="166" w:name="_Toc530554564"/>
      <w:bookmarkStart w:id="167" w:name="_Toc530554900"/>
      <w:r>
        <w:rPr>
          <w:rStyle w:val="CharDivNo"/>
        </w:rPr>
        <w:t>Division 2</w:t>
      </w:r>
      <w:r>
        <w:rPr>
          <w:snapToGrid w:val="0"/>
        </w:rPr>
        <w:t> — </w:t>
      </w:r>
      <w:r>
        <w:rPr>
          <w:rStyle w:val="CharDivText"/>
        </w:rPr>
        <w:t>Councils</w:t>
      </w:r>
      <w:bookmarkEnd w:id="165"/>
      <w:bookmarkEnd w:id="166"/>
      <w:bookmarkEnd w:id="167"/>
    </w:p>
    <w:p>
      <w:pPr>
        <w:pStyle w:val="Heading5"/>
        <w:spacing w:before="180"/>
        <w:rPr>
          <w:snapToGrid w:val="0"/>
        </w:rPr>
      </w:pPr>
      <w:bookmarkStart w:id="168" w:name="_Toc530554901"/>
      <w:r>
        <w:rPr>
          <w:rStyle w:val="CharSectno"/>
        </w:rPr>
        <w:t>44</w:t>
      </w:r>
      <w:r>
        <w:rPr>
          <w:snapToGrid w:val="0"/>
        </w:rPr>
        <w:t>.</w:t>
      </w:r>
      <w:r>
        <w:rPr>
          <w:snapToGrid w:val="0"/>
        </w:rPr>
        <w:tab/>
        <w:t>Functions of councils</w:t>
      </w:r>
      <w:bookmarkEnd w:id="168"/>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69" w:name="_Toc530554902"/>
      <w:r>
        <w:rPr>
          <w:rStyle w:val="CharSectno"/>
        </w:rPr>
        <w:t>45</w:t>
      </w:r>
      <w:r>
        <w:rPr>
          <w:snapToGrid w:val="0"/>
        </w:rPr>
        <w:t>.</w:t>
      </w:r>
      <w:r>
        <w:rPr>
          <w:snapToGrid w:val="0"/>
        </w:rPr>
        <w:tab/>
        <w:t>Corporate body may be chairman, secretary, treasurer or council member</w:t>
      </w:r>
      <w:bookmarkEnd w:id="169"/>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170" w:name="_Toc530554903"/>
      <w:r>
        <w:rPr>
          <w:rStyle w:val="CharSectno"/>
        </w:rPr>
        <w:t>46</w:t>
      </w:r>
      <w:r>
        <w:rPr>
          <w:snapToGrid w:val="0"/>
        </w:rPr>
        <w:t>.</w:t>
      </w:r>
      <w:r>
        <w:rPr>
          <w:snapToGrid w:val="0"/>
        </w:rPr>
        <w:tab/>
        <w:t>Performance of functions where no council or no quorum</w:t>
      </w:r>
      <w:bookmarkEnd w:id="170"/>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71" w:name="_Toc530554904"/>
      <w:r>
        <w:rPr>
          <w:rStyle w:val="CharSectno"/>
        </w:rPr>
        <w:t>47</w:t>
      </w:r>
      <w:r>
        <w:rPr>
          <w:snapToGrid w:val="0"/>
        </w:rPr>
        <w:t>.</w:t>
      </w:r>
      <w:r>
        <w:rPr>
          <w:snapToGrid w:val="0"/>
        </w:rPr>
        <w:tab/>
        <w:t>Restrictions on powers of expenditure</w:t>
      </w:r>
      <w:bookmarkEnd w:id="171"/>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No. 58 of 1995 s. 46(1) </w:t>
      </w:r>
      <w:r>
        <w:rPr>
          <w:i w:val="0"/>
          <w:vertAlign w:val="superscript"/>
        </w:rPr>
        <w:t>5</w:t>
      </w:r>
      <w:r>
        <w:t>; amended: No. 57 of 1997 s. 115(3); No. 55 of 2004 s. 1122.]</w:t>
      </w:r>
    </w:p>
    <w:p>
      <w:pPr>
        <w:pStyle w:val="Heading5"/>
        <w:rPr>
          <w:snapToGrid w:val="0"/>
        </w:rPr>
      </w:pPr>
      <w:bookmarkStart w:id="172" w:name="_Toc530554905"/>
      <w:r>
        <w:rPr>
          <w:rStyle w:val="CharSectno"/>
        </w:rPr>
        <w:t>48</w:t>
      </w:r>
      <w:r>
        <w:rPr>
          <w:snapToGrid w:val="0"/>
        </w:rPr>
        <w:t>.</w:t>
      </w:r>
      <w:r>
        <w:rPr>
          <w:snapToGrid w:val="0"/>
        </w:rPr>
        <w:tab/>
        <w:t>Recovery of books and records by council</w:t>
      </w:r>
      <w:bookmarkEnd w:id="172"/>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No. 58 of 1995 s. 94.]</w:t>
      </w:r>
    </w:p>
    <w:p>
      <w:pPr>
        <w:pStyle w:val="Heading3"/>
      </w:pPr>
      <w:bookmarkStart w:id="173" w:name="_Toc525288534"/>
      <w:bookmarkStart w:id="174" w:name="_Toc530554570"/>
      <w:bookmarkStart w:id="175" w:name="_Toc530554906"/>
      <w:r>
        <w:rPr>
          <w:rStyle w:val="CharDivNo"/>
        </w:rPr>
        <w:t>Division 3</w:t>
      </w:r>
      <w:r>
        <w:rPr>
          <w:snapToGrid w:val="0"/>
        </w:rPr>
        <w:t> — </w:t>
      </w:r>
      <w:r>
        <w:rPr>
          <w:rStyle w:val="CharDivText"/>
        </w:rPr>
        <w:t>Meetings</w:t>
      </w:r>
      <w:bookmarkEnd w:id="173"/>
      <w:bookmarkEnd w:id="174"/>
      <w:bookmarkEnd w:id="175"/>
    </w:p>
    <w:p>
      <w:pPr>
        <w:pStyle w:val="Heading5"/>
        <w:rPr>
          <w:snapToGrid w:val="0"/>
        </w:rPr>
      </w:pPr>
      <w:bookmarkStart w:id="176" w:name="_Toc530554907"/>
      <w:r>
        <w:rPr>
          <w:rStyle w:val="CharSectno"/>
        </w:rPr>
        <w:t>49</w:t>
      </w:r>
      <w:r>
        <w:rPr>
          <w:snapToGrid w:val="0"/>
        </w:rPr>
        <w:t>.</w:t>
      </w:r>
      <w:r>
        <w:rPr>
          <w:snapToGrid w:val="0"/>
        </w:rPr>
        <w:tab/>
        <w:t>First annual general meeting</w:t>
      </w:r>
      <w:bookmarkEnd w:id="176"/>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No. 58 of 1995 s. 95 and 96.]</w:t>
      </w:r>
    </w:p>
    <w:p>
      <w:pPr>
        <w:pStyle w:val="Heading5"/>
        <w:rPr>
          <w:snapToGrid w:val="0"/>
        </w:rPr>
      </w:pPr>
      <w:bookmarkStart w:id="177" w:name="_Toc530554908"/>
      <w:r>
        <w:rPr>
          <w:rStyle w:val="CharSectno"/>
        </w:rPr>
        <w:t>50</w:t>
      </w:r>
      <w:r>
        <w:rPr>
          <w:snapToGrid w:val="0"/>
        </w:rPr>
        <w:t>.</w:t>
      </w:r>
      <w:r>
        <w:rPr>
          <w:snapToGrid w:val="0"/>
        </w:rPr>
        <w:tab/>
        <w:t>Voting at meetings</w:t>
      </w:r>
      <w:bookmarkEnd w:id="177"/>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No. 58 of 1995 s. 47 and 93(1).]</w:t>
      </w:r>
    </w:p>
    <w:p>
      <w:pPr>
        <w:pStyle w:val="Heading5"/>
        <w:spacing w:before="180"/>
        <w:rPr>
          <w:snapToGrid w:val="0"/>
        </w:rPr>
      </w:pPr>
      <w:bookmarkStart w:id="178" w:name="_Toc530554909"/>
      <w:r>
        <w:rPr>
          <w:rStyle w:val="CharSectno"/>
        </w:rPr>
        <w:t>50A</w:t>
      </w:r>
      <w:r>
        <w:rPr>
          <w:snapToGrid w:val="0"/>
        </w:rPr>
        <w:t>.</w:t>
      </w:r>
      <w:r>
        <w:rPr>
          <w:snapToGrid w:val="0"/>
        </w:rPr>
        <w:tab/>
        <w:t>Disqualification from voting as proxy</w:t>
      </w:r>
      <w:bookmarkEnd w:id="178"/>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No. 58 of 1995 s. 48; amended: No. 28 of 2003 s. 196.]</w:t>
      </w:r>
    </w:p>
    <w:p>
      <w:pPr>
        <w:pStyle w:val="Heading5"/>
        <w:rPr>
          <w:snapToGrid w:val="0"/>
        </w:rPr>
      </w:pPr>
      <w:bookmarkStart w:id="179" w:name="_Toc530554910"/>
      <w:r>
        <w:rPr>
          <w:rStyle w:val="CharSectno"/>
        </w:rPr>
        <w:t>50B</w:t>
      </w:r>
      <w:r>
        <w:rPr>
          <w:snapToGrid w:val="0"/>
        </w:rPr>
        <w:t>.</w:t>
      </w:r>
      <w:r>
        <w:rPr>
          <w:snapToGrid w:val="0"/>
        </w:rPr>
        <w:tab/>
        <w:t>Quorum for meeting of strata company for two</w:t>
      </w:r>
      <w:r>
        <w:rPr>
          <w:snapToGrid w:val="0"/>
        </w:rPr>
        <w:noBreakHyphen/>
        <w:t>lot scheme</w:t>
      </w:r>
      <w:bookmarkEnd w:id="179"/>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No. 58 of 1995 s. 48.]</w:t>
      </w:r>
    </w:p>
    <w:p>
      <w:pPr>
        <w:pStyle w:val="Heading5"/>
        <w:rPr>
          <w:snapToGrid w:val="0"/>
        </w:rPr>
      </w:pPr>
      <w:bookmarkStart w:id="180" w:name="_Toc530554911"/>
      <w:r>
        <w:rPr>
          <w:rStyle w:val="CharSectno"/>
        </w:rPr>
        <w:t>51</w:t>
      </w:r>
      <w:r>
        <w:rPr>
          <w:snapToGrid w:val="0"/>
        </w:rPr>
        <w:t>.</w:t>
      </w:r>
      <w:r>
        <w:rPr>
          <w:snapToGrid w:val="0"/>
        </w:rPr>
        <w:tab/>
        <w:t>Relief where unanimous resolution or resolution without dissent required</w:t>
      </w:r>
      <w:bookmarkEnd w:id="180"/>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No. 58 of 1995 s. 49 and 93(1).]</w:t>
      </w:r>
    </w:p>
    <w:p>
      <w:pPr>
        <w:pStyle w:val="Heading5"/>
        <w:rPr>
          <w:snapToGrid w:val="0"/>
        </w:rPr>
      </w:pPr>
      <w:bookmarkStart w:id="181" w:name="_Toc530554912"/>
      <w:r>
        <w:rPr>
          <w:rStyle w:val="CharSectno"/>
        </w:rPr>
        <w:t>51A</w:t>
      </w:r>
      <w:r>
        <w:rPr>
          <w:snapToGrid w:val="0"/>
        </w:rPr>
        <w:t>.</w:t>
      </w:r>
      <w:r>
        <w:rPr>
          <w:snapToGrid w:val="0"/>
        </w:rPr>
        <w:tab/>
        <w:t>Relief where unanimous resolution required for two</w:t>
      </w:r>
      <w:r>
        <w:rPr>
          <w:snapToGrid w:val="0"/>
        </w:rPr>
        <w:noBreakHyphen/>
        <w:t>lot scheme</w:t>
      </w:r>
      <w:bookmarkEnd w:id="1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No. 58 of 1995 s. 50; amended: No. 61 of 1996 s. 22.]</w:t>
      </w:r>
    </w:p>
    <w:p>
      <w:pPr>
        <w:pStyle w:val="Heading5"/>
        <w:spacing w:before="180"/>
        <w:rPr>
          <w:snapToGrid w:val="0"/>
        </w:rPr>
      </w:pPr>
      <w:bookmarkStart w:id="182" w:name="_Toc530554913"/>
      <w:r>
        <w:rPr>
          <w:rStyle w:val="CharSectno"/>
        </w:rPr>
        <w:t>52</w:t>
      </w:r>
      <w:r>
        <w:rPr>
          <w:snapToGrid w:val="0"/>
        </w:rPr>
        <w:t>.</w:t>
      </w:r>
      <w:r>
        <w:rPr>
          <w:snapToGrid w:val="0"/>
        </w:rPr>
        <w:tab/>
        <w:t>Performance of functions by proprietors in general meeting</w:t>
      </w:r>
      <w:bookmarkEnd w:id="182"/>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183" w:name="_Toc525288542"/>
      <w:bookmarkStart w:id="184" w:name="_Toc530554578"/>
      <w:bookmarkStart w:id="185" w:name="_Toc530554914"/>
      <w:r>
        <w:rPr>
          <w:rStyle w:val="CharDivNo"/>
        </w:rPr>
        <w:t>Division 4</w:t>
      </w:r>
      <w:r>
        <w:rPr>
          <w:snapToGrid w:val="0"/>
        </w:rPr>
        <w:t> — </w:t>
      </w:r>
      <w:r>
        <w:rPr>
          <w:rStyle w:val="CharDivText"/>
        </w:rPr>
        <w:t>Insurance</w:t>
      </w:r>
      <w:bookmarkEnd w:id="183"/>
      <w:bookmarkEnd w:id="184"/>
      <w:bookmarkEnd w:id="185"/>
    </w:p>
    <w:p>
      <w:pPr>
        <w:pStyle w:val="Heading4"/>
        <w:spacing w:before="120"/>
      </w:pPr>
      <w:bookmarkStart w:id="186" w:name="_Toc525288543"/>
      <w:bookmarkStart w:id="187" w:name="_Toc530554579"/>
      <w:bookmarkStart w:id="188" w:name="_Toc530554915"/>
      <w:r>
        <w:t>Subdivision 1 — Preliminary</w:t>
      </w:r>
      <w:bookmarkEnd w:id="186"/>
      <w:bookmarkEnd w:id="187"/>
      <w:bookmarkEnd w:id="188"/>
    </w:p>
    <w:p>
      <w:pPr>
        <w:pStyle w:val="Footnoteheading"/>
        <w:spacing w:before="80"/>
      </w:pPr>
      <w:r>
        <w:tab/>
        <w:t>[Heading inserted: No. 61 of 1996 s. 23.]</w:t>
      </w:r>
    </w:p>
    <w:p>
      <w:pPr>
        <w:pStyle w:val="Heading5"/>
        <w:keepNext w:val="0"/>
        <w:keepLines w:val="0"/>
        <w:spacing w:before="180"/>
        <w:rPr>
          <w:snapToGrid w:val="0"/>
        </w:rPr>
      </w:pPr>
      <w:bookmarkStart w:id="189" w:name="_Toc530554916"/>
      <w:r>
        <w:rPr>
          <w:rStyle w:val="CharSectno"/>
        </w:rPr>
        <w:t>53</w:t>
      </w:r>
      <w:r>
        <w:rPr>
          <w:snapToGrid w:val="0"/>
        </w:rPr>
        <w:t>.</w:t>
      </w:r>
      <w:r>
        <w:rPr>
          <w:snapToGrid w:val="0"/>
        </w:rPr>
        <w:tab/>
        <w:t>Terms used</w:t>
      </w:r>
      <w:bookmarkEnd w:id="189"/>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pPr>
      <w:r>
        <w:tab/>
        <w:t>(i)</w:t>
      </w:r>
      <w:r>
        <w:tab/>
        <w:t>the rebuilding of the building or its replacement by a similar building in the event of its destruction; and</w:t>
      </w:r>
    </w:p>
    <w:p>
      <w:pPr>
        <w:pStyle w:val="Defsubpara"/>
      </w:pPr>
      <w:r>
        <w:tab/>
        <w:t>(ii)</w:t>
      </w:r>
      <w: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No. 58 of 1995 s. 51; No. 61 of 1996 s. 24.]</w:t>
      </w:r>
    </w:p>
    <w:p>
      <w:pPr>
        <w:pStyle w:val="Heading4"/>
      </w:pPr>
      <w:bookmarkStart w:id="190" w:name="_Toc525288545"/>
      <w:bookmarkStart w:id="191" w:name="_Toc530554581"/>
      <w:bookmarkStart w:id="192" w:name="_Toc530554917"/>
      <w:r>
        <w:t>Subdivision 2 — Insurance in single tier strata schemes</w:t>
      </w:r>
      <w:bookmarkEnd w:id="190"/>
      <w:bookmarkEnd w:id="191"/>
      <w:bookmarkEnd w:id="192"/>
    </w:p>
    <w:p>
      <w:pPr>
        <w:pStyle w:val="Footnoteheading"/>
        <w:spacing w:before="110"/>
      </w:pPr>
      <w:r>
        <w:tab/>
        <w:t>[Heading inserted: No. 61 of 1996 s. 25.]</w:t>
      </w:r>
    </w:p>
    <w:p>
      <w:pPr>
        <w:pStyle w:val="Heading5"/>
        <w:rPr>
          <w:snapToGrid w:val="0"/>
        </w:rPr>
      </w:pPr>
      <w:bookmarkStart w:id="193" w:name="_Toc530554918"/>
      <w:r>
        <w:rPr>
          <w:rStyle w:val="CharSectno"/>
        </w:rPr>
        <w:t>53A</w:t>
      </w:r>
      <w:r>
        <w:rPr>
          <w:snapToGrid w:val="0"/>
        </w:rPr>
        <w:t>.</w:t>
      </w:r>
      <w:r>
        <w:rPr>
          <w:snapToGrid w:val="0"/>
        </w:rPr>
        <w:tab/>
        <w:t>Application of this Subdivision</w:t>
      </w:r>
      <w:bookmarkEnd w:id="193"/>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No. 61 of 1996 s. 25.]</w:t>
      </w:r>
    </w:p>
    <w:p>
      <w:pPr>
        <w:pStyle w:val="Heading5"/>
        <w:rPr>
          <w:snapToGrid w:val="0"/>
        </w:rPr>
      </w:pPr>
      <w:bookmarkStart w:id="194" w:name="_Toc530554919"/>
      <w:r>
        <w:rPr>
          <w:rStyle w:val="CharSectno"/>
        </w:rPr>
        <w:t>53B</w:t>
      </w:r>
      <w:r>
        <w:rPr>
          <w:snapToGrid w:val="0"/>
        </w:rPr>
        <w:t>.</w:t>
      </w:r>
      <w:r>
        <w:rPr>
          <w:snapToGrid w:val="0"/>
        </w:rPr>
        <w:tab/>
        <w:t>Insurance for lots in single tier strata schemes</w:t>
      </w:r>
      <w:bookmarkEnd w:id="194"/>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No. 61 of 1996 s. 25.]</w:t>
      </w:r>
    </w:p>
    <w:p>
      <w:pPr>
        <w:pStyle w:val="Heading5"/>
        <w:rPr>
          <w:snapToGrid w:val="0"/>
        </w:rPr>
      </w:pPr>
      <w:bookmarkStart w:id="195" w:name="_Toc530554920"/>
      <w:r>
        <w:rPr>
          <w:rStyle w:val="CharSectno"/>
        </w:rPr>
        <w:t>53C</w:t>
      </w:r>
      <w:r>
        <w:rPr>
          <w:snapToGrid w:val="0"/>
        </w:rPr>
        <w:t>.</w:t>
      </w:r>
      <w:r>
        <w:rPr>
          <w:snapToGrid w:val="0"/>
        </w:rPr>
        <w:tab/>
        <w:t>Insurance for common property in single tier strata schemes</w:t>
      </w:r>
      <w:bookmarkEnd w:id="195"/>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No. 61 of 1996 s. 25.]</w:t>
      </w:r>
    </w:p>
    <w:p>
      <w:pPr>
        <w:pStyle w:val="Heading5"/>
        <w:keepNext w:val="0"/>
        <w:keepLines w:val="0"/>
        <w:rPr>
          <w:snapToGrid w:val="0"/>
        </w:rPr>
      </w:pPr>
      <w:bookmarkStart w:id="196" w:name="_Toc530554921"/>
      <w:r>
        <w:rPr>
          <w:rStyle w:val="CharSectno"/>
        </w:rPr>
        <w:t>53D</w:t>
      </w:r>
      <w:r>
        <w:rPr>
          <w:snapToGrid w:val="0"/>
        </w:rPr>
        <w:t>.</w:t>
      </w:r>
      <w:r>
        <w:rPr>
          <w:snapToGrid w:val="0"/>
        </w:rPr>
        <w:tab/>
        <w:t>Strata company’s obligations where it has an insurance function in single tier strata schemes</w:t>
      </w:r>
      <w:bookmarkEnd w:id="196"/>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No. 61 of 1996 s. 25.]</w:t>
      </w:r>
    </w:p>
    <w:p>
      <w:pPr>
        <w:pStyle w:val="Heading5"/>
        <w:rPr>
          <w:snapToGrid w:val="0"/>
        </w:rPr>
      </w:pPr>
      <w:bookmarkStart w:id="197" w:name="_Toc530554922"/>
      <w:r>
        <w:rPr>
          <w:rStyle w:val="CharSectno"/>
        </w:rPr>
        <w:t>53E</w:t>
      </w:r>
      <w:r>
        <w:rPr>
          <w:snapToGrid w:val="0"/>
        </w:rPr>
        <w:t>.</w:t>
      </w:r>
      <w:r>
        <w:rPr>
          <w:snapToGrid w:val="0"/>
        </w:rPr>
        <w:tab/>
        <w:t>Recovery of premium by strata company or proprietor where no administrative fund in single tier strata schemes</w:t>
      </w:r>
      <w:bookmarkEnd w:id="197"/>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No. 61 of 1996 s. 25.]</w:t>
      </w:r>
    </w:p>
    <w:p>
      <w:pPr>
        <w:pStyle w:val="Heading4"/>
      </w:pPr>
      <w:bookmarkStart w:id="198" w:name="_Toc525288551"/>
      <w:bookmarkStart w:id="199" w:name="_Toc530554587"/>
      <w:bookmarkStart w:id="200" w:name="_Toc530554923"/>
      <w:r>
        <w:t>Subdivision 3 — Insurance in schemes other than single tier strata schemes</w:t>
      </w:r>
      <w:bookmarkEnd w:id="198"/>
      <w:bookmarkEnd w:id="199"/>
      <w:bookmarkEnd w:id="200"/>
    </w:p>
    <w:p>
      <w:pPr>
        <w:pStyle w:val="Footnoteheading"/>
      </w:pPr>
      <w:r>
        <w:tab/>
        <w:t>[Heading inserted: No. 61 of 1996 s. 26.]</w:t>
      </w:r>
    </w:p>
    <w:p>
      <w:pPr>
        <w:pStyle w:val="Heading5"/>
        <w:rPr>
          <w:snapToGrid w:val="0"/>
        </w:rPr>
      </w:pPr>
      <w:bookmarkStart w:id="201" w:name="_Toc530554924"/>
      <w:r>
        <w:rPr>
          <w:rStyle w:val="CharSectno"/>
        </w:rPr>
        <w:t>54</w:t>
      </w:r>
      <w:r>
        <w:rPr>
          <w:snapToGrid w:val="0"/>
        </w:rPr>
        <w:t>.</w:t>
      </w:r>
      <w:r>
        <w:rPr>
          <w:snapToGrid w:val="0"/>
        </w:rPr>
        <w:tab/>
        <w:t>Insurance of buildings and strata companies</w:t>
      </w:r>
      <w:bookmarkEnd w:id="201"/>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No. 58 of 1995 s. 52 and 94; No. 61 of 1996 s. 27.]</w:t>
      </w:r>
    </w:p>
    <w:p>
      <w:pPr>
        <w:pStyle w:val="Heading4"/>
        <w:keepLines/>
      </w:pPr>
      <w:bookmarkStart w:id="202" w:name="_Toc525288553"/>
      <w:bookmarkStart w:id="203" w:name="_Toc530554589"/>
      <w:bookmarkStart w:id="204" w:name="_Toc530554925"/>
      <w:r>
        <w:t>Subdivision 4 — Insurance provisions applicable to all schemes</w:t>
      </w:r>
      <w:bookmarkEnd w:id="202"/>
      <w:bookmarkEnd w:id="203"/>
      <w:bookmarkEnd w:id="204"/>
    </w:p>
    <w:p>
      <w:pPr>
        <w:pStyle w:val="Footnoteheading"/>
      </w:pPr>
      <w:r>
        <w:tab/>
        <w:t>[Heading inserted: No. 61 of 1996 s. 28.]</w:t>
      </w:r>
    </w:p>
    <w:p>
      <w:pPr>
        <w:pStyle w:val="Heading5"/>
        <w:rPr>
          <w:snapToGrid w:val="0"/>
        </w:rPr>
      </w:pPr>
      <w:bookmarkStart w:id="205" w:name="_Toc530554926"/>
      <w:r>
        <w:rPr>
          <w:rStyle w:val="CharSectno"/>
        </w:rPr>
        <w:t>54A</w:t>
      </w:r>
      <w:r>
        <w:rPr>
          <w:snapToGrid w:val="0"/>
        </w:rPr>
        <w:t>.</w:t>
      </w:r>
      <w:r>
        <w:rPr>
          <w:snapToGrid w:val="0"/>
        </w:rPr>
        <w:tab/>
        <w:t>Where insurance cover refused, proprietor may be required to take action</w:t>
      </w:r>
      <w:bookmarkEnd w:id="205"/>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No. 58 of 1995 s. 53.]</w:t>
      </w:r>
    </w:p>
    <w:p>
      <w:pPr>
        <w:pStyle w:val="Heading5"/>
        <w:keepNext w:val="0"/>
        <w:rPr>
          <w:snapToGrid w:val="0"/>
        </w:rPr>
      </w:pPr>
      <w:bookmarkStart w:id="206" w:name="_Toc530554927"/>
      <w:r>
        <w:rPr>
          <w:rStyle w:val="CharSectno"/>
        </w:rPr>
        <w:t>55</w:t>
      </w:r>
      <w:r>
        <w:rPr>
          <w:snapToGrid w:val="0"/>
        </w:rPr>
        <w:t>.</w:t>
      </w:r>
      <w:r>
        <w:rPr>
          <w:snapToGrid w:val="0"/>
        </w:rPr>
        <w:tab/>
        <w:t>Further insurance by strata company and actions by proprietor against strata company</w:t>
      </w:r>
      <w:bookmarkEnd w:id="206"/>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207" w:name="_Toc530554928"/>
      <w:r>
        <w:rPr>
          <w:rStyle w:val="CharSectno"/>
        </w:rPr>
        <w:t>55A</w:t>
      </w:r>
      <w:r>
        <w:rPr>
          <w:snapToGrid w:val="0"/>
        </w:rPr>
        <w:t>.</w:t>
      </w:r>
      <w:r>
        <w:rPr>
          <w:snapToGrid w:val="0"/>
        </w:rPr>
        <w:tab/>
        <w:t>Proprietor liable for increased insurance premium in certain cases</w:t>
      </w:r>
      <w:bookmarkEnd w:id="207"/>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No. 58 of 1995 s. 55.]</w:t>
      </w:r>
    </w:p>
    <w:p>
      <w:pPr>
        <w:pStyle w:val="Heading5"/>
        <w:rPr>
          <w:snapToGrid w:val="0"/>
        </w:rPr>
      </w:pPr>
      <w:bookmarkStart w:id="208" w:name="_Toc530554929"/>
      <w:r>
        <w:rPr>
          <w:rStyle w:val="CharSectno"/>
        </w:rPr>
        <w:t>56</w:t>
      </w:r>
      <w:r>
        <w:rPr>
          <w:snapToGrid w:val="0"/>
        </w:rPr>
        <w:t>.</w:t>
      </w:r>
      <w:r>
        <w:rPr>
          <w:snapToGrid w:val="0"/>
        </w:rPr>
        <w:tab/>
        <w:t>Insurance by proprietor</w:t>
      </w:r>
      <w:bookmarkEnd w:id="208"/>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209" w:name="_Toc530554930"/>
      <w:r>
        <w:rPr>
          <w:rStyle w:val="CharSectno"/>
        </w:rPr>
        <w:t>56A</w:t>
      </w:r>
      <w:r>
        <w:rPr>
          <w:snapToGrid w:val="0"/>
        </w:rPr>
        <w:t>.</w:t>
      </w:r>
      <w:r>
        <w:rPr>
          <w:snapToGrid w:val="0"/>
        </w:rPr>
        <w:tab/>
        <w:t>Proprietor may insure if strata company in default</w:t>
      </w:r>
      <w:bookmarkEnd w:id="209"/>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No. 58 of 1995 s. 56.]</w:t>
      </w:r>
    </w:p>
    <w:p>
      <w:pPr>
        <w:pStyle w:val="Heading5"/>
        <w:rPr>
          <w:snapToGrid w:val="0"/>
        </w:rPr>
      </w:pPr>
      <w:bookmarkStart w:id="210" w:name="_Toc530554931"/>
      <w:r>
        <w:rPr>
          <w:rStyle w:val="CharSectno"/>
        </w:rPr>
        <w:t>57</w:t>
      </w:r>
      <w:r>
        <w:rPr>
          <w:snapToGrid w:val="0"/>
        </w:rPr>
        <w:t>.</w:t>
      </w:r>
      <w:r>
        <w:rPr>
          <w:snapToGrid w:val="0"/>
        </w:rPr>
        <w:tab/>
        <w:t>Insurance of mortgaged lot</w:t>
      </w:r>
      <w:bookmarkEnd w:id="210"/>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211" w:name="_Toc530554932"/>
      <w:r>
        <w:rPr>
          <w:rStyle w:val="CharSectno"/>
        </w:rPr>
        <w:t>58</w:t>
      </w:r>
      <w:r>
        <w:rPr>
          <w:snapToGrid w:val="0"/>
        </w:rPr>
        <w:t>.</w:t>
      </w:r>
      <w:r>
        <w:rPr>
          <w:snapToGrid w:val="0"/>
        </w:rPr>
        <w:tab/>
        <w:t>Insurable interest</w:t>
      </w:r>
      <w:bookmarkEnd w:id="211"/>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212" w:name="_Toc530554933"/>
      <w:r>
        <w:rPr>
          <w:rStyle w:val="CharSectno"/>
        </w:rPr>
        <w:t>59</w:t>
      </w:r>
      <w:r>
        <w:rPr>
          <w:snapToGrid w:val="0"/>
        </w:rPr>
        <w:t>.</w:t>
      </w:r>
      <w:r>
        <w:rPr>
          <w:snapToGrid w:val="0"/>
        </w:rPr>
        <w:tab/>
        <w:t>Application of insurance moneys to rebuilding</w:t>
      </w:r>
      <w:bookmarkEnd w:id="212"/>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213" w:name="_Toc525288562"/>
      <w:bookmarkStart w:id="214" w:name="_Toc530554598"/>
      <w:bookmarkStart w:id="215" w:name="_Toc530554934"/>
      <w:r>
        <w:rPr>
          <w:rStyle w:val="CharDivNo"/>
        </w:rPr>
        <w:t>Division 5</w:t>
      </w:r>
      <w:r>
        <w:rPr>
          <w:snapToGrid w:val="0"/>
        </w:rPr>
        <w:t> — </w:t>
      </w:r>
      <w:r>
        <w:rPr>
          <w:rStyle w:val="CharDivText"/>
        </w:rPr>
        <w:t>Rates, taxes and charges</w:t>
      </w:r>
      <w:bookmarkEnd w:id="213"/>
      <w:bookmarkEnd w:id="214"/>
      <w:bookmarkEnd w:id="215"/>
    </w:p>
    <w:p>
      <w:pPr>
        <w:pStyle w:val="Heading5"/>
        <w:rPr>
          <w:snapToGrid w:val="0"/>
        </w:rPr>
      </w:pPr>
      <w:bookmarkStart w:id="216" w:name="_Toc530554935"/>
      <w:r>
        <w:rPr>
          <w:rStyle w:val="CharSectno"/>
        </w:rPr>
        <w:t>60</w:t>
      </w:r>
      <w:r>
        <w:rPr>
          <w:snapToGrid w:val="0"/>
        </w:rPr>
        <w:t>.</w:t>
      </w:r>
      <w:r>
        <w:rPr>
          <w:snapToGrid w:val="0"/>
        </w:rPr>
        <w:tab/>
        <w:t>Delivery of plans to authorities</w:t>
      </w:r>
      <w:bookmarkEnd w:id="216"/>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No. 58 of 1995 s. 57(1)</w:t>
      </w:r>
      <w:r>
        <w:rPr>
          <w:vertAlign w:val="superscript"/>
        </w:rPr>
        <w:t xml:space="preserve"> </w:t>
      </w:r>
      <w:r>
        <w:rPr>
          <w:i w:val="0"/>
          <w:vertAlign w:val="superscript"/>
        </w:rPr>
        <w:t>7</w:t>
      </w:r>
      <w:r>
        <w:t>; amended: No. 14 of 1996 s. 4; No. 25 of 2012 s. 232(2).]</w:t>
      </w:r>
    </w:p>
    <w:p>
      <w:pPr>
        <w:pStyle w:val="Heading5"/>
        <w:rPr>
          <w:snapToGrid w:val="0"/>
        </w:rPr>
      </w:pPr>
      <w:bookmarkStart w:id="217" w:name="_Toc530554936"/>
      <w:r>
        <w:rPr>
          <w:rStyle w:val="CharSectno"/>
        </w:rPr>
        <w:t>61</w:t>
      </w:r>
      <w:r>
        <w:rPr>
          <w:snapToGrid w:val="0"/>
        </w:rPr>
        <w:t>.</w:t>
      </w:r>
      <w:r>
        <w:rPr>
          <w:snapToGrid w:val="0"/>
        </w:rPr>
        <w:tab/>
        <w:t>Particulars on plan to be conclusive for rating and taxing purposes</w:t>
      </w:r>
      <w:bookmarkEnd w:id="217"/>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No. 58 of 1995 s. 58; No. 14 of 1996 s. 4.]</w:t>
      </w:r>
    </w:p>
    <w:p>
      <w:pPr>
        <w:pStyle w:val="Heading5"/>
        <w:rPr>
          <w:snapToGrid w:val="0"/>
        </w:rPr>
      </w:pPr>
      <w:bookmarkStart w:id="218" w:name="_Toc530554937"/>
      <w:r>
        <w:rPr>
          <w:rStyle w:val="CharSectno"/>
        </w:rPr>
        <w:t>62</w:t>
      </w:r>
      <w:r>
        <w:rPr>
          <w:snapToGrid w:val="0"/>
        </w:rPr>
        <w:t>.</w:t>
      </w:r>
      <w:r>
        <w:rPr>
          <w:snapToGrid w:val="0"/>
        </w:rPr>
        <w:tab/>
        <w:t>Rating on unimproved value</w:t>
      </w:r>
      <w:bookmarkEnd w:id="218"/>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No. 58 of 1995 s. 59 and 95; No. 14 of 1996 s. 4; No. 55 of 2004 s. 1123.]</w:t>
      </w:r>
    </w:p>
    <w:p>
      <w:pPr>
        <w:pStyle w:val="Heading5"/>
        <w:rPr>
          <w:snapToGrid w:val="0"/>
        </w:rPr>
      </w:pPr>
      <w:bookmarkStart w:id="219" w:name="_Toc530554938"/>
      <w:r>
        <w:rPr>
          <w:rStyle w:val="CharSectno"/>
        </w:rPr>
        <w:t>62A</w:t>
      </w:r>
      <w:r>
        <w:rPr>
          <w:snapToGrid w:val="0"/>
        </w:rPr>
        <w:t>.</w:t>
      </w:r>
      <w:r>
        <w:rPr>
          <w:snapToGrid w:val="0"/>
        </w:rPr>
        <w:tab/>
        <w:t>Rating for survey</w:t>
      </w:r>
      <w:r>
        <w:rPr>
          <w:snapToGrid w:val="0"/>
        </w:rPr>
        <w:noBreakHyphen/>
        <w:t>strata schemes</w:t>
      </w:r>
      <w:bookmarkEnd w:id="219"/>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No. 58 of 1995 s. 60; amended: No. 57 of 1997 s. 115(4).]</w:t>
      </w:r>
    </w:p>
    <w:p>
      <w:pPr>
        <w:pStyle w:val="Heading5"/>
        <w:rPr>
          <w:snapToGrid w:val="0"/>
        </w:rPr>
      </w:pPr>
      <w:bookmarkStart w:id="220" w:name="_Toc530554939"/>
      <w:r>
        <w:rPr>
          <w:rStyle w:val="CharSectno"/>
        </w:rPr>
        <w:t>63</w:t>
      </w:r>
      <w:r>
        <w:rPr>
          <w:snapToGrid w:val="0"/>
        </w:rPr>
        <w:t>.</w:t>
      </w:r>
      <w:r>
        <w:rPr>
          <w:snapToGrid w:val="0"/>
        </w:rPr>
        <w:tab/>
        <w:t>Rating on gross rental value</w:t>
      </w:r>
      <w:bookmarkEnd w:id="220"/>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No. 14 of 1996 s. 4.]</w:t>
      </w:r>
    </w:p>
    <w:p>
      <w:pPr>
        <w:pStyle w:val="Heading5"/>
        <w:rPr>
          <w:snapToGrid w:val="0"/>
        </w:rPr>
      </w:pPr>
      <w:bookmarkStart w:id="221" w:name="_Toc530554940"/>
      <w:r>
        <w:rPr>
          <w:rStyle w:val="CharSectno"/>
        </w:rPr>
        <w:t>64</w:t>
      </w:r>
      <w:r>
        <w:rPr>
          <w:snapToGrid w:val="0"/>
        </w:rPr>
        <w:t>.</w:t>
      </w:r>
      <w:r>
        <w:rPr>
          <w:snapToGrid w:val="0"/>
        </w:rPr>
        <w:tab/>
        <w:t>Proprietor may seek a review of unimproved value of parcel</w:t>
      </w:r>
      <w:bookmarkEnd w:id="221"/>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No. 55 of 2004 s. 1124.]</w:t>
      </w:r>
    </w:p>
    <w:p>
      <w:pPr>
        <w:pStyle w:val="Heading5"/>
        <w:rPr>
          <w:snapToGrid w:val="0"/>
        </w:rPr>
      </w:pPr>
      <w:bookmarkStart w:id="222" w:name="_Toc530554941"/>
      <w:r>
        <w:rPr>
          <w:rStyle w:val="CharSectno"/>
        </w:rPr>
        <w:t>65</w:t>
      </w:r>
      <w:r>
        <w:rPr>
          <w:snapToGrid w:val="0"/>
        </w:rPr>
        <w:t>.</w:t>
      </w:r>
      <w:r>
        <w:rPr>
          <w:snapToGrid w:val="0"/>
        </w:rPr>
        <w:tab/>
        <w:t>Land tax and metropolitan region improvement tax</w:t>
      </w:r>
      <w:bookmarkEnd w:id="222"/>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No. 58 of 1995 s. 61; No. 45 of 2002 s. 23(2) and (3); No. 38 of 2005 s. 15.]</w:t>
      </w:r>
    </w:p>
    <w:p>
      <w:pPr>
        <w:pStyle w:val="Heading5"/>
        <w:rPr>
          <w:snapToGrid w:val="0"/>
        </w:rPr>
      </w:pPr>
      <w:bookmarkStart w:id="223" w:name="_Toc530554942"/>
      <w:r>
        <w:rPr>
          <w:rStyle w:val="CharSectno"/>
        </w:rPr>
        <w:t>65A</w:t>
      </w:r>
      <w:r>
        <w:rPr>
          <w:snapToGrid w:val="0"/>
        </w:rPr>
        <w:t>.</w:t>
      </w:r>
      <w:r>
        <w:rPr>
          <w:snapToGrid w:val="0"/>
        </w:rPr>
        <w:tab/>
        <w:t>Land tax etc. for survey</w:t>
      </w:r>
      <w:r>
        <w:rPr>
          <w:snapToGrid w:val="0"/>
        </w:rPr>
        <w:noBreakHyphen/>
        <w:t>strata schemes</w:t>
      </w:r>
      <w:bookmarkEnd w:id="223"/>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No. 58 of 1995 s. 62; amended: No. 45 of 2002 s. 23(4); No. 38 of 2005 s. 15.]</w:t>
      </w:r>
    </w:p>
    <w:p>
      <w:pPr>
        <w:pStyle w:val="Heading5"/>
        <w:keepLines w:val="0"/>
        <w:rPr>
          <w:snapToGrid w:val="0"/>
        </w:rPr>
      </w:pPr>
      <w:bookmarkStart w:id="224" w:name="_Toc530554943"/>
      <w:r>
        <w:rPr>
          <w:rStyle w:val="CharSectno"/>
        </w:rPr>
        <w:t>66</w:t>
      </w:r>
      <w:r>
        <w:rPr>
          <w:snapToGrid w:val="0"/>
        </w:rPr>
        <w:t>.</w:t>
      </w:r>
      <w:r>
        <w:rPr>
          <w:snapToGrid w:val="0"/>
        </w:rPr>
        <w:tab/>
        <w:t>Charges for water supplied</w:t>
      </w:r>
      <w:bookmarkEnd w:id="224"/>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No. 24 of 1987 s. 166; No. 58 of 1995 s. 96; No. 25 of 2012 s. 232(3).]</w:t>
      </w:r>
    </w:p>
    <w:p>
      <w:pPr>
        <w:pStyle w:val="Heading5"/>
      </w:pPr>
      <w:bookmarkStart w:id="225" w:name="_Toc530554944"/>
      <w:r>
        <w:rPr>
          <w:rStyle w:val="CharSectno"/>
        </w:rPr>
        <w:t>67</w:t>
      </w:r>
      <w:r>
        <w:t>.</w:t>
      </w:r>
      <w:r>
        <w:tab/>
        <w:t xml:space="preserve">Water service charges under the </w:t>
      </w:r>
      <w:r>
        <w:rPr>
          <w:i/>
          <w:iCs/>
        </w:rPr>
        <w:t>Water Services Act 2012</w:t>
      </w:r>
      <w:bookmarkEnd w:id="225"/>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No. 25 of 2012 s. 232(4).]</w:t>
      </w:r>
    </w:p>
    <w:p>
      <w:pPr>
        <w:pStyle w:val="Heading2"/>
      </w:pPr>
      <w:bookmarkStart w:id="226" w:name="_Toc525288573"/>
      <w:bookmarkStart w:id="227" w:name="_Toc530554609"/>
      <w:bookmarkStart w:id="228" w:name="_Toc530554945"/>
      <w:r>
        <w:rPr>
          <w:rStyle w:val="CharPartNo"/>
        </w:rPr>
        <w:t>Part V</w:t>
      </w:r>
      <w:r>
        <w:rPr>
          <w:rStyle w:val="CharDivNo"/>
        </w:rPr>
        <w:t> </w:t>
      </w:r>
      <w:r>
        <w:t>—</w:t>
      </w:r>
      <w:r>
        <w:rPr>
          <w:rStyle w:val="CharDivText"/>
        </w:rPr>
        <w:t> </w:t>
      </w:r>
      <w:r>
        <w:rPr>
          <w:rStyle w:val="CharPartText"/>
        </w:rPr>
        <w:t>Protection of purchasers</w:t>
      </w:r>
      <w:bookmarkEnd w:id="226"/>
      <w:bookmarkEnd w:id="227"/>
      <w:bookmarkEnd w:id="228"/>
    </w:p>
    <w:p>
      <w:pPr>
        <w:pStyle w:val="Heading5"/>
        <w:rPr>
          <w:snapToGrid w:val="0"/>
        </w:rPr>
      </w:pPr>
      <w:bookmarkStart w:id="229" w:name="_Toc530554946"/>
      <w:r>
        <w:rPr>
          <w:rStyle w:val="CharSectno"/>
        </w:rPr>
        <w:t>68</w:t>
      </w:r>
      <w:r>
        <w:rPr>
          <w:snapToGrid w:val="0"/>
        </w:rPr>
        <w:t>.</w:t>
      </w:r>
      <w:r>
        <w:rPr>
          <w:snapToGrid w:val="0"/>
        </w:rPr>
        <w:tab/>
        <w:t>Terms used</w:t>
      </w:r>
      <w:bookmarkEnd w:id="22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No. 58 of 1995 s. 63 </w:t>
      </w:r>
      <w:r>
        <w:rPr>
          <w:i w:val="0"/>
          <w:vertAlign w:val="superscript"/>
        </w:rPr>
        <w:t>8</w:t>
      </w:r>
      <w:r>
        <w:t>.]</w:t>
      </w:r>
    </w:p>
    <w:p>
      <w:pPr>
        <w:pStyle w:val="Heading5"/>
        <w:rPr>
          <w:snapToGrid w:val="0"/>
        </w:rPr>
      </w:pPr>
      <w:bookmarkStart w:id="230" w:name="_Toc530554947"/>
      <w:r>
        <w:rPr>
          <w:rStyle w:val="CharSectno"/>
        </w:rPr>
        <w:t>69</w:t>
      </w:r>
      <w:r>
        <w:rPr>
          <w:snapToGrid w:val="0"/>
        </w:rPr>
        <w:t>.</w:t>
      </w:r>
      <w:r>
        <w:rPr>
          <w:snapToGrid w:val="0"/>
        </w:rPr>
        <w:tab/>
        <w:t>Information to be given to purchaser</w:t>
      </w:r>
      <w:bookmarkEnd w:id="23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No. 58 of 1995 s. 63 </w:t>
      </w:r>
      <w:r>
        <w:rPr>
          <w:i w:val="0"/>
          <w:vertAlign w:val="superscript"/>
        </w:rPr>
        <w:t>8</w:t>
      </w:r>
      <w:r>
        <w:t>.]</w:t>
      </w:r>
    </w:p>
    <w:p>
      <w:pPr>
        <w:pStyle w:val="Heading5"/>
        <w:rPr>
          <w:snapToGrid w:val="0"/>
        </w:rPr>
      </w:pPr>
      <w:bookmarkStart w:id="231" w:name="_Toc530554948"/>
      <w:r>
        <w:rPr>
          <w:rStyle w:val="CharSectno"/>
        </w:rPr>
        <w:t>69A</w:t>
      </w:r>
      <w:r>
        <w:rPr>
          <w:snapToGrid w:val="0"/>
        </w:rPr>
        <w:t>.</w:t>
      </w:r>
      <w:r>
        <w:rPr>
          <w:snapToGrid w:val="0"/>
        </w:rPr>
        <w:tab/>
        <w:t>Notifiable information, to be given by every vendor</w:t>
      </w:r>
      <w:bookmarkEnd w:id="231"/>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No. 58 of 1995 s. 63.]</w:t>
      </w:r>
    </w:p>
    <w:p>
      <w:pPr>
        <w:pStyle w:val="Heading5"/>
        <w:rPr>
          <w:snapToGrid w:val="0"/>
        </w:rPr>
      </w:pPr>
      <w:bookmarkStart w:id="232" w:name="_Toc530554949"/>
      <w:r>
        <w:rPr>
          <w:rStyle w:val="CharSectno"/>
        </w:rPr>
        <w:t>69B</w:t>
      </w:r>
      <w:r>
        <w:rPr>
          <w:snapToGrid w:val="0"/>
        </w:rPr>
        <w:t>.</w:t>
      </w:r>
      <w:r>
        <w:rPr>
          <w:snapToGrid w:val="0"/>
        </w:rPr>
        <w:tab/>
        <w:t>Notifiable information to be given by original proprietor in certain cases</w:t>
      </w:r>
      <w:bookmarkEnd w:id="232"/>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No. 58 of 1995 s. 63.]</w:t>
      </w:r>
    </w:p>
    <w:p>
      <w:pPr>
        <w:pStyle w:val="Heading5"/>
        <w:rPr>
          <w:snapToGrid w:val="0"/>
        </w:rPr>
      </w:pPr>
      <w:bookmarkStart w:id="233" w:name="_Toc530554950"/>
      <w:r>
        <w:rPr>
          <w:rStyle w:val="CharSectno"/>
        </w:rPr>
        <w:t>69C</w:t>
      </w:r>
      <w:r>
        <w:rPr>
          <w:snapToGrid w:val="0"/>
        </w:rPr>
        <w:t>.</w:t>
      </w:r>
      <w:r>
        <w:rPr>
          <w:snapToGrid w:val="0"/>
        </w:rPr>
        <w:tab/>
        <w:t>Vendor to inform purchaser of full particulars of notifiable variation</w:t>
      </w:r>
      <w:bookmarkEnd w:id="233"/>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No. 58 of 1995 s. 63.]</w:t>
      </w:r>
    </w:p>
    <w:p>
      <w:pPr>
        <w:pStyle w:val="Heading5"/>
        <w:rPr>
          <w:snapToGrid w:val="0"/>
        </w:rPr>
      </w:pPr>
      <w:bookmarkStart w:id="234" w:name="_Toc530554951"/>
      <w:r>
        <w:rPr>
          <w:rStyle w:val="CharSectno"/>
        </w:rPr>
        <w:t>69D</w:t>
      </w:r>
      <w:r>
        <w:rPr>
          <w:snapToGrid w:val="0"/>
        </w:rPr>
        <w:t>.</w:t>
      </w:r>
      <w:r>
        <w:rPr>
          <w:snapToGrid w:val="0"/>
        </w:rPr>
        <w:tab/>
        <w:t>When purchaser may avoid contract</w:t>
      </w:r>
      <w:bookmarkEnd w:id="234"/>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No. 58 of 1995 s. 63.]</w:t>
      </w:r>
    </w:p>
    <w:p>
      <w:pPr>
        <w:pStyle w:val="Heading5"/>
        <w:rPr>
          <w:snapToGrid w:val="0"/>
        </w:rPr>
      </w:pPr>
      <w:bookmarkStart w:id="235" w:name="_Toc530554952"/>
      <w:r>
        <w:rPr>
          <w:rStyle w:val="CharSectno"/>
        </w:rPr>
        <w:t>69E</w:t>
      </w:r>
      <w:r>
        <w:rPr>
          <w:snapToGrid w:val="0"/>
        </w:rPr>
        <w:t>.</w:t>
      </w:r>
      <w:r>
        <w:rPr>
          <w:snapToGrid w:val="0"/>
        </w:rPr>
        <w:tab/>
        <w:t>Effect of avoidance</w:t>
      </w:r>
      <w:bookmarkEnd w:id="235"/>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No. 58 of 1995 s. 63.]</w:t>
      </w:r>
    </w:p>
    <w:p>
      <w:pPr>
        <w:pStyle w:val="Heading5"/>
        <w:rPr>
          <w:snapToGrid w:val="0"/>
        </w:rPr>
      </w:pPr>
      <w:bookmarkStart w:id="236" w:name="_Toc530554953"/>
      <w:r>
        <w:rPr>
          <w:rStyle w:val="CharSectno"/>
        </w:rPr>
        <w:t>70</w:t>
      </w:r>
      <w:r>
        <w:rPr>
          <w:snapToGrid w:val="0"/>
        </w:rPr>
        <w:t>.</w:t>
      </w:r>
      <w:r>
        <w:rPr>
          <w:snapToGrid w:val="0"/>
        </w:rPr>
        <w:tab/>
        <w:t>Holding of deposit and other contract moneys when a lot is pre</w:t>
      </w:r>
      <w:r>
        <w:rPr>
          <w:snapToGrid w:val="0"/>
        </w:rPr>
        <w:noBreakHyphen/>
        <w:t>sold</w:t>
      </w:r>
      <w:bookmarkEnd w:id="236"/>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No. 42 of 1986 s. 4; No. 58 of 1995 s. 64, 95 and 96; No. 61 of 1996 s. 31.]</w:t>
      </w:r>
    </w:p>
    <w:p>
      <w:pPr>
        <w:pStyle w:val="Heading5"/>
        <w:rPr>
          <w:snapToGrid w:val="0"/>
        </w:rPr>
      </w:pPr>
      <w:bookmarkStart w:id="237" w:name="_Toc530554954"/>
      <w:r>
        <w:rPr>
          <w:rStyle w:val="CharSectno"/>
        </w:rPr>
        <w:t>70A</w:t>
      </w:r>
      <w:r>
        <w:rPr>
          <w:snapToGrid w:val="0"/>
        </w:rPr>
        <w:t>.</w:t>
      </w:r>
      <w:r>
        <w:rPr>
          <w:snapToGrid w:val="0"/>
        </w:rPr>
        <w:tab/>
        <w:t>Contracting out prohibited</w:t>
      </w:r>
      <w:bookmarkEnd w:id="237"/>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No. 58 of 1995 s. 65.]</w:t>
      </w:r>
    </w:p>
    <w:p>
      <w:pPr>
        <w:pStyle w:val="Heading5"/>
        <w:rPr>
          <w:snapToGrid w:val="0"/>
        </w:rPr>
      </w:pPr>
      <w:bookmarkStart w:id="238" w:name="_Toc530554955"/>
      <w:r>
        <w:rPr>
          <w:rStyle w:val="CharSectno"/>
        </w:rPr>
        <w:t>70B</w:t>
      </w:r>
      <w:r>
        <w:rPr>
          <w:snapToGrid w:val="0"/>
        </w:rPr>
        <w:t>.</w:t>
      </w:r>
      <w:r>
        <w:rPr>
          <w:snapToGrid w:val="0"/>
        </w:rPr>
        <w:tab/>
        <w:t>Saving</w:t>
      </w:r>
      <w:bookmarkEnd w:id="238"/>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No. 58 of 1995 s. 65.]</w:t>
      </w:r>
    </w:p>
    <w:p>
      <w:pPr>
        <w:pStyle w:val="Heading2"/>
      </w:pPr>
      <w:bookmarkStart w:id="239" w:name="_Toc525288584"/>
      <w:bookmarkStart w:id="240" w:name="_Toc530554620"/>
      <w:bookmarkStart w:id="241" w:name="_Toc530554956"/>
      <w:r>
        <w:rPr>
          <w:rStyle w:val="CharPartNo"/>
        </w:rPr>
        <w:t>Part VI</w:t>
      </w:r>
      <w:r>
        <w:t> — </w:t>
      </w:r>
      <w:r>
        <w:rPr>
          <w:rStyle w:val="CharPartText"/>
        </w:rPr>
        <w:t>Resolution of disputes</w:t>
      </w:r>
      <w:bookmarkEnd w:id="239"/>
      <w:bookmarkEnd w:id="240"/>
      <w:bookmarkEnd w:id="241"/>
    </w:p>
    <w:p>
      <w:pPr>
        <w:pStyle w:val="Ednotedivision"/>
      </w:pPr>
      <w:r>
        <w:t>[Division 1 (s. 71</w:t>
      </w:r>
      <w:r>
        <w:noBreakHyphen/>
        <w:t>76) deleted: No. 55 of 2004 s. 1125.]</w:t>
      </w:r>
    </w:p>
    <w:p>
      <w:pPr>
        <w:pStyle w:val="Heading3"/>
      </w:pPr>
      <w:bookmarkStart w:id="242" w:name="_Toc525288585"/>
      <w:bookmarkStart w:id="243" w:name="_Toc530554621"/>
      <w:bookmarkStart w:id="244" w:name="_Toc530554957"/>
      <w:r>
        <w:rPr>
          <w:rStyle w:val="CharDivNo"/>
        </w:rPr>
        <w:t>Division 2</w:t>
      </w:r>
      <w:r>
        <w:rPr>
          <w:snapToGrid w:val="0"/>
        </w:rPr>
        <w:t> — </w:t>
      </w:r>
      <w:r>
        <w:rPr>
          <w:rStyle w:val="CharDivText"/>
        </w:rPr>
        <w:t>Applications for orders</w:t>
      </w:r>
      <w:bookmarkEnd w:id="242"/>
      <w:bookmarkEnd w:id="243"/>
      <w:bookmarkEnd w:id="244"/>
    </w:p>
    <w:p>
      <w:pPr>
        <w:pStyle w:val="Heading5"/>
        <w:rPr>
          <w:snapToGrid w:val="0"/>
        </w:rPr>
      </w:pPr>
      <w:bookmarkStart w:id="245" w:name="_Toc530554958"/>
      <w:r>
        <w:rPr>
          <w:rStyle w:val="CharSectno"/>
        </w:rPr>
        <w:t>77</w:t>
      </w:r>
      <w:r>
        <w:rPr>
          <w:snapToGrid w:val="0"/>
        </w:rPr>
        <w:t>.</w:t>
      </w:r>
      <w:r>
        <w:rPr>
          <w:snapToGrid w:val="0"/>
        </w:rPr>
        <w:tab/>
        <w:t>How applications are made</w:t>
      </w:r>
      <w:bookmarkEnd w:id="245"/>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No. 58 of 1995 s. 67; amended: No. 55 of 2004 s. 1126 and 1156(1).]</w:t>
      </w:r>
    </w:p>
    <w:p>
      <w:pPr>
        <w:pStyle w:val="Ednotesection"/>
      </w:pPr>
      <w:r>
        <w:t>[</w:t>
      </w:r>
      <w:r>
        <w:rPr>
          <w:b/>
          <w:bCs/>
        </w:rPr>
        <w:t>77A.</w:t>
      </w:r>
      <w:r>
        <w:rPr>
          <w:b/>
          <w:bCs/>
        </w:rPr>
        <w:tab/>
      </w:r>
      <w:r>
        <w:t>Deleted: No. 55 of 2004 s. 1127.]</w:t>
      </w:r>
    </w:p>
    <w:p>
      <w:pPr>
        <w:pStyle w:val="Heading5"/>
        <w:rPr>
          <w:snapToGrid w:val="0"/>
        </w:rPr>
      </w:pPr>
      <w:bookmarkStart w:id="246" w:name="_Toc530554959"/>
      <w:r>
        <w:rPr>
          <w:rStyle w:val="CharSectno"/>
        </w:rPr>
        <w:t>77B</w:t>
      </w:r>
      <w:r>
        <w:rPr>
          <w:snapToGrid w:val="0"/>
        </w:rPr>
        <w:t>.</w:t>
      </w:r>
      <w:r>
        <w:rPr>
          <w:snapToGrid w:val="0"/>
        </w:rPr>
        <w:tab/>
        <w:t>Disputes procedures for scheme to be followed</w:t>
      </w:r>
      <w:bookmarkEnd w:id="246"/>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No. 58 of 1995 s. 68.]</w:t>
      </w:r>
    </w:p>
    <w:p>
      <w:pPr>
        <w:pStyle w:val="Heading5"/>
        <w:keepNext w:val="0"/>
        <w:keepLines w:val="0"/>
        <w:rPr>
          <w:snapToGrid w:val="0"/>
        </w:rPr>
      </w:pPr>
      <w:bookmarkStart w:id="247" w:name="_Toc530554960"/>
      <w:r>
        <w:rPr>
          <w:rStyle w:val="CharSectno"/>
        </w:rPr>
        <w:t>78</w:t>
      </w:r>
      <w:r>
        <w:rPr>
          <w:snapToGrid w:val="0"/>
        </w:rPr>
        <w:t>.</w:t>
      </w:r>
      <w:r>
        <w:rPr>
          <w:snapToGrid w:val="0"/>
        </w:rPr>
        <w:tab/>
        <w:t>SAT may inspect certain records</w:t>
      </w:r>
      <w:bookmarkEnd w:id="247"/>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No. 58 of 1995 s. 69 and 96; No. 55 of 2004 s. 1156(1).]</w:t>
      </w:r>
    </w:p>
    <w:p>
      <w:pPr>
        <w:pStyle w:val="Heading5"/>
        <w:keepNext w:val="0"/>
        <w:keepLines w:val="0"/>
        <w:rPr>
          <w:snapToGrid w:val="0"/>
        </w:rPr>
      </w:pPr>
      <w:bookmarkStart w:id="248" w:name="_Toc530554961"/>
      <w:r>
        <w:rPr>
          <w:rStyle w:val="CharSectno"/>
        </w:rPr>
        <w:t>79</w:t>
      </w:r>
      <w:r>
        <w:rPr>
          <w:snapToGrid w:val="0"/>
        </w:rPr>
        <w:t>.</w:t>
      </w:r>
      <w:r>
        <w:rPr>
          <w:snapToGrid w:val="0"/>
        </w:rPr>
        <w:tab/>
        <w:t>Notice of application to be given</w:t>
      </w:r>
      <w:bookmarkEnd w:id="248"/>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No. 58 of 1995 s. 70; amended: No. 55 of 2004 s. 1128.]</w:t>
      </w:r>
    </w:p>
    <w:p>
      <w:pPr>
        <w:pStyle w:val="Ednotedivision"/>
      </w:pPr>
      <w:r>
        <w:t>[Division 2A (s. 80</w:t>
      </w:r>
      <w:r>
        <w:noBreakHyphen/>
        <w:t>80E) deleted: No. 55 of 2004 s. 1129.]</w:t>
      </w:r>
    </w:p>
    <w:p>
      <w:pPr>
        <w:pStyle w:val="Heading3"/>
        <w:rPr>
          <w:b w:val="0"/>
        </w:rPr>
      </w:pPr>
      <w:bookmarkStart w:id="249" w:name="_Toc525288590"/>
      <w:bookmarkStart w:id="250" w:name="_Toc530554626"/>
      <w:bookmarkStart w:id="251" w:name="_Toc530554962"/>
      <w:r>
        <w:rPr>
          <w:rStyle w:val="CharDivNo"/>
        </w:rPr>
        <w:t>Division 3</w:t>
      </w:r>
      <w:r>
        <w:rPr>
          <w:snapToGrid w:val="0"/>
        </w:rPr>
        <w:t> — </w:t>
      </w:r>
      <w:r>
        <w:rPr>
          <w:rStyle w:val="CharDivText"/>
        </w:rPr>
        <w:t>Orders by State Administrative Tribunal</w:t>
      </w:r>
      <w:bookmarkEnd w:id="249"/>
      <w:bookmarkEnd w:id="250"/>
      <w:bookmarkEnd w:id="251"/>
    </w:p>
    <w:p>
      <w:pPr>
        <w:pStyle w:val="Footnoteheading"/>
        <w:tabs>
          <w:tab w:val="clear" w:pos="879"/>
          <w:tab w:val="left" w:pos="890"/>
        </w:tabs>
      </w:pPr>
      <w:r>
        <w:tab/>
        <w:t>[Heading amended: No. 55 of 2004 s. 1130.]</w:t>
      </w:r>
    </w:p>
    <w:p>
      <w:pPr>
        <w:pStyle w:val="Heading5"/>
        <w:keepNext w:val="0"/>
        <w:keepLines w:val="0"/>
        <w:rPr>
          <w:snapToGrid w:val="0"/>
        </w:rPr>
      </w:pPr>
      <w:bookmarkStart w:id="252" w:name="_Toc530554963"/>
      <w:r>
        <w:rPr>
          <w:rStyle w:val="CharSectno"/>
        </w:rPr>
        <w:t>81</w:t>
      </w:r>
      <w:r>
        <w:rPr>
          <w:snapToGrid w:val="0"/>
        </w:rPr>
        <w:t>.</w:t>
      </w:r>
      <w:r>
        <w:rPr>
          <w:snapToGrid w:val="0"/>
        </w:rPr>
        <w:tab/>
        <w:t>Orders under this Division</w:t>
      </w:r>
      <w:bookmarkEnd w:id="252"/>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No. 58 of 1995 s. 72; No. 55 of 2004 s. 1131 and 1156(2) and (3).]</w:t>
      </w:r>
    </w:p>
    <w:p>
      <w:pPr>
        <w:pStyle w:val="Heading5"/>
        <w:rPr>
          <w:snapToGrid w:val="0"/>
        </w:rPr>
      </w:pPr>
      <w:bookmarkStart w:id="253" w:name="_Toc530554964"/>
      <w:r>
        <w:rPr>
          <w:rStyle w:val="CharSectno"/>
        </w:rPr>
        <w:t>82</w:t>
      </w:r>
      <w:r>
        <w:rPr>
          <w:snapToGrid w:val="0"/>
        </w:rPr>
        <w:t>.</w:t>
      </w:r>
      <w:r>
        <w:rPr>
          <w:snapToGrid w:val="0"/>
        </w:rPr>
        <w:tab/>
        <w:t>Interim orders</w:t>
      </w:r>
      <w:bookmarkEnd w:id="253"/>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No. 55 of 2004 s. 1132, 1156(2) and (3) and 1158.]</w:t>
      </w:r>
    </w:p>
    <w:p>
      <w:pPr>
        <w:pStyle w:val="Heading5"/>
        <w:spacing w:before="260"/>
        <w:rPr>
          <w:snapToGrid w:val="0"/>
        </w:rPr>
      </w:pPr>
      <w:bookmarkStart w:id="254" w:name="_Toc530554965"/>
      <w:r>
        <w:rPr>
          <w:rStyle w:val="CharSectno"/>
        </w:rPr>
        <w:t>83</w:t>
      </w:r>
      <w:r>
        <w:rPr>
          <w:snapToGrid w:val="0"/>
        </w:rPr>
        <w:t>.</w:t>
      </w:r>
      <w:r>
        <w:rPr>
          <w:snapToGrid w:val="0"/>
        </w:rPr>
        <w:tab/>
        <w:t>General powers of SAT to make orders</w:t>
      </w:r>
      <w:bookmarkEnd w:id="254"/>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No. 58 of 1995 s. 73, 93(1) and 96; No. 24 of 2000 s. 40(8); No. 55 of 2004 s. 1133 and 1156(1) and (2).]</w:t>
      </w:r>
    </w:p>
    <w:p>
      <w:pPr>
        <w:pStyle w:val="Heading5"/>
        <w:rPr>
          <w:snapToGrid w:val="0"/>
        </w:rPr>
      </w:pPr>
      <w:bookmarkStart w:id="255" w:name="_Toc530554966"/>
      <w:r>
        <w:rPr>
          <w:rStyle w:val="CharSectno"/>
        </w:rPr>
        <w:t>84</w:t>
      </w:r>
      <w:r>
        <w:rPr>
          <w:snapToGrid w:val="0"/>
        </w:rPr>
        <w:t>.</w:t>
      </w:r>
      <w:r>
        <w:rPr>
          <w:snapToGrid w:val="0"/>
        </w:rPr>
        <w:tab/>
        <w:t>Further powers of SAT</w:t>
      </w:r>
      <w:bookmarkEnd w:id="255"/>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No. 55 of 2004 s. 1134 and 1156(1) and (2).]</w:t>
      </w:r>
    </w:p>
    <w:p>
      <w:pPr>
        <w:pStyle w:val="Heading5"/>
        <w:keepNext w:val="0"/>
        <w:spacing w:before="260"/>
        <w:rPr>
          <w:snapToGrid w:val="0"/>
        </w:rPr>
      </w:pPr>
      <w:bookmarkStart w:id="256" w:name="_Toc530554967"/>
      <w:r>
        <w:rPr>
          <w:rStyle w:val="CharSectno"/>
        </w:rPr>
        <w:t>85</w:t>
      </w:r>
      <w:r>
        <w:rPr>
          <w:snapToGrid w:val="0"/>
        </w:rPr>
        <w:t>.</w:t>
      </w:r>
      <w:r>
        <w:rPr>
          <w:snapToGrid w:val="0"/>
        </w:rPr>
        <w:tab/>
        <w:t>Order with respect to certain consents affecting common property</w:t>
      </w:r>
      <w:bookmarkEnd w:id="256"/>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No. 58 of 1995 s. 96; No. 55 of 2004 s. 1135 and 1156(3).]</w:t>
      </w:r>
    </w:p>
    <w:p>
      <w:pPr>
        <w:pStyle w:val="Heading5"/>
        <w:keepNext w:val="0"/>
        <w:keepLines w:val="0"/>
        <w:spacing w:before="260"/>
        <w:rPr>
          <w:snapToGrid w:val="0"/>
        </w:rPr>
      </w:pPr>
      <w:bookmarkStart w:id="257" w:name="_Toc530554968"/>
      <w:r>
        <w:rPr>
          <w:rStyle w:val="CharSectno"/>
        </w:rPr>
        <w:t>86</w:t>
      </w:r>
      <w:r>
        <w:rPr>
          <w:snapToGrid w:val="0"/>
        </w:rPr>
        <w:t>.</w:t>
      </w:r>
      <w:r>
        <w:rPr>
          <w:snapToGrid w:val="0"/>
        </w:rPr>
        <w:tab/>
        <w:t>Order with respect to acquisition of personal property</w:t>
      </w:r>
      <w:bookmarkEnd w:id="257"/>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No. 58 of 1995 s. 96; No. 55 of 2004 s. 1156(3).]</w:t>
      </w:r>
    </w:p>
    <w:p>
      <w:pPr>
        <w:pStyle w:val="Heading5"/>
        <w:rPr>
          <w:snapToGrid w:val="0"/>
        </w:rPr>
      </w:pPr>
      <w:bookmarkStart w:id="258" w:name="_Toc530554969"/>
      <w:r>
        <w:rPr>
          <w:rStyle w:val="CharSectno"/>
        </w:rPr>
        <w:t>87</w:t>
      </w:r>
      <w:r>
        <w:rPr>
          <w:snapToGrid w:val="0"/>
        </w:rPr>
        <w:t>.</w:t>
      </w:r>
      <w:r>
        <w:rPr>
          <w:snapToGrid w:val="0"/>
        </w:rPr>
        <w:tab/>
        <w:t>Order to acquire personal property</w:t>
      </w:r>
      <w:bookmarkEnd w:id="258"/>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No. 58 of 1995 s. 96; No. 55 of 2004 s. 1156(3).]</w:t>
      </w:r>
    </w:p>
    <w:p>
      <w:pPr>
        <w:pStyle w:val="Heading5"/>
        <w:rPr>
          <w:snapToGrid w:val="0"/>
        </w:rPr>
      </w:pPr>
      <w:bookmarkStart w:id="259" w:name="_Toc530554970"/>
      <w:r>
        <w:rPr>
          <w:rStyle w:val="CharSectno"/>
        </w:rPr>
        <w:t>88</w:t>
      </w:r>
      <w:r>
        <w:rPr>
          <w:snapToGrid w:val="0"/>
        </w:rPr>
        <w:t>.</w:t>
      </w:r>
      <w:r>
        <w:rPr>
          <w:snapToGrid w:val="0"/>
        </w:rPr>
        <w:tab/>
        <w:t>Order to make or pursue insurance claim</w:t>
      </w:r>
      <w:bookmarkEnd w:id="259"/>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No. 58 of 1995 s. 96; No. 55 of 2004 s. 1156(3).]</w:t>
      </w:r>
    </w:p>
    <w:p>
      <w:pPr>
        <w:pStyle w:val="Heading5"/>
        <w:rPr>
          <w:snapToGrid w:val="0"/>
        </w:rPr>
      </w:pPr>
      <w:bookmarkStart w:id="260" w:name="_Toc530554971"/>
      <w:r>
        <w:rPr>
          <w:rStyle w:val="CharSectno"/>
        </w:rPr>
        <w:t>89</w:t>
      </w:r>
      <w:r>
        <w:rPr>
          <w:snapToGrid w:val="0"/>
        </w:rPr>
        <w:t>.</w:t>
      </w:r>
      <w:r>
        <w:rPr>
          <w:snapToGrid w:val="0"/>
        </w:rPr>
        <w:tab/>
        <w:t>Order varying certain rates of interest</w:t>
      </w:r>
      <w:bookmarkEnd w:id="26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No. 58 of 1995 s. 96; No. 55 of 2004 s. 1136 and 1156(3).]</w:t>
      </w:r>
    </w:p>
    <w:p>
      <w:pPr>
        <w:pStyle w:val="Heading5"/>
        <w:rPr>
          <w:snapToGrid w:val="0"/>
        </w:rPr>
      </w:pPr>
      <w:bookmarkStart w:id="261" w:name="_Toc530554972"/>
      <w:r>
        <w:rPr>
          <w:rStyle w:val="CharSectno"/>
        </w:rPr>
        <w:t>90</w:t>
      </w:r>
      <w:r>
        <w:rPr>
          <w:snapToGrid w:val="0"/>
        </w:rPr>
        <w:t>.</w:t>
      </w:r>
      <w:r>
        <w:rPr>
          <w:snapToGrid w:val="0"/>
        </w:rPr>
        <w:tab/>
        <w:t>Order to supply information or documents</w:t>
      </w:r>
      <w:bookmarkEnd w:id="261"/>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No. 58 of 1995 s. 96; No. 55 of 2004 s. 1156(3).]</w:t>
      </w:r>
    </w:p>
    <w:p>
      <w:pPr>
        <w:pStyle w:val="Heading5"/>
        <w:rPr>
          <w:snapToGrid w:val="0"/>
        </w:rPr>
      </w:pPr>
      <w:bookmarkStart w:id="262" w:name="_Toc530554973"/>
      <w:r>
        <w:rPr>
          <w:rStyle w:val="CharSectno"/>
        </w:rPr>
        <w:t>91</w:t>
      </w:r>
      <w:r>
        <w:rPr>
          <w:snapToGrid w:val="0"/>
        </w:rPr>
        <w:t>.</w:t>
      </w:r>
      <w:r>
        <w:rPr>
          <w:snapToGrid w:val="0"/>
        </w:rPr>
        <w:tab/>
        <w:t>Order relating to animal kept contrary to by</w:t>
      </w:r>
      <w:r>
        <w:rPr>
          <w:snapToGrid w:val="0"/>
        </w:rPr>
        <w:noBreakHyphen/>
        <w:t>laws</w:t>
      </w:r>
      <w:bookmarkEnd w:id="26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No. 55 of 2004 s. 1156(3).]</w:t>
      </w:r>
    </w:p>
    <w:p>
      <w:pPr>
        <w:pStyle w:val="Heading5"/>
        <w:rPr>
          <w:snapToGrid w:val="0"/>
        </w:rPr>
      </w:pPr>
      <w:bookmarkStart w:id="263" w:name="_Toc530554974"/>
      <w:r>
        <w:rPr>
          <w:rStyle w:val="CharSectno"/>
        </w:rPr>
        <w:t>92</w:t>
      </w:r>
      <w:r>
        <w:rPr>
          <w:snapToGrid w:val="0"/>
        </w:rPr>
        <w:t>.</w:t>
      </w:r>
      <w:r>
        <w:rPr>
          <w:snapToGrid w:val="0"/>
        </w:rPr>
        <w:tab/>
        <w:t>Order relating to animal kept pursuant to by</w:t>
      </w:r>
      <w:r>
        <w:rPr>
          <w:snapToGrid w:val="0"/>
        </w:rPr>
        <w:noBreakHyphen/>
        <w:t>laws</w:t>
      </w:r>
      <w:bookmarkEnd w:id="263"/>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No. 55 of 2004 s. 1156(3).]</w:t>
      </w:r>
    </w:p>
    <w:p>
      <w:pPr>
        <w:pStyle w:val="Heading5"/>
        <w:rPr>
          <w:snapToGrid w:val="0"/>
        </w:rPr>
      </w:pPr>
      <w:bookmarkStart w:id="264" w:name="_Toc530554975"/>
      <w:r>
        <w:rPr>
          <w:rStyle w:val="CharSectno"/>
        </w:rPr>
        <w:t>93</w:t>
      </w:r>
      <w:r>
        <w:rPr>
          <w:snapToGrid w:val="0"/>
        </w:rPr>
        <w:t>.</w:t>
      </w:r>
      <w:r>
        <w:rPr>
          <w:snapToGrid w:val="0"/>
        </w:rPr>
        <w:tab/>
        <w:t>Order relating to by</w:t>
      </w:r>
      <w:r>
        <w:rPr>
          <w:snapToGrid w:val="0"/>
        </w:rPr>
        <w:noBreakHyphen/>
        <w:t>laws</w:t>
      </w:r>
      <w:bookmarkEnd w:id="264"/>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No. 58 of 1995 s. 74; amended: No. 55 of 2004 s. 1156(1) and 1158.]</w:t>
      </w:r>
    </w:p>
    <w:p>
      <w:pPr>
        <w:pStyle w:val="Heading5"/>
        <w:rPr>
          <w:snapToGrid w:val="0"/>
        </w:rPr>
      </w:pPr>
      <w:bookmarkStart w:id="265" w:name="_Toc530554976"/>
      <w:r>
        <w:rPr>
          <w:rStyle w:val="CharSectno"/>
        </w:rPr>
        <w:t>94</w:t>
      </w:r>
      <w:r>
        <w:rPr>
          <w:snapToGrid w:val="0"/>
        </w:rPr>
        <w:t>.</w:t>
      </w:r>
      <w:r>
        <w:rPr>
          <w:snapToGrid w:val="0"/>
        </w:rPr>
        <w:tab/>
        <w:t>Order granting certain licence</w:t>
      </w:r>
      <w:bookmarkEnd w:id="265"/>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No. 55 of 2004 s. 1156(1) and (2) and 1158.]</w:t>
      </w:r>
    </w:p>
    <w:p>
      <w:pPr>
        <w:pStyle w:val="Heading5"/>
        <w:rPr>
          <w:snapToGrid w:val="0"/>
        </w:rPr>
      </w:pPr>
      <w:bookmarkStart w:id="266" w:name="_Toc530554977"/>
      <w:r>
        <w:rPr>
          <w:rStyle w:val="CharSectno"/>
        </w:rPr>
        <w:t>95</w:t>
      </w:r>
      <w:r>
        <w:rPr>
          <w:snapToGrid w:val="0"/>
        </w:rPr>
        <w:t>.</w:t>
      </w:r>
      <w:r>
        <w:rPr>
          <w:snapToGrid w:val="0"/>
        </w:rPr>
        <w:tab/>
        <w:t>SAT may make certain by</w:t>
      </w:r>
      <w:r>
        <w:rPr>
          <w:snapToGrid w:val="0"/>
        </w:rPr>
        <w:noBreakHyphen/>
        <w:t>laws</w:t>
      </w:r>
      <w:bookmarkEnd w:id="266"/>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No. 55 of 2004 s. 1156(1) and (3).]</w:t>
      </w:r>
    </w:p>
    <w:p>
      <w:pPr>
        <w:pStyle w:val="Ednotesection"/>
      </w:pPr>
      <w:r>
        <w:t>[</w:t>
      </w:r>
      <w:r>
        <w:rPr>
          <w:b/>
        </w:rPr>
        <w:t>96.</w:t>
      </w:r>
      <w:r>
        <w:tab/>
        <w:t>Deleted: No. 58 of 1995 s. 75.]</w:t>
      </w:r>
    </w:p>
    <w:p>
      <w:pPr>
        <w:pStyle w:val="Heading5"/>
        <w:rPr>
          <w:snapToGrid w:val="0"/>
        </w:rPr>
      </w:pPr>
      <w:bookmarkStart w:id="267" w:name="_Toc530554978"/>
      <w:r>
        <w:rPr>
          <w:rStyle w:val="CharSectno"/>
        </w:rPr>
        <w:t>97</w:t>
      </w:r>
      <w:r>
        <w:rPr>
          <w:snapToGrid w:val="0"/>
        </w:rPr>
        <w:t>.</w:t>
      </w:r>
      <w:r>
        <w:rPr>
          <w:snapToGrid w:val="0"/>
        </w:rPr>
        <w:tab/>
        <w:t>Power of SAT to invalidate a resolution or election</w:t>
      </w:r>
      <w:bookmarkEnd w:id="267"/>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No. 55 of 2004 s. 1137 and 1156.]</w:t>
      </w:r>
    </w:p>
    <w:p>
      <w:pPr>
        <w:pStyle w:val="Heading5"/>
        <w:rPr>
          <w:snapToGrid w:val="0"/>
        </w:rPr>
      </w:pPr>
      <w:bookmarkStart w:id="268" w:name="_Toc530554979"/>
      <w:r>
        <w:rPr>
          <w:rStyle w:val="CharSectno"/>
        </w:rPr>
        <w:t>98</w:t>
      </w:r>
      <w:r>
        <w:rPr>
          <w:snapToGrid w:val="0"/>
        </w:rPr>
        <w:t>.</w:t>
      </w:r>
      <w:r>
        <w:rPr>
          <w:snapToGrid w:val="0"/>
        </w:rPr>
        <w:tab/>
        <w:t>Order authorising application to SAT</w:t>
      </w:r>
      <w:bookmarkEnd w:id="268"/>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No. 55 of 2004 s. 1138 and 1156(3).]</w:t>
      </w:r>
    </w:p>
    <w:p>
      <w:pPr>
        <w:pStyle w:val="Heading5"/>
        <w:rPr>
          <w:snapToGrid w:val="0"/>
        </w:rPr>
      </w:pPr>
      <w:bookmarkStart w:id="269" w:name="_Toc530554980"/>
      <w:r>
        <w:rPr>
          <w:rStyle w:val="CharSectno"/>
        </w:rPr>
        <w:t>99</w:t>
      </w:r>
      <w:r>
        <w:rPr>
          <w:snapToGrid w:val="0"/>
        </w:rPr>
        <w:t>.</w:t>
      </w:r>
      <w:r>
        <w:rPr>
          <w:snapToGrid w:val="0"/>
        </w:rPr>
        <w:tab/>
        <w:t>Order for variation or manner of payment of contributions</w:t>
      </w:r>
      <w:bookmarkEnd w:id="269"/>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No. 55 of 2004 s. 1139 and 1156(1) and (3).]</w:t>
      </w:r>
    </w:p>
    <w:p>
      <w:pPr>
        <w:pStyle w:val="Heading5"/>
        <w:rPr>
          <w:snapToGrid w:val="0"/>
        </w:rPr>
      </w:pPr>
      <w:bookmarkStart w:id="270" w:name="_Toc530554981"/>
      <w:r>
        <w:rPr>
          <w:rStyle w:val="CharSectno"/>
        </w:rPr>
        <w:t>99A</w:t>
      </w:r>
      <w:r>
        <w:rPr>
          <w:snapToGrid w:val="0"/>
        </w:rPr>
        <w:t>.</w:t>
      </w:r>
      <w:r>
        <w:rPr>
          <w:snapToGrid w:val="0"/>
        </w:rPr>
        <w:tab/>
        <w:t>Order fixing different basis for levying contributions</w:t>
      </w:r>
      <w:bookmarkEnd w:id="270"/>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No. 58 of 1995 s. 76; amended: No. 24 of 2000 s. 40(9); No. 55 of 2004 s. 1140 and 1156(1) and (3).]</w:t>
      </w:r>
    </w:p>
    <w:p>
      <w:pPr>
        <w:pStyle w:val="Heading5"/>
        <w:rPr>
          <w:snapToGrid w:val="0"/>
        </w:rPr>
      </w:pPr>
      <w:bookmarkStart w:id="271" w:name="_Toc530554982"/>
      <w:r>
        <w:rPr>
          <w:rStyle w:val="CharSectno"/>
        </w:rPr>
        <w:t>100</w:t>
      </w:r>
      <w:r>
        <w:rPr>
          <w:snapToGrid w:val="0"/>
        </w:rPr>
        <w:t>.</w:t>
      </w:r>
      <w:r>
        <w:rPr>
          <w:snapToGrid w:val="0"/>
        </w:rPr>
        <w:tab/>
        <w:t>Order where voting rights denied or due notice of item of business not given</w:t>
      </w:r>
      <w:bookmarkEnd w:id="271"/>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No. 55 of 2004 s. 1156(1) and (3).]</w:t>
      </w:r>
    </w:p>
    <w:p>
      <w:pPr>
        <w:pStyle w:val="Heading5"/>
        <w:rPr>
          <w:snapToGrid w:val="0"/>
        </w:rPr>
      </w:pPr>
      <w:bookmarkStart w:id="272" w:name="_Toc530554983"/>
      <w:r>
        <w:rPr>
          <w:rStyle w:val="CharSectno"/>
        </w:rPr>
        <w:t>101</w:t>
      </w:r>
      <w:r>
        <w:rPr>
          <w:snapToGrid w:val="0"/>
        </w:rPr>
        <w:t>.</w:t>
      </w:r>
      <w:r>
        <w:rPr>
          <w:snapToGrid w:val="0"/>
        </w:rPr>
        <w:tab/>
        <w:t>Order varying amount of insurance to be provided</w:t>
      </w:r>
      <w:bookmarkEnd w:id="272"/>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No. 58 of 1995 s. 96; No. 55 of 2004 s. 1156(1) and (3).]</w:t>
      </w:r>
    </w:p>
    <w:p>
      <w:pPr>
        <w:pStyle w:val="Heading5"/>
        <w:rPr>
          <w:snapToGrid w:val="0"/>
        </w:rPr>
      </w:pPr>
      <w:bookmarkStart w:id="273" w:name="_Toc530554984"/>
      <w:r>
        <w:rPr>
          <w:rStyle w:val="CharSectno"/>
        </w:rPr>
        <w:t>102</w:t>
      </w:r>
      <w:r>
        <w:rPr>
          <w:snapToGrid w:val="0"/>
        </w:rPr>
        <w:t>.</w:t>
      </w:r>
      <w:r>
        <w:rPr>
          <w:snapToGrid w:val="0"/>
        </w:rPr>
        <w:tab/>
        <w:t>Order appointing administrator</w:t>
      </w:r>
      <w:bookmarkEnd w:id="273"/>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No. 58 of 1995 s. 96; No. 55 of 2004 s. 1141 and 1156(1).]</w:t>
      </w:r>
    </w:p>
    <w:p>
      <w:pPr>
        <w:pStyle w:val="Heading5"/>
        <w:rPr>
          <w:snapToGrid w:val="0"/>
        </w:rPr>
      </w:pPr>
      <w:bookmarkStart w:id="274" w:name="_Toc530554985"/>
      <w:r>
        <w:rPr>
          <w:rStyle w:val="CharSectno"/>
        </w:rPr>
        <w:t>103</w:t>
      </w:r>
      <w:r>
        <w:rPr>
          <w:snapToGrid w:val="0"/>
        </w:rPr>
        <w:t>.</w:t>
      </w:r>
      <w:r>
        <w:rPr>
          <w:snapToGrid w:val="0"/>
        </w:rPr>
        <w:tab/>
        <w:t>Order calling first annual general meeting of strata company</w:t>
      </w:r>
      <w:bookmarkEnd w:id="27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No. 55 of 2004 s. 1156(1) and (3).]</w:t>
      </w:r>
    </w:p>
    <w:p>
      <w:pPr>
        <w:pStyle w:val="Heading5"/>
        <w:rPr>
          <w:snapToGrid w:val="0"/>
        </w:rPr>
      </w:pPr>
      <w:bookmarkStart w:id="275" w:name="_Toc530554986"/>
      <w:r>
        <w:rPr>
          <w:rStyle w:val="CharSectno"/>
        </w:rPr>
        <w:t>103A</w:t>
      </w:r>
      <w:r>
        <w:rPr>
          <w:snapToGrid w:val="0"/>
        </w:rPr>
        <w:t>.</w:t>
      </w:r>
      <w:r>
        <w:rPr>
          <w:snapToGrid w:val="0"/>
        </w:rPr>
        <w:tab/>
        <w:t>Order for compliance, despite s. 36A</w:t>
      </w:r>
      <w:bookmarkEnd w:id="275"/>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No. 58 of 1995 s. 77; amended: No. 24 of 2000 s. 40(10); No. 55 of 2004 s. 1156(1) and 1158.]</w:t>
      </w:r>
    </w:p>
    <w:p>
      <w:pPr>
        <w:pStyle w:val="Heading5"/>
        <w:rPr>
          <w:snapToGrid w:val="0"/>
        </w:rPr>
      </w:pPr>
      <w:bookmarkStart w:id="276" w:name="_Toc530554987"/>
      <w:r>
        <w:rPr>
          <w:rStyle w:val="CharSectno"/>
        </w:rPr>
        <w:t>103B</w:t>
      </w:r>
      <w:r>
        <w:rPr>
          <w:snapToGrid w:val="0"/>
        </w:rPr>
        <w:t>.</w:t>
      </w:r>
      <w:r>
        <w:rPr>
          <w:snapToGrid w:val="0"/>
        </w:rPr>
        <w:tab/>
        <w:t>Order to enable quorum in two</w:t>
      </w:r>
      <w:r>
        <w:rPr>
          <w:snapToGrid w:val="0"/>
        </w:rPr>
        <w:noBreakHyphen/>
        <w:t>lot scheme</w:t>
      </w:r>
      <w:bookmarkEnd w:id="276"/>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No. 58 of 1995 s. 77; No. 55 of 2004 s. 1156(1) and (3) and 1158.]</w:t>
      </w:r>
    </w:p>
    <w:p>
      <w:pPr>
        <w:pStyle w:val="Heading5"/>
        <w:rPr>
          <w:snapToGrid w:val="0"/>
        </w:rPr>
      </w:pPr>
      <w:bookmarkStart w:id="277" w:name="_Toc530554988"/>
      <w:r>
        <w:rPr>
          <w:rStyle w:val="CharSectno"/>
        </w:rPr>
        <w:t>103C</w:t>
      </w:r>
      <w:r>
        <w:rPr>
          <w:snapToGrid w:val="0"/>
        </w:rPr>
        <w:t>.</w:t>
      </w:r>
      <w:r>
        <w:rPr>
          <w:snapToGrid w:val="0"/>
        </w:rPr>
        <w:tab/>
        <w:t>Order making resolution for two</w:t>
      </w:r>
      <w:r>
        <w:rPr>
          <w:snapToGrid w:val="0"/>
        </w:rPr>
        <w:noBreakHyphen/>
        <w:t>lot scheme</w:t>
      </w:r>
      <w:bookmarkEnd w:id="277"/>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No. 58 of 1995 s. 77; amended: No. 61 of 1996 s. 32; No. 55 of 2004 s. 1156(1) and (3) and 1158.]</w:t>
      </w:r>
    </w:p>
    <w:p>
      <w:pPr>
        <w:pStyle w:val="Heading5"/>
        <w:rPr>
          <w:snapToGrid w:val="0"/>
        </w:rPr>
      </w:pPr>
      <w:bookmarkStart w:id="278" w:name="_Toc530554989"/>
      <w:r>
        <w:rPr>
          <w:rStyle w:val="CharSectno"/>
        </w:rPr>
        <w:t>103D</w:t>
      </w:r>
      <w:r>
        <w:rPr>
          <w:snapToGrid w:val="0"/>
        </w:rPr>
        <w:t>.</w:t>
      </w:r>
      <w:r>
        <w:rPr>
          <w:snapToGrid w:val="0"/>
        </w:rPr>
        <w:tab/>
        <w:t>Order cancelling special resolution</w:t>
      </w:r>
      <w:bookmarkEnd w:id="278"/>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No. 58 of 1995 s. 77; No. 55 of 2004 s. 1156(1) and (3) and 1158.]</w:t>
      </w:r>
    </w:p>
    <w:p>
      <w:pPr>
        <w:pStyle w:val="Heading5"/>
        <w:rPr>
          <w:snapToGrid w:val="0"/>
        </w:rPr>
      </w:pPr>
      <w:bookmarkStart w:id="279" w:name="_Toc530554990"/>
      <w:r>
        <w:rPr>
          <w:rStyle w:val="CharSectno"/>
        </w:rPr>
        <w:t>103E</w:t>
      </w:r>
      <w:r>
        <w:rPr>
          <w:snapToGrid w:val="0"/>
        </w:rPr>
        <w:t>.</w:t>
      </w:r>
      <w:r>
        <w:rPr>
          <w:snapToGrid w:val="0"/>
        </w:rPr>
        <w:tab/>
        <w:t>Order for termination of contract for services to strata company</w:t>
      </w:r>
      <w:bookmarkEnd w:id="279"/>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No. 58 of 1995 s. 77; No. 55 of 2004 s. 1156(1) and 1158.]</w:t>
      </w:r>
    </w:p>
    <w:p>
      <w:pPr>
        <w:pStyle w:val="Heading5"/>
        <w:rPr>
          <w:snapToGrid w:val="0"/>
        </w:rPr>
      </w:pPr>
      <w:bookmarkStart w:id="280" w:name="_Toc530554991"/>
      <w:r>
        <w:rPr>
          <w:rStyle w:val="CharSectno"/>
        </w:rPr>
        <w:t>103F</w:t>
      </w:r>
      <w:r>
        <w:rPr>
          <w:snapToGrid w:val="0"/>
        </w:rPr>
        <w:t>.</w:t>
      </w:r>
      <w:r>
        <w:rPr>
          <w:snapToGrid w:val="0"/>
        </w:rPr>
        <w:tab/>
        <w:t>Order dispensing with approval under s. 7(2) or 7A(2)</w:t>
      </w:r>
      <w:bookmarkEnd w:id="280"/>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No. 58 of 1995 s. 77; amended: No. 61 of 1996 s. 5; No. 55 of 2004 s. 1142, 1156(1) and 1158.]</w:t>
      </w:r>
    </w:p>
    <w:p>
      <w:pPr>
        <w:pStyle w:val="Heading5"/>
        <w:rPr>
          <w:snapToGrid w:val="0"/>
        </w:rPr>
      </w:pPr>
      <w:bookmarkStart w:id="281" w:name="_Toc530554992"/>
      <w:r>
        <w:rPr>
          <w:rStyle w:val="CharSectno"/>
        </w:rPr>
        <w:t>103G</w:t>
      </w:r>
      <w:r>
        <w:rPr>
          <w:snapToGrid w:val="0"/>
        </w:rPr>
        <w:t>.</w:t>
      </w:r>
      <w:r>
        <w:rPr>
          <w:snapToGrid w:val="0"/>
        </w:rPr>
        <w:tab/>
        <w:t>Order granting relief for breach of s. 7(2)</w:t>
      </w:r>
      <w:bookmarkEnd w:id="281"/>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No. 58 of 1995 s. 77; amended: No. 55 of 2004 s. 1156(1) and 1158.]</w:t>
      </w:r>
    </w:p>
    <w:p>
      <w:pPr>
        <w:pStyle w:val="Heading5"/>
        <w:rPr>
          <w:snapToGrid w:val="0"/>
        </w:rPr>
      </w:pPr>
      <w:bookmarkStart w:id="282" w:name="_Toc530554993"/>
      <w:r>
        <w:rPr>
          <w:rStyle w:val="CharSectno"/>
        </w:rPr>
        <w:t>103H</w:t>
      </w:r>
      <w:r>
        <w:rPr>
          <w:snapToGrid w:val="0"/>
        </w:rPr>
        <w:t>.</w:t>
      </w:r>
      <w:r>
        <w:rPr>
          <w:snapToGrid w:val="0"/>
        </w:rPr>
        <w:tab/>
        <w:t>Order for variation of unit entitlement</w:t>
      </w:r>
      <w:bookmarkEnd w:id="282"/>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No. 58 of 1995 s. 77; amended: No. 55 of 2004 s. 1143, 1156 and 1158.]</w:t>
      </w:r>
    </w:p>
    <w:p>
      <w:pPr>
        <w:pStyle w:val="Heading5"/>
        <w:rPr>
          <w:snapToGrid w:val="0"/>
        </w:rPr>
      </w:pPr>
      <w:bookmarkStart w:id="283" w:name="_Toc530554994"/>
      <w:r>
        <w:rPr>
          <w:rStyle w:val="CharSectno"/>
        </w:rPr>
        <w:t>103I</w:t>
      </w:r>
      <w:r>
        <w:rPr>
          <w:snapToGrid w:val="0"/>
        </w:rPr>
        <w:t>.</w:t>
      </w:r>
      <w:r>
        <w:rPr>
          <w:snapToGrid w:val="0"/>
        </w:rPr>
        <w:tab/>
        <w:t>Order for payment of penalty</w:t>
      </w:r>
      <w:bookmarkEnd w:id="283"/>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No. 58 of 1995 s. 77; No. 55 of 2004 s. 1156 and 1158.]</w:t>
      </w:r>
    </w:p>
    <w:p>
      <w:pPr>
        <w:pStyle w:val="Heading5"/>
        <w:rPr>
          <w:snapToGrid w:val="0"/>
        </w:rPr>
      </w:pPr>
      <w:bookmarkStart w:id="284" w:name="_Toc530554995"/>
      <w:r>
        <w:rPr>
          <w:rStyle w:val="CharSectno"/>
        </w:rPr>
        <w:t>103J</w:t>
      </w:r>
      <w:r>
        <w:rPr>
          <w:snapToGrid w:val="0"/>
        </w:rPr>
        <w:t>.</w:t>
      </w:r>
      <w:r>
        <w:rPr>
          <w:snapToGrid w:val="0"/>
        </w:rPr>
        <w:tab/>
        <w:t>Order for exemption from s. 54 or 55(1)</w:t>
      </w:r>
      <w:bookmarkEnd w:id="284"/>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No. 58 of 1995 s. 77; amended: No. 61 of 1996 s. 33; No. 24 of 2000 s. 40(11); No. 74 of 2003 s. 112(14); No. 55 of 2004 s. 1156(1) and 1158.]</w:t>
      </w:r>
    </w:p>
    <w:p>
      <w:pPr>
        <w:pStyle w:val="Heading5"/>
        <w:rPr>
          <w:snapToGrid w:val="0"/>
        </w:rPr>
      </w:pPr>
      <w:bookmarkStart w:id="285" w:name="_Toc530554996"/>
      <w:r>
        <w:rPr>
          <w:rStyle w:val="CharSectno"/>
        </w:rPr>
        <w:t>103K</w:t>
      </w:r>
      <w:r>
        <w:rPr>
          <w:snapToGrid w:val="0"/>
        </w:rPr>
        <w:t>.</w:t>
      </w:r>
      <w:r>
        <w:rPr>
          <w:snapToGrid w:val="0"/>
        </w:rPr>
        <w:tab/>
        <w:t>Order for compliance with s. 54A</w:t>
      </w:r>
      <w:bookmarkEnd w:id="285"/>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No. 58 of 1995 s. 77; amended: No. 55 of 2004 s. 1156(1) and (3) and 1158.]</w:t>
      </w:r>
    </w:p>
    <w:p>
      <w:pPr>
        <w:pStyle w:val="Heading5"/>
        <w:rPr>
          <w:snapToGrid w:val="0"/>
        </w:rPr>
      </w:pPr>
      <w:bookmarkStart w:id="286" w:name="_Toc530554997"/>
      <w:r>
        <w:rPr>
          <w:rStyle w:val="CharSectno"/>
        </w:rPr>
        <w:t>103L</w:t>
      </w:r>
      <w:r>
        <w:rPr>
          <w:snapToGrid w:val="0"/>
        </w:rPr>
        <w:t>.</w:t>
      </w:r>
      <w:r>
        <w:rPr>
          <w:snapToGrid w:val="0"/>
        </w:rPr>
        <w:tab/>
        <w:t>Order to contribute to insurance premium paid by proprietor</w:t>
      </w:r>
      <w:bookmarkEnd w:id="286"/>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No. 58 of 1995 s. 77; amended: No. 61 of 1996 s. 34</w:t>
      </w:r>
      <w:r>
        <w:rPr>
          <w:iCs/>
        </w:rPr>
        <w:t>;</w:t>
      </w:r>
      <w:r>
        <w:rPr>
          <w:i w:val="0"/>
        </w:rPr>
        <w:t xml:space="preserve"> </w:t>
      </w:r>
      <w:r>
        <w:rPr>
          <w:iCs/>
        </w:rPr>
        <w:t>No. 55 of 2004 s.</w:t>
      </w:r>
      <w:r>
        <w:t> 1156(1) and (3) and 1158.]</w:t>
      </w:r>
    </w:p>
    <w:p>
      <w:pPr>
        <w:pStyle w:val="Heading5"/>
        <w:rPr>
          <w:snapToGrid w:val="0"/>
        </w:rPr>
      </w:pPr>
      <w:bookmarkStart w:id="287" w:name="_Toc530554998"/>
      <w:r>
        <w:rPr>
          <w:rStyle w:val="CharSectno"/>
        </w:rPr>
        <w:t>103M</w:t>
      </w:r>
      <w:r>
        <w:rPr>
          <w:snapToGrid w:val="0"/>
        </w:rPr>
        <w:t>.</w:t>
      </w:r>
      <w:r>
        <w:rPr>
          <w:snapToGrid w:val="0"/>
        </w:rPr>
        <w:tab/>
        <w:t>Order as to resolution under s. 21F or 21Q</w:t>
      </w:r>
      <w:bookmarkEnd w:id="287"/>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No. 61 of 1996 s. 35; No. 55 of 2004 s. 1156(1) and (3) and 1158.]</w:t>
      </w:r>
    </w:p>
    <w:p>
      <w:pPr>
        <w:pStyle w:val="Heading5"/>
        <w:rPr>
          <w:snapToGrid w:val="0"/>
        </w:rPr>
      </w:pPr>
      <w:bookmarkStart w:id="288" w:name="_Toc530554999"/>
      <w:r>
        <w:rPr>
          <w:rStyle w:val="CharSectno"/>
        </w:rPr>
        <w:t>103N</w:t>
      </w:r>
      <w:r>
        <w:rPr>
          <w:snapToGrid w:val="0"/>
        </w:rPr>
        <w:t>.</w:t>
      </w:r>
      <w:r>
        <w:rPr>
          <w:snapToGrid w:val="0"/>
        </w:rPr>
        <w:tab/>
        <w:t>Order for extension of period for reinstatement of building under s. 3AB(2)</w:t>
      </w:r>
      <w:bookmarkEnd w:id="288"/>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No. 61 of 1996 s. 35; No. 55 of 2004 s. 1156(1) and (3) and 1158.]</w:t>
      </w:r>
    </w:p>
    <w:p>
      <w:pPr>
        <w:pStyle w:val="Heading5"/>
        <w:rPr>
          <w:snapToGrid w:val="0"/>
        </w:rPr>
      </w:pPr>
      <w:bookmarkStart w:id="289" w:name="_Toc530555000"/>
      <w:r>
        <w:rPr>
          <w:rStyle w:val="CharSectno"/>
        </w:rPr>
        <w:t>103O</w:t>
      </w:r>
      <w:r>
        <w:rPr>
          <w:snapToGrid w:val="0"/>
        </w:rPr>
        <w:t>.</w:t>
      </w:r>
      <w:r>
        <w:rPr>
          <w:snapToGrid w:val="0"/>
        </w:rPr>
        <w:tab/>
        <w:t>Order for extension of period for reinstatement of building under regulations</w:t>
      </w:r>
      <w:bookmarkEnd w:id="2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No. 61 of 1996 s. 35; amended: No. 55 of 2004 s. 1156(1) and (3) and 1158.]</w:t>
      </w:r>
    </w:p>
    <w:p>
      <w:pPr>
        <w:pStyle w:val="Heading5"/>
        <w:rPr>
          <w:snapToGrid w:val="0"/>
        </w:rPr>
      </w:pPr>
      <w:bookmarkStart w:id="290" w:name="_Toc530555001"/>
      <w:r>
        <w:rPr>
          <w:rStyle w:val="CharSectno"/>
        </w:rPr>
        <w:t>103P</w:t>
      </w:r>
      <w:r>
        <w:rPr>
          <w:snapToGrid w:val="0"/>
        </w:rPr>
        <w:t>.</w:t>
      </w:r>
      <w:r>
        <w:rPr>
          <w:snapToGrid w:val="0"/>
        </w:rPr>
        <w:tab/>
        <w:t>Order reversing the effect of s. 21M</w:t>
      </w:r>
      <w:bookmarkEnd w:id="290"/>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No. 61 of 1996 s. 35; amended: No. 55 of 2004 s. 1156(1) and (3) and 1158.]</w:t>
      </w:r>
    </w:p>
    <w:p>
      <w:pPr>
        <w:pStyle w:val="Heading5"/>
        <w:rPr>
          <w:snapToGrid w:val="0"/>
        </w:rPr>
      </w:pPr>
      <w:bookmarkStart w:id="291" w:name="_Toc530555002"/>
      <w:r>
        <w:rPr>
          <w:rStyle w:val="CharSectno"/>
        </w:rPr>
        <w:t>103Q</w:t>
      </w:r>
      <w:r>
        <w:rPr>
          <w:snapToGrid w:val="0"/>
        </w:rPr>
        <w:t>.</w:t>
      </w:r>
      <w:r>
        <w:rPr>
          <w:snapToGrid w:val="0"/>
        </w:rPr>
        <w:tab/>
        <w:t>Order rectifying failure to give notice under s. 123A</w:t>
      </w:r>
      <w:bookmarkEnd w:id="291"/>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No. 61 of 1996 s. 35; amended: No. 55 of 2004 s. 1156(1) and (3) and 1158.]</w:t>
      </w:r>
    </w:p>
    <w:p>
      <w:pPr>
        <w:pStyle w:val="Heading5"/>
        <w:rPr>
          <w:snapToGrid w:val="0"/>
        </w:rPr>
      </w:pPr>
      <w:bookmarkStart w:id="292" w:name="_Toc530555003"/>
      <w:r>
        <w:rPr>
          <w:rStyle w:val="CharSectno"/>
        </w:rPr>
        <w:t>103R</w:t>
      </w:r>
      <w:r>
        <w:rPr>
          <w:snapToGrid w:val="0"/>
        </w:rPr>
        <w:t>.</w:t>
      </w:r>
      <w:r>
        <w:rPr>
          <w:snapToGrid w:val="0"/>
        </w:rPr>
        <w:tab/>
        <w:t>Order rectifying failure to give notice under s. 123C</w:t>
      </w:r>
      <w:bookmarkEnd w:id="29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No. 61 of 1996 s. 35; amended: No. 55 of 2004 s. 1156(1) and (3) and 1158.]</w:t>
      </w:r>
    </w:p>
    <w:p>
      <w:pPr>
        <w:pStyle w:val="Heading5"/>
        <w:keepLines w:val="0"/>
        <w:rPr>
          <w:snapToGrid w:val="0"/>
        </w:rPr>
      </w:pPr>
      <w:bookmarkStart w:id="293" w:name="_Toc530555004"/>
      <w:r>
        <w:rPr>
          <w:rStyle w:val="CharSectno"/>
        </w:rPr>
        <w:t>104</w:t>
      </w:r>
      <w:r>
        <w:rPr>
          <w:snapToGrid w:val="0"/>
        </w:rPr>
        <w:t>.</w:t>
      </w:r>
      <w:r>
        <w:rPr>
          <w:snapToGrid w:val="0"/>
        </w:rPr>
        <w:tab/>
        <w:t>Copy of order to be served</w:t>
      </w:r>
      <w:bookmarkEnd w:id="293"/>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No. 58 of 1995 s. 96; No. 55 of 2004 s. 1144 and 1156(3).]</w:t>
      </w:r>
    </w:p>
    <w:p>
      <w:pPr>
        <w:pStyle w:val="Heading3"/>
      </w:pPr>
      <w:bookmarkStart w:id="294" w:name="_Toc525288633"/>
      <w:bookmarkStart w:id="295" w:name="_Toc530554669"/>
      <w:bookmarkStart w:id="296" w:name="_Toc530555005"/>
      <w:r>
        <w:rPr>
          <w:rStyle w:val="CharDivNo"/>
        </w:rPr>
        <w:t>Division 4</w:t>
      </w:r>
      <w:r>
        <w:rPr>
          <w:snapToGrid w:val="0"/>
        </w:rPr>
        <w:t> — </w:t>
      </w:r>
      <w:r>
        <w:rPr>
          <w:rStyle w:val="CharDivText"/>
        </w:rPr>
        <w:t>Appeals</w:t>
      </w:r>
      <w:bookmarkEnd w:id="294"/>
      <w:bookmarkEnd w:id="295"/>
      <w:bookmarkEnd w:id="296"/>
    </w:p>
    <w:p>
      <w:pPr>
        <w:pStyle w:val="Footnoteheading"/>
      </w:pPr>
      <w:r>
        <w:tab/>
        <w:t>[Heading amended: No. 42 of 1986 s. 5.]</w:t>
      </w:r>
    </w:p>
    <w:p>
      <w:pPr>
        <w:pStyle w:val="Ednotesection"/>
        <w:spacing w:before="180"/>
        <w:ind w:left="890" w:hanging="890"/>
      </w:pPr>
      <w:r>
        <w:t>[</w:t>
      </w:r>
      <w:r>
        <w:rPr>
          <w:b/>
        </w:rPr>
        <w:t>105</w:t>
      </w:r>
      <w:r>
        <w:rPr>
          <w:b/>
        </w:rPr>
        <w:noBreakHyphen/>
        <w:t>107.</w:t>
      </w:r>
      <w:r>
        <w:tab/>
        <w:t>Deleted: No. 55 of 2004 s. 1145.]</w:t>
      </w:r>
    </w:p>
    <w:p>
      <w:pPr>
        <w:pStyle w:val="Ednotesection"/>
        <w:spacing w:before="180"/>
        <w:ind w:left="890" w:hanging="890"/>
      </w:pPr>
      <w:r>
        <w:t>[</w:t>
      </w:r>
      <w:r>
        <w:rPr>
          <w:b/>
        </w:rPr>
        <w:t>108, 109.</w:t>
      </w:r>
      <w:r>
        <w:tab/>
        <w:t>Deleted: No. 42 of 1986 s. 6.]</w:t>
      </w:r>
    </w:p>
    <w:p>
      <w:pPr>
        <w:pStyle w:val="Ednotesection"/>
        <w:spacing w:before="180"/>
        <w:ind w:left="890" w:hanging="890"/>
      </w:pPr>
      <w:r>
        <w:t>[</w:t>
      </w:r>
      <w:r>
        <w:rPr>
          <w:b/>
        </w:rPr>
        <w:t>110.</w:t>
      </w:r>
      <w:r>
        <w:rPr>
          <w:b/>
        </w:rPr>
        <w:tab/>
      </w:r>
      <w:r>
        <w:t>Deleted: No. 55 of 2004 s. 1146.]</w:t>
      </w:r>
    </w:p>
    <w:p>
      <w:pPr>
        <w:pStyle w:val="Heading5"/>
        <w:rPr>
          <w:snapToGrid w:val="0"/>
        </w:rPr>
      </w:pPr>
      <w:bookmarkStart w:id="297" w:name="_Toc530555006"/>
      <w:r>
        <w:rPr>
          <w:rStyle w:val="CharSectno"/>
        </w:rPr>
        <w:t>111</w:t>
      </w:r>
      <w:r>
        <w:rPr>
          <w:snapToGrid w:val="0"/>
        </w:rPr>
        <w:t>.</w:t>
      </w:r>
      <w:r>
        <w:rPr>
          <w:snapToGrid w:val="0"/>
        </w:rPr>
        <w:tab/>
        <w:t>Expenses of strata company on appeal</w:t>
      </w:r>
      <w:bookmarkEnd w:id="297"/>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No. 42 of 1986 s. 8; No. 55 of 2004 s. 1147.]</w:t>
      </w:r>
    </w:p>
    <w:p>
      <w:pPr>
        <w:pStyle w:val="Ednotesection"/>
      </w:pPr>
      <w:r>
        <w:t>[</w:t>
      </w:r>
      <w:r>
        <w:rPr>
          <w:b/>
        </w:rPr>
        <w:t>112.</w:t>
      </w:r>
      <w:r>
        <w:tab/>
        <w:t>Deleted: No. 42 of 1986 s. 9.]</w:t>
      </w:r>
    </w:p>
    <w:p>
      <w:pPr>
        <w:pStyle w:val="Heading5"/>
        <w:rPr>
          <w:snapToGrid w:val="0"/>
        </w:rPr>
      </w:pPr>
      <w:bookmarkStart w:id="298" w:name="_Toc530555007"/>
      <w:r>
        <w:rPr>
          <w:rStyle w:val="CharSectno"/>
        </w:rPr>
        <w:t>113</w:t>
      </w:r>
      <w:r>
        <w:rPr>
          <w:snapToGrid w:val="0"/>
        </w:rPr>
        <w:t>.</w:t>
      </w:r>
      <w:r>
        <w:rPr>
          <w:snapToGrid w:val="0"/>
        </w:rPr>
        <w:tab/>
        <w:t>Copy of order to be served</w:t>
      </w:r>
      <w:bookmarkEnd w:id="298"/>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No. 42 of 1986 s. 10; No. 58 of 1995 s. 96; No. 55 of 2004 s. 1148 and 1156(1) and (3).]</w:t>
      </w:r>
    </w:p>
    <w:p>
      <w:pPr>
        <w:pStyle w:val="Heading3"/>
      </w:pPr>
      <w:bookmarkStart w:id="299" w:name="_Toc525288636"/>
      <w:bookmarkStart w:id="300" w:name="_Toc530554672"/>
      <w:bookmarkStart w:id="301" w:name="_Toc530555008"/>
      <w:r>
        <w:rPr>
          <w:rStyle w:val="CharDivNo"/>
        </w:rPr>
        <w:t>Division 5</w:t>
      </w:r>
      <w:r>
        <w:rPr>
          <w:snapToGrid w:val="0"/>
        </w:rPr>
        <w:t> — </w:t>
      </w:r>
      <w:r>
        <w:rPr>
          <w:rStyle w:val="CharDivText"/>
        </w:rPr>
        <w:t>Miscellaneous</w:t>
      </w:r>
      <w:bookmarkEnd w:id="299"/>
      <w:bookmarkEnd w:id="300"/>
      <w:bookmarkEnd w:id="301"/>
    </w:p>
    <w:p>
      <w:pPr>
        <w:pStyle w:val="Heading5"/>
        <w:rPr>
          <w:snapToGrid w:val="0"/>
        </w:rPr>
      </w:pPr>
      <w:bookmarkStart w:id="302" w:name="_Toc530555009"/>
      <w:r>
        <w:rPr>
          <w:rStyle w:val="CharSectno"/>
        </w:rPr>
        <w:t>114</w:t>
      </w:r>
      <w:r>
        <w:rPr>
          <w:snapToGrid w:val="0"/>
        </w:rPr>
        <w:t>.</w:t>
      </w:r>
      <w:r>
        <w:rPr>
          <w:snapToGrid w:val="0"/>
        </w:rPr>
        <w:tab/>
        <w:t>Effect of certain orders</w:t>
      </w:r>
      <w:bookmarkEnd w:id="302"/>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No. 58 of 1995 s. 96; No. 55 of 2004 s. 1149 and 1156(1) and (3).]</w:t>
      </w:r>
    </w:p>
    <w:p>
      <w:pPr>
        <w:pStyle w:val="Heading5"/>
        <w:rPr>
          <w:snapToGrid w:val="0"/>
        </w:rPr>
      </w:pPr>
      <w:bookmarkStart w:id="303" w:name="_Toc530555010"/>
      <w:r>
        <w:rPr>
          <w:rStyle w:val="CharSectno"/>
        </w:rPr>
        <w:t>115</w:t>
      </w:r>
      <w:r>
        <w:rPr>
          <w:snapToGrid w:val="0"/>
        </w:rPr>
        <w:t>.</w:t>
      </w:r>
      <w:r>
        <w:rPr>
          <w:snapToGrid w:val="0"/>
        </w:rPr>
        <w:tab/>
        <w:t>Recording of certain orders</w:t>
      </w:r>
      <w:bookmarkEnd w:id="30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No. 58 of 1995 s. 79; amended: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No. 55 of 2004 s. 1151.]</w:t>
      </w:r>
    </w:p>
    <w:p>
      <w:pPr>
        <w:pStyle w:val="Heading5"/>
        <w:rPr>
          <w:snapToGrid w:val="0"/>
        </w:rPr>
      </w:pPr>
      <w:bookmarkStart w:id="304" w:name="_Toc530555011"/>
      <w:r>
        <w:rPr>
          <w:rStyle w:val="CharSectno"/>
        </w:rPr>
        <w:t>121</w:t>
      </w:r>
      <w:r>
        <w:rPr>
          <w:snapToGrid w:val="0"/>
        </w:rPr>
        <w:t>.</w:t>
      </w:r>
      <w:r>
        <w:rPr>
          <w:snapToGrid w:val="0"/>
        </w:rPr>
        <w:tab/>
        <w:t>SAT not to have jurisdiction where title to land in question</w:t>
      </w:r>
      <w:bookmarkEnd w:id="30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No. 55 of 2004 s. 1156(1) and (3).]</w:t>
      </w:r>
    </w:p>
    <w:p>
      <w:pPr>
        <w:pStyle w:val="Heading2"/>
      </w:pPr>
      <w:bookmarkStart w:id="305" w:name="_Toc525288640"/>
      <w:bookmarkStart w:id="306" w:name="_Toc530554676"/>
      <w:bookmarkStart w:id="307" w:name="_Toc530555012"/>
      <w:r>
        <w:rPr>
          <w:rStyle w:val="CharPartNo"/>
        </w:rPr>
        <w:t>Part VII</w:t>
      </w:r>
      <w:r>
        <w:rPr>
          <w:rStyle w:val="CharDivNo"/>
        </w:rPr>
        <w:t> </w:t>
      </w:r>
      <w:r>
        <w:t>—</w:t>
      </w:r>
      <w:r>
        <w:rPr>
          <w:rStyle w:val="CharDivText"/>
        </w:rPr>
        <w:t> </w:t>
      </w:r>
      <w:r>
        <w:rPr>
          <w:rStyle w:val="CharPartText"/>
        </w:rPr>
        <w:t>Miscellaneous</w:t>
      </w:r>
      <w:bookmarkEnd w:id="305"/>
      <w:bookmarkEnd w:id="306"/>
      <w:bookmarkEnd w:id="307"/>
    </w:p>
    <w:p>
      <w:pPr>
        <w:pStyle w:val="Heading5"/>
        <w:rPr>
          <w:snapToGrid w:val="0"/>
        </w:rPr>
      </w:pPr>
      <w:bookmarkStart w:id="308" w:name="_Toc530555013"/>
      <w:r>
        <w:rPr>
          <w:rStyle w:val="CharSectno"/>
        </w:rPr>
        <w:t>122</w:t>
      </w:r>
      <w:r>
        <w:rPr>
          <w:snapToGrid w:val="0"/>
        </w:rPr>
        <w:t>.</w:t>
      </w:r>
      <w:r>
        <w:rPr>
          <w:snapToGrid w:val="0"/>
        </w:rPr>
        <w:tab/>
        <w:t>Other rights and remedies not affected by this Act</w:t>
      </w:r>
      <w:bookmarkEnd w:id="308"/>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309" w:name="_Toc530555014"/>
      <w:r>
        <w:rPr>
          <w:rStyle w:val="CharSectno"/>
        </w:rPr>
        <w:t>122A</w:t>
      </w:r>
      <w:r>
        <w:rPr>
          <w:snapToGrid w:val="0"/>
        </w:rPr>
        <w:t>.</w:t>
      </w:r>
      <w:r>
        <w:rPr>
          <w:snapToGrid w:val="0"/>
        </w:rPr>
        <w:tab/>
        <w:t>Caravan and camping areas not to be subdivided</w:t>
      </w:r>
      <w:bookmarkEnd w:id="309"/>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No. 34 of 1995 s. 33 and redesignated as 122A: No. 10 of 1998 s. 66.]</w:t>
      </w:r>
    </w:p>
    <w:p>
      <w:pPr>
        <w:pStyle w:val="Heading5"/>
        <w:rPr>
          <w:snapToGrid w:val="0"/>
        </w:rPr>
      </w:pPr>
      <w:bookmarkStart w:id="310" w:name="_Toc530555015"/>
      <w:r>
        <w:rPr>
          <w:rStyle w:val="CharSectno"/>
        </w:rPr>
        <w:t>123</w:t>
      </w:r>
      <w:r>
        <w:rPr>
          <w:snapToGrid w:val="0"/>
        </w:rPr>
        <w:t>.</w:t>
      </w:r>
      <w:r>
        <w:rPr>
          <w:snapToGrid w:val="0"/>
        </w:rPr>
        <w:tab/>
        <w:t>Dividing fences</w:t>
      </w:r>
      <w:bookmarkEnd w:id="310"/>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No. 61 of 1996 s. 37.]</w:t>
      </w:r>
    </w:p>
    <w:p>
      <w:pPr>
        <w:pStyle w:val="Heading5"/>
        <w:rPr>
          <w:snapToGrid w:val="0"/>
        </w:rPr>
      </w:pPr>
      <w:bookmarkStart w:id="311" w:name="_Toc530555016"/>
      <w:r>
        <w:rPr>
          <w:rStyle w:val="CharSectno"/>
        </w:rPr>
        <w:t>123A</w:t>
      </w:r>
      <w:r>
        <w:rPr>
          <w:snapToGrid w:val="0"/>
        </w:rPr>
        <w:t>.</w:t>
      </w:r>
      <w:r>
        <w:rPr>
          <w:snapToGrid w:val="0"/>
        </w:rPr>
        <w:tab/>
        <w:t>Transitional provision as to dividing fences</w:t>
      </w:r>
      <w:bookmarkEnd w:id="31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No. 61 of 1996 s. 37.]</w:t>
      </w:r>
    </w:p>
    <w:p>
      <w:pPr>
        <w:pStyle w:val="Heading5"/>
        <w:rPr>
          <w:snapToGrid w:val="0"/>
        </w:rPr>
      </w:pPr>
      <w:bookmarkStart w:id="312" w:name="_Toc530555017"/>
      <w:r>
        <w:rPr>
          <w:rStyle w:val="CharSectno"/>
        </w:rPr>
        <w:t>123B</w:t>
      </w:r>
      <w:r>
        <w:rPr>
          <w:snapToGrid w:val="0"/>
        </w:rPr>
        <w:t>.</w:t>
      </w:r>
      <w:r>
        <w:rPr>
          <w:snapToGrid w:val="0"/>
        </w:rPr>
        <w:tab/>
        <w:t>Internal fencing</w:t>
      </w:r>
      <w:bookmarkEnd w:id="312"/>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No. 61 of 1996 s. 37.]</w:t>
      </w:r>
    </w:p>
    <w:p>
      <w:pPr>
        <w:pStyle w:val="Heading5"/>
        <w:rPr>
          <w:snapToGrid w:val="0"/>
        </w:rPr>
      </w:pPr>
      <w:bookmarkStart w:id="313" w:name="_Toc530555018"/>
      <w:r>
        <w:rPr>
          <w:rStyle w:val="CharSectno"/>
        </w:rPr>
        <w:t>123C</w:t>
      </w:r>
      <w:r>
        <w:rPr>
          <w:snapToGrid w:val="0"/>
        </w:rPr>
        <w:t>.</w:t>
      </w:r>
      <w:r>
        <w:rPr>
          <w:snapToGrid w:val="0"/>
        </w:rPr>
        <w:tab/>
        <w:t>Transitional provision as to internal fencing</w:t>
      </w:r>
      <w:bookmarkEnd w:id="313"/>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No. 61 of 1996 s. 37.]</w:t>
      </w:r>
    </w:p>
    <w:p>
      <w:pPr>
        <w:pStyle w:val="Heading5"/>
        <w:rPr>
          <w:snapToGrid w:val="0"/>
        </w:rPr>
      </w:pPr>
      <w:bookmarkStart w:id="314" w:name="_Toc530555019"/>
      <w:r>
        <w:rPr>
          <w:rStyle w:val="CharSectno"/>
        </w:rPr>
        <w:t>124</w:t>
      </w:r>
      <w:r>
        <w:rPr>
          <w:snapToGrid w:val="0"/>
        </w:rPr>
        <w:t>.</w:t>
      </w:r>
      <w:r>
        <w:rPr>
          <w:snapToGrid w:val="0"/>
        </w:rPr>
        <w:tab/>
        <w:t>Notice of application for order under s. 28, 29 or 31</w:t>
      </w:r>
      <w:bookmarkEnd w:id="314"/>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No. 58 of 1995 s. 82 and 93(1).]</w:t>
      </w:r>
    </w:p>
    <w:p>
      <w:pPr>
        <w:pStyle w:val="Heading5"/>
        <w:rPr>
          <w:snapToGrid w:val="0"/>
        </w:rPr>
      </w:pPr>
      <w:bookmarkStart w:id="315" w:name="_Toc530555020"/>
      <w:r>
        <w:rPr>
          <w:rStyle w:val="CharSectno"/>
        </w:rPr>
        <w:t>125</w:t>
      </w:r>
      <w:r>
        <w:rPr>
          <w:snapToGrid w:val="0"/>
        </w:rPr>
        <w:t>.</w:t>
      </w:r>
      <w:r>
        <w:rPr>
          <w:snapToGrid w:val="0"/>
        </w:rPr>
        <w:tab/>
        <w:t>Service of documents on strata company, proprietors and others</w:t>
      </w:r>
      <w:bookmarkEnd w:id="315"/>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No. 58 of 1995 s. 83 and 95; No. 55 of 2004 s. 1156(1).]</w:t>
      </w:r>
    </w:p>
    <w:p>
      <w:pPr>
        <w:pStyle w:val="Heading5"/>
        <w:rPr>
          <w:snapToGrid w:val="0"/>
        </w:rPr>
      </w:pPr>
      <w:bookmarkStart w:id="316" w:name="_Toc530555021"/>
      <w:r>
        <w:rPr>
          <w:rStyle w:val="CharSectno"/>
        </w:rPr>
        <w:t>126</w:t>
      </w:r>
      <w:r>
        <w:rPr>
          <w:snapToGrid w:val="0"/>
        </w:rPr>
        <w:t>.</w:t>
      </w:r>
      <w:r>
        <w:rPr>
          <w:snapToGrid w:val="0"/>
        </w:rPr>
        <w:tab/>
        <w:t>Powers of entry by public authority or local government</w:t>
      </w:r>
      <w:bookmarkEnd w:id="316"/>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No. 14 of 1996 s. 4.]</w:t>
      </w:r>
    </w:p>
    <w:p>
      <w:pPr>
        <w:pStyle w:val="Heading5"/>
        <w:rPr>
          <w:snapToGrid w:val="0"/>
        </w:rPr>
      </w:pPr>
      <w:bookmarkStart w:id="317" w:name="_Toc530555022"/>
      <w:r>
        <w:rPr>
          <w:rStyle w:val="CharSectno"/>
        </w:rPr>
        <w:t>127</w:t>
      </w:r>
      <w:r>
        <w:rPr>
          <w:snapToGrid w:val="0"/>
        </w:rPr>
        <w:t>.</w:t>
      </w:r>
      <w:r>
        <w:rPr>
          <w:snapToGrid w:val="0"/>
        </w:rPr>
        <w:tab/>
        <w:t>Service of orders by public authority or local government</w:t>
      </w:r>
      <w:bookmarkEnd w:id="317"/>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No. 58 of 1995 s. 96; No. 14 of 1996 s. 4.]</w:t>
      </w:r>
    </w:p>
    <w:p>
      <w:pPr>
        <w:pStyle w:val="Ednotesection"/>
      </w:pPr>
      <w:r>
        <w:t>[</w:t>
      </w:r>
      <w:r>
        <w:rPr>
          <w:b/>
          <w:bCs/>
        </w:rPr>
        <w:t>128.</w:t>
      </w:r>
      <w:r>
        <w:rPr>
          <w:b/>
          <w:bCs/>
        </w:rPr>
        <w:tab/>
      </w:r>
      <w:r>
        <w:t>Deleted: No. 55 of 2004 s. 1152.]</w:t>
      </w:r>
    </w:p>
    <w:p>
      <w:pPr>
        <w:pStyle w:val="Heading5"/>
        <w:rPr>
          <w:snapToGrid w:val="0"/>
        </w:rPr>
      </w:pPr>
      <w:bookmarkStart w:id="318" w:name="_Toc530555023"/>
      <w:r>
        <w:rPr>
          <w:rStyle w:val="CharSectno"/>
        </w:rPr>
        <w:t>129</w:t>
      </w:r>
      <w:r>
        <w:rPr>
          <w:snapToGrid w:val="0"/>
        </w:rPr>
        <w:t>.</w:t>
      </w:r>
      <w:r>
        <w:rPr>
          <w:snapToGrid w:val="0"/>
        </w:rPr>
        <w:tab/>
        <w:t>Procedure upon application to District Court</w:t>
      </w:r>
      <w:bookmarkEnd w:id="318"/>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No. 58 of 1995 s. 84 and 93(1).]</w:t>
      </w:r>
    </w:p>
    <w:p>
      <w:pPr>
        <w:pStyle w:val="Heading5"/>
        <w:rPr>
          <w:snapToGrid w:val="0"/>
        </w:rPr>
      </w:pPr>
      <w:bookmarkStart w:id="319" w:name="_Toc530555024"/>
      <w:r>
        <w:rPr>
          <w:rStyle w:val="CharSectno"/>
        </w:rPr>
        <w:t>129A</w:t>
      </w:r>
      <w:r>
        <w:rPr>
          <w:snapToGrid w:val="0"/>
        </w:rPr>
        <w:t>.</w:t>
      </w:r>
      <w:r>
        <w:rPr>
          <w:snapToGrid w:val="0"/>
        </w:rPr>
        <w:tab/>
        <w:t>Correction of errors by Registrar</w:t>
      </w:r>
      <w:bookmarkEnd w:id="319"/>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No. 58 of 1995 s. 85; amended: No. 81 of 1996 s. 153(1).]</w:t>
      </w:r>
    </w:p>
    <w:p>
      <w:pPr>
        <w:pStyle w:val="Heading5"/>
      </w:pPr>
      <w:bookmarkStart w:id="320" w:name="_Toc530555025"/>
      <w:r>
        <w:rPr>
          <w:rStyle w:val="CharSectno"/>
        </w:rPr>
        <w:t>129B</w:t>
      </w:r>
      <w:r>
        <w:t>.</w:t>
      </w:r>
      <w:r>
        <w:tab/>
        <w:t>Delegation by Commissioner of Titles</w:t>
      </w:r>
      <w:bookmarkEnd w:id="320"/>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No. 60 of 2006 s. 160(9); amended: No. 21 of 2008 s. 707.]</w:t>
      </w:r>
    </w:p>
    <w:p>
      <w:pPr>
        <w:pStyle w:val="Heading5"/>
      </w:pPr>
      <w:bookmarkStart w:id="321" w:name="_Toc530555026"/>
      <w:r>
        <w:rPr>
          <w:rStyle w:val="CharSectno"/>
        </w:rPr>
        <w:t>129C</w:t>
      </w:r>
      <w:r>
        <w:t>.</w:t>
      </w:r>
      <w:r>
        <w:tab/>
        <w:t>Delegation by Registrar of Titles</w:t>
      </w:r>
      <w:bookmarkEnd w:id="321"/>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No. 60 of 2006 s. 160(9).]</w:t>
      </w:r>
    </w:p>
    <w:p>
      <w:pPr>
        <w:pStyle w:val="Heading5"/>
      </w:pPr>
      <w:bookmarkStart w:id="322" w:name="_Toc530555027"/>
      <w:r>
        <w:rPr>
          <w:rStyle w:val="CharSectno"/>
        </w:rPr>
        <w:t>129D</w:t>
      </w:r>
      <w:r>
        <w:t>.</w:t>
      </w:r>
      <w:r>
        <w:tab/>
        <w:t>Money received by Registrar</w:t>
      </w:r>
      <w:bookmarkEnd w:id="322"/>
    </w:p>
    <w:p>
      <w:pPr>
        <w:pStyle w:val="Subsection"/>
      </w:pPr>
      <w:r>
        <w:tab/>
      </w:r>
      <w:r>
        <w:tab/>
        <w:t>The Registrar of Titles is to pay to the Authority any money paid to the Registrar under this Act.</w:t>
      </w:r>
    </w:p>
    <w:p>
      <w:pPr>
        <w:pStyle w:val="Footnotesection"/>
      </w:pPr>
      <w:r>
        <w:tab/>
        <w:t>[Section 129D inserted: No. 60 of 2006 s. 160(9).]</w:t>
      </w:r>
    </w:p>
    <w:p>
      <w:pPr>
        <w:pStyle w:val="Heading5"/>
        <w:rPr>
          <w:snapToGrid w:val="0"/>
        </w:rPr>
      </w:pPr>
      <w:bookmarkStart w:id="323" w:name="_Toc530555028"/>
      <w:r>
        <w:rPr>
          <w:rStyle w:val="CharSectno"/>
        </w:rPr>
        <w:t>130</w:t>
      </w:r>
      <w:r>
        <w:rPr>
          <w:snapToGrid w:val="0"/>
        </w:rPr>
        <w:t>.</w:t>
      </w:r>
      <w:r>
        <w:rPr>
          <w:snapToGrid w:val="0"/>
        </w:rPr>
        <w:tab/>
        <w:t>Regulations</w:t>
      </w:r>
      <w:bookmarkEnd w:id="32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No. 58 of 1995 s. 86 and 94; No. 55 of 2004 s. 1153.]</w:t>
      </w:r>
    </w:p>
    <w:p>
      <w:pPr>
        <w:pStyle w:val="Heading5"/>
      </w:pPr>
      <w:bookmarkStart w:id="324" w:name="_Toc530555029"/>
      <w:r>
        <w:rPr>
          <w:rStyle w:val="CharSectno"/>
        </w:rPr>
        <w:t>131A</w:t>
      </w:r>
      <w:r>
        <w:t>.</w:t>
      </w:r>
      <w:r>
        <w:tab/>
        <w:t>Certain prescribed fees may exceed cost recovery</w:t>
      </w:r>
      <w:bookmarkEnd w:id="324"/>
    </w:p>
    <w:p>
      <w:pPr>
        <w:pStyle w:val="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The definition of </w:t>
      </w:r>
      <w:r>
        <w:rPr>
          <w:rStyle w:val="CharDefText"/>
        </w:rPr>
        <w:t>scheme</w:t>
      </w:r>
      <w:r>
        <w:t xml:space="preserve"> in section 3(1) does not apply to subsection (1).</w:t>
      </w:r>
    </w:p>
    <w:p>
      <w:pPr>
        <w:pStyle w:val="Subsection"/>
      </w:pPr>
      <w:r>
        <w:tab/>
        <w:t>(3)</w:t>
      </w:r>
      <w:r>
        <w:tab/>
        <w:t xml:space="preserve">This section does not limit the </w:t>
      </w:r>
      <w:r>
        <w:rPr>
          <w:i/>
        </w:rPr>
        <w:t>Interpretation Act 1984</w:t>
      </w:r>
      <w:r>
        <w:t xml:space="preserve"> section 45A.</w:t>
      </w:r>
    </w:p>
    <w:p>
      <w:pPr>
        <w:pStyle w:val="Footnotesection"/>
      </w:pPr>
      <w:r>
        <w:tab/>
        <w:t>[Section 131A inserted: No. 11 of 2015 s. 8; amended: No. 12 of 2015 s. 6.]</w:t>
      </w:r>
    </w:p>
    <w:p>
      <w:pPr>
        <w:pStyle w:val="Heading5"/>
      </w:pPr>
      <w:bookmarkStart w:id="325" w:name="_Toc530555030"/>
      <w:r>
        <w:rPr>
          <w:rStyle w:val="CharSectno"/>
        </w:rPr>
        <w:t>131B</w:t>
      </w:r>
      <w:r>
        <w:t>.</w:t>
      </w:r>
      <w:r>
        <w:tab/>
        <w:t>Expiry of section 131A</w:t>
      </w:r>
      <w:bookmarkEnd w:id="325"/>
    </w:p>
    <w:p>
      <w:pPr>
        <w:pStyle w:val="Subsection"/>
        <w:keepNext/>
      </w:pPr>
      <w:r>
        <w:tab/>
        <w:t>(1)</w:t>
      </w:r>
      <w:r>
        <w:tab/>
        <w:t>Section 131A expires at the end of 31 December 2019</w:t>
      </w:r>
      <w:r>
        <w:rPr>
          <w:vertAlign w:val="superscript"/>
        </w:rPr>
        <w:t> 21</w:t>
      </w:r>
      <w:r>
        <w:t>.</w:t>
      </w:r>
    </w:p>
    <w:p>
      <w:pPr>
        <w:pStyle w:val="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131A does not affect the validity of any regulations made under section 130 and in effect immediately before that expiry.</w:t>
      </w:r>
    </w:p>
    <w:p>
      <w:pPr>
        <w:pStyle w:val="Footnotesection"/>
      </w:pPr>
      <w:r>
        <w:tab/>
        <w:t>[Section 131B inserted: No. 11 of 2015 s. 8.]</w:t>
      </w:r>
    </w:p>
    <w:p>
      <w:pPr>
        <w:pStyle w:val="Footnotesection"/>
      </w:pPr>
      <w:r>
        <w:tab/>
        <w:t>[</w:t>
      </w:r>
      <w:r>
        <w:rPr>
          <w:b/>
        </w:rPr>
        <w:t>Note:</w:t>
      </w:r>
      <w:r>
        <w:t xml:space="preserve">  The expiry of section 131A is postponed until the end of 31 December 2024 by the Land Legislation (Postponement of Expiry) Proclamation 2018 (see Gazette 21 Dec 2018 p. 4845-6).]</w:t>
      </w:r>
    </w:p>
    <w:p>
      <w:pPr>
        <w:pStyle w:val="Ednotesection"/>
      </w:pPr>
      <w:r>
        <w:t>[</w:t>
      </w:r>
      <w:r>
        <w:rPr>
          <w:b/>
        </w:rPr>
        <w:t>131.</w:t>
      </w:r>
      <w:r>
        <w:tab/>
        <w:t>Omitted under the Reprints Act 1984 s. 7(4)(f).]</w:t>
      </w:r>
    </w:p>
    <w:p>
      <w:pPr>
        <w:pStyle w:val="Heading5"/>
        <w:rPr>
          <w:snapToGrid w:val="0"/>
        </w:rPr>
      </w:pPr>
      <w:bookmarkStart w:id="326" w:name="_Toc530555031"/>
      <w:r>
        <w:rPr>
          <w:rStyle w:val="CharSectno"/>
        </w:rPr>
        <w:t>132</w:t>
      </w:r>
      <w:r>
        <w:rPr>
          <w:snapToGrid w:val="0"/>
        </w:rPr>
        <w:t>.</w:t>
      </w:r>
      <w:r>
        <w:rPr>
          <w:snapToGrid w:val="0"/>
        </w:rPr>
        <w:tab/>
        <w:t>Transitional and savings</w:t>
      </w:r>
      <w:bookmarkEnd w:id="326"/>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327" w:name="_Toc525288660"/>
      <w:bookmarkStart w:id="328" w:name="_Toc530554696"/>
      <w:bookmarkStart w:id="329" w:name="_Toc530555032"/>
      <w:r>
        <w:rPr>
          <w:rStyle w:val="CharPartNo"/>
        </w:rPr>
        <w:t>Part VIII</w:t>
      </w:r>
      <w:r>
        <w:rPr>
          <w:b w:val="0"/>
        </w:rPr>
        <w:t> </w:t>
      </w:r>
      <w:r>
        <w:t>—</w:t>
      </w:r>
      <w:r>
        <w:rPr>
          <w:b w:val="0"/>
        </w:rPr>
        <w:t> </w:t>
      </w:r>
      <w:r>
        <w:rPr>
          <w:rStyle w:val="CharPartText"/>
        </w:rPr>
        <w:t>Transitional provisions for amendments made to this Act</w:t>
      </w:r>
      <w:bookmarkEnd w:id="327"/>
      <w:bookmarkEnd w:id="328"/>
      <w:bookmarkEnd w:id="329"/>
    </w:p>
    <w:p>
      <w:pPr>
        <w:pStyle w:val="Footnoteheading"/>
        <w:spacing w:before="100"/>
      </w:pPr>
      <w:r>
        <w:tab/>
        <w:t>[Heading inserted: No. 24 of 2011 s. 174(12).]</w:t>
      </w:r>
    </w:p>
    <w:p>
      <w:pPr>
        <w:pStyle w:val="Heading5"/>
      </w:pPr>
      <w:bookmarkStart w:id="330" w:name="_Toc530555033"/>
      <w:r>
        <w:rPr>
          <w:rStyle w:val="CharDivNo"/>
        </w:rPr>
        <w:t>Division 1</w:t>
      </w:r>
      <w:r>
        <w:t> — </w:t>
      </w:r>
      <w:r>
        <w:rPr>
          <w:rStyle w:val="CharDivText"/>
        </w:rPr>
        <w:t xml:space="preserve">Transitional provisions arising from certain amendments made by the </w:t>
      </w:r>
      <w:r>
        <w:rPr>
          <w:rStyle w:val="CharDivText"/>
          <w:i/>
        </w:rPr>
        <w:t>Building Act 2011</w:t>
      </w:r>
      <w:bookmarkEnd w:id="330"/>
    </w:p>
    <w:p>
      <w:pPr>
        <w:pStyle w:val="Footnoteheading"/>
        <w:spacing w:before="100"/>
      </w:pPr>
      <w:r>
        <w:tab/>
        <w:t>[Heading inserted: No. 24 of 2011 s. 174(12).]</w:t>
      </w:r>
    </w:p>
    <w:p>
      <w:pPr>
        <w:pStyle w:val="Heading5"/>
        <w:spacing w:before="200"/>
      </w:pPr>
      <w:bookmarkStart w:id="331" w:name="_Toc530555034"/>
      <w:r>
        <w:rPr>
          <w:rStyle w:val="CharSectno"/>
        </w:rPr>
        <w:t>133</w:t>
      </w:r>
      <w:r>
        <w:t>.</w:t>
      </w:r>
      <w:r>
        <w:tab/>
        <w:t>Terms used</w:t>
      </w:r>
      <w:bookmarkEnd w:id="331"/>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No. 24 of 2011 s. 174(12).]</w:t>
      </w:r>
    </w:p>
    <w:p>
      <w:pPr>
        <w:pStyle w:val="Heading5"/>
        <w:spacing w:before="200"/>
      </w:pPr>
      <w:bookmarkStart w:id="332" w:name="_Toc530555035"/>
      <w:r>
        <w:rPr>
          <w:rStyle w:val="CharSectno"/>
        </w:rPr>
        <w:t>134</w:t>
      </w:r>
      <w:r>
        <w:t>.</w:t>
      </w:r>
      <w:r>
        <w:tab/>
        <w:t>Certificates of local government required by s. 5B(2)</w:t>
      </w:r>
      <w:bookmarkEnd w:id="332"/>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No. 24 of 2011 s. 174(12).]</w:t>
      </w:r>
    </w:p>
    <w:p>
      <w:pPr>
        <w:pStyle w:val="Heading5"/>
        <w:spacing w:before="200"/>
      </w:pPr>
      <w:bookmarkStart w:id="333" w:name="_Toc530555036"/>
      <w:r>
        <w:rPr>
          <w:rStyle w:val="CharSectno"/>
        </w:rPr>
        <w:t>135</w:t>
      </w:r>
      <w:r>
        <w:t>.</w:t>
      </w:r>
      <w:r>
        <w:tab/>
        <w:t>Certificates of local government required by s. 8A(f)</w:t>
      </w:r>
      <w:bookmarkEnd w:id="333"/>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No. 24 of 2011 s. 174(12).]</w:t>
      </w:r>
    </w:p>
    <w:p>
      <w:pPr>
        <w:pStyle w:val="Heading5"/>
        <w:spacing w:before="200"/>
      </w:pPr>
      <w:bookmarkStart w:id="334" w:name="_Toc530555037"/>
      <w:r>
        <w:rPr>
          <w:rStyle w:val="CharSectno"/>
        </w:rPr>
        <w:t>136</w:t>
      </w:r>
      <w:r>
        <w:t>.</w:t>
      </w:r>
      <w:r>
        <w:tab/>
        <w:t>Applications for certificates of local government and review of related decisions</w:t>
      </w:r>
      <w:bookmarkEnd w:id="334"/>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No. 24 of 2011 s. 174(12).]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35" w:name="_Toc525288666"/>
      <w:bookmarkStart w:id="336" w:name="_Toc530554702"/>
      <w:bookmarkStart w:id="337" w:name="_Toc530555038"/>
      <w:r>
        <w:rPr>
          <w:rStyle w:val="CharSchNo"/>
        </w:rPr>
        <w:t>Schedule 1</w:t>
      </w:r>
      <w:r>
        <w:t> — </w:t>
      </w:r>
      <w:r>
        <w:rPr>
          <w:rStyle w:val="CharSchText"/>
        </w:rPr>
        <w:t>By-laws</w:t>
      </w:r>
      <w:bookmarkEnd w:id="335"/>
      <w:bookmarkEnd w:id="336"/>
      <w:bookmarkEnd w:id="337"/>
    </w:p>
    <w:p>
      <w:pPr>
        <w:pStyle w:val="yShoulderClause"/>
        <w:rPr>
          <w:snapToGrid w:val="0"/>
        </w:rPr>
      </w:pPr>
      <w:r>
        <w:rPr>
          <w:snapToGrid w:val="0"/>
        </w:rPr>
        <w:t>[s. 42(2)]</w:t>
      </w:r>
    </w:p>
    <w:p>
      <w:pPr>
        <w:pStyle w:val="yFootnoteheading"/>
      </w:pPr>
      <w:r>
        <w:tab/>
        <w:t>[Heading amended: No. 19 of 2010 s. 4.]</w:t>
      </w:r>
    </w:p>
    <w:p>
      <w:pPr>
        <w:pStyle w:val="yEdnotedivision"/>
      </w:pPr>
      <w:r>
        <w:t>[Part I heading deleted: No. 58 of 1995 s. 87(1).]</w:t>
      </w:r>
    </w:p>
    <w:p>
      <w:pPr>
        <w:pStyle w:val="yHeading5"/>
        <w:outlineLvl w:val="0"/>
        <w:rPr>
          <w:snapToGrid w:val="0"/>
        </w:rPr>
      </w:pPr>
      <w:bookmarkStart w:id="338" w:name="_Toc530555039"/>
      <w:r>
        <w:rPr>
          <w:rStyle w:val="CharSClsNo"/>
        </w:rPr>
        <w:t>1</w:t>
      </w:r>
      <w:r>
        <w:rPr>
          <w:snapToGrid w:val="0"/>
        </w:rPr>
        <w:t>.</w:t>
      </w:r>
      <w:r>
        <w:rPr>
          <w:snapToGrid w:val="0"/>
        </w:rPr>
        <w:tab/>
        <w:t>Duties of proprietor, occupiers etc.</w:t>
      </w:r>
      <w:bookmarkEnd w:id="338"/>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w:t>
      </w:r>
      <w:r>
        <w:rPr>
          <w:iCs/>
        </w:rPr>
        <w:t>No. 58 of 1995 s. 87(2); No. 14 of 1996 s. 4; No. 74 of 2003 s. 112(15).]</w:t>
      </w:r>
    </w:p>
    <w:p>
      <w:pPr>
        <w:pStyle w:val="yHeading5"/>
        <w:outlineLvl w:val="0"/>
        <w:rPr>
          <w:snapToGrid w:val="0"/>
        </w:rPr>
      </w:pPr>
      <w:bookmarkStart w:id="339" w:name="_Toc530555040"/>
      <w:r>
        <w:rPr>
          <w:rStyle w:val="CharSClsNo"/>
        </w:rPr>
        <w:t>2</w:t>
      </w:r>
      <w:r>
        <w:rPr>
          <w:snapToGrid w:val="0"/>
        </w:rPr>
        <w:t>.</w:t>
      </w:r>
      <w:r>
        <w:rPr>
          <w:snapToGrid w:val="0"/>
        </w:rPr>
        <w:tab/>
        <w:t>Power of proprietor to decorate etc.</w:t>
      </w:r>
      <w:bookmarkEnd w:id="339"/>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340" w:name="_Toc530555041"/>
      <w:r>
        <w:rPr>
          <w:snapToGrid w:val="0"/>
        </w:rPr>
        <w:t>3.</w:t>
      </w:r>
      <w:r>
        <w:rPr>
          <w:snapToGrid w:val="0"/>
        </w:rPr>
        <w:tab/>
        <w:t>Power of strata company regarding submeters</w:t>
      </w:r>
      <w:bookmarkEnd w:id="340"/>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No. 26 of 1999 s. 104; No. 74 of 2003 s. 112(16).]</w:t>
      </w:r>
    </w:p>
    <w:p>
      <w:pPr>
        <w:pStyle w:val="yHeading5"/>
        <w:outlineLvl w:val="0"/>
        <w:rPr>
          <w:snapToGrid w:val="0"/>
        </w:rPr>
      </w:pPr>
      <w:bookmarkStart w:id="341" w:name="_Toc530555042"/>
      <w:r>
        <w:rPr>
          <w:rStyle w:val="CharSClsNo"/>
        </w:rPr>
        <w:t>4</w:t>
      </w:r>
      <w:r>
        <w:rPr>
          <w:snapToGrid w:val="0"/>
        </w:rPr>
        <w:t>.</w:t>
      </w:r>
      <w:r>
        <w:rPr>
          <w:snapToGrid w:val="0"/>
        </w:rPr>
        <w:tab/>
        <w:t>Constitution of council</w:t>
      </w:r>
      <w:bookmarkEnd w:id="341"/>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342" w:name="_Toc530555043"/>
      <w:r>
        <w:rPr>
          <w:rStyle w:val="CharSClsNo"/>
        </w:rPr>
        <w:t>5</w:t>
      </w:r>
      <w:r>
        <w:rPr>
          <w:snapToGrid w:val="0"/>
        </w:rPr>
        <w:t>.</w:t>
      </w:r>
      <w:r>
        <w:rPr>
          <w:snapToGrid w:val="0"/>
        </w:rPr>
        <w:tab/>
        <w:t>Election of council</w:t>
      </w:r>
      <w:bookmarkEnd w:id="342"/>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No. 74 of 2003 s. 112(17)</w:t>
      </w:r>
      <w:r>
        <w:noBreakHyphen/>
        <w:t>(19).]</w:t>
      </w:r>
    </w:p>
    <w:p>
      <w:pPr>
        <w:pStyle w:val="yHeading5"/>
        <w:outlineLvl w:val="0"/>
        <w:rPr>
          <w:snapToGrid w:val="0"/>
        </w:rPr>
      </w:pPr>
      <w:bookmarkStart w:id="343" w:name="_Toc530555044"/>
      <w:r>
        <w:rPr>
          <w:rStyle w:val="CharSClsNo"/>
        </w:rPr>
        <w:t>6</w:t>
      </w:r>
      <w:r>
        <w:rPr>
          <w:snapToGrid w:val="0"/>
        </w:rPr>
        <w:t>.</w:t>
      </w:r>
      <w:r>
        <w:rPr>
          <w:snapToGrid w:val="0"/>
        </w:rPr>
        <w:tab/>
        <w:t>Chairman, secretary and treasurer of council</w:t>
      </w:r>
      <w:bookmarkEnd w:id="343"/>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344" w:name="_Toc530555045"/>
      <w:r>
        <w:rPr>
          <w:rStyle w:val="CharSClsNo"/>
        </w:rPr>
        <w:t>7</w:t>
      </w:r>
      <w:r>
        <w:rPr>
          <w:snapToGrid w:val="0"/>
        </w:rPr>
        <w:t>.</w:t>
      </w:r>
      <w:r>
        <w:rPr>
          <w:snapToGrid w:val="0"/>
        </w:rPr>
        <w:tab/>
        <w:t>Chairman, secretary and treasurer of strata company</w:t>
      </w:r>
      <w:bookmarkEnd w:id="344"/>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w:t>
      </w:r>
      <w:r>
        <w:rPr>
          <w:iCs/>
        </w:rPr>
        <w:t xml:space="preserve">No. 58 of 1995 s. 87(3); </w:t>
      </w:r>
      <w:r>
        <w:t>amended: No. 74 of 2003 s. 112(20).]</w:t>
      </w:r>
    </w:p>
    <w:p>
      <w:pPr>
        <w:pStyle w:val="yHeading5"/>
        <w:outlineLvl w:val="0"/>
        <w:rPr>
          <w:snapToGrid w:val="0"/>
        </w:rPr>
      </w:pPr>
      <w:bookmarkStart w:id="345" w:name="_Toc530555046"/>
      <w:r>
        <w:rPr>
          <w:rStyle w:val="CharSClsNo"/>
        </w:rPr>
        <w:t>8</w:t>
      </w:r>
      <w:r>
        <w:rPr>
          <w:snapToGrid w:val="0"/>
        </w:rPr>
        <w:t>.</w:t>
      </w:r>
      <w:r>
        <w:rPr>
          <w:snapToGrid w:val="0"/>
        </w:rPr>
        <w:tab/>
        <w:t>Meetings of council</w:t>
      </w:r>
      <w:bookmarkEnd w:id="345"/>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346" w:name="_Toc530555047"/>
      <w:r>
        <w:rPr>
          <w:rStyle w:val="CharSClsNo"/>
        </w:rPr>
        <w:t>9</w:t>
      </w:r>
      <w:r>
        <w:rPr>
          <w:snapToGrid w:val="0"/>
        </w:rPr>
        <w:t>.</w:t>
      </w:r>
      <w:r>
        <w:rPr>
          <w:snapToGrid w:val="0"/>
        </w:rPr>
        <w:tab/>
        <w:t>Powers and duties of secretary of strata company</w:t>
      </w:r>
      <w:bookmarkEnd w:id="34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347" w:name="_Toc530555048"/>
      <w:r>
        <w:rPr>
          <w:rStyle w:val="CharSClsNo"/>
        </w:rPr>
        <w:t>10</w:t>
      </w:r>
      <w:r>
        <w:rPr>
          <w:snapToGrid w:val="0"/>
        </w:rPr>
        <w:t>.</w:t>
      </w:r>
      <w:r>
        <w:rPr>
          <w:snapToGrid w:val="0"/>
        </w:rPr>
        <w:tab/>
        <w:t>Powers and duties of treasurer of strata company</w:t>
      </w:r>
      <w:bookmarkEnd w:id="347"/>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348" w:name="_Toc530555049"/>
      <w:r>
        <w:rPr>
          <w:rStyle w:val="CharSClsNo"/>
        </w:rPr>
        <w:t>11</w:t>
      </w:r>
      <w:r>
        <w:rPr>
          <w:snapToGrid w:val="0"/>
        </w:rPr>
        <w:t>.</w:t>
      </w:r>
      <w:r>
        <w:rPr>
          <w:snapToGrid w:val="0"/>
        </w:rPr>
        <w:tab/>
        <w:t>General meetings of strata company</w:t>
      </w:r>
      <w:bookmarkEnd w:id="348"/>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w:t>
      </w:r>
      <w:r>
        <w:rPr>
          <w:iCs/>
        </w:rPr>
        <w:t>No. 58 of 1995 s. 87(4).]</w:t>
      </w:r>
    </w:p>
    <w:p>
      <w:pPr>
        <w:pStyle w:val="yHeading5"/>
        <w:outlineLvl w:val="0"/>
        <w:rPr>
          <w:snapToGrid w:val="0"/>
        </w:rPr>
      </w:pPr>
      <w:bookmarkStart w:id="349" w:name="_Toc530555050"/>
      <w:r>
        <w:rPr>
          <w:rStyle w:val="CharSClsNo"/>
        </w:rPr>
        <w:t>12</w:t>
      </w:r>
      <w:r>
        <w:rPr>
          <w:snapToGrid w:val="0"/>
        </w:rPr>
        <w:t>.</w:t>
      </w:r>
      <w:r>
        <w:rPr>
          <w:snapToGrid w:val="0"/>
        </w:rPr>
        <w:tab/>
        <w:t>Proceedings at general meetings</w:t>
      </w:r>
      <w:bookmarkEnd w:id="349"/>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w:t>
      </w:r>
      <w:r>
        <w:rPr>
          <w:iCs/>
        </w:rPr>
        <w:t xml:space="preserve">No. 58 of 1995 s. 87(5); </w:t>
      </w:r>
      <w:r>
        <w:t>No. 74 of 2003 s. 112(21).]</w:t>
      </w:r>
    </w:p>
    <w:p>
      <w:pPr>
        <w:pStyle w:val="yHeading5"/>
        <w:spacing w:before="800"/>
        <w:outlineLvl w:val="0"/>
        <w:rPr>
          <w:snapToGrid w:val="0"/>
        </w:rPr>
      </w:pPr>
      <w:bookmarkStart w:id="350" w:name="_Toc530555051"/>
      <w:r>
        <w:rPr>
          <w:rStyle w:val="CharSClsNo"/>
        </w:rPr>
        <w:t>13</w:t>
      </w:r>
      <w:r>
        <w:rPr>
          <w:snapToGrid w:val="0"/>
        </w:rPr>
        <w:t>.</w:t>
      </w:r>
      <w:r>
        <w:rPr>
          <w:snapToGrid w:val="0"/>
        </w:rPr>
        <w:tab/>
        <w:t>Restriction on moving motion or nominating candidate</w:t>
      </w:r>
      <w:bookmarkEnd w:id="350"/>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351" w:name="_Toc530555052"/>
      <w:r>
        <w:rPr>
          <w:rStyle w:val="CharSClsNo"/>
        </w:rPr>
        <w:t>14</w:t>
      </w:r>
      <w:r>
        <w:rPr>
          <w:snapToGrid w:val="0"/>
        </w:rPr>
        <w:t>.</w:t>
      </w:r>
      <w:r>
        <w:rPr>
          <w:snapToGrid w:val="0"/>
        </w:rPr>
        <w:tab/>
        <w:t>Votes of proprietors</w:t>
      </w:r>
      <w:bookmarkEnd w:id="351"/>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w:t>
      </w:r>
      <w:r>
        <w:rPr>
          <w:iCs/>
        </w:rPr>
        <w:t>No. 24 of 2000 s. 40(12</w:t>
      </w:r>
      <w:r>
        <w:t>).]</w:t>
      </w:r>
    </w:p>
    <w:p>
      <w:pPr>
        <w:pStyle w:val="yHeading5"/>
        <w:outlineLvl w:val="0"/>
        <w:rPr>
          <w:snapToGrid w:val="0"/>
        </w:rPr>
      </w:pPr>
      <w:bookmarkStart w:id="352" w:name="_Toc530555053"/>
      <w:r>
        <w:rPr>
          <w:rStyle w:val="CharSClsNo"/>
        </w:rPr>
        <w:t>15</w:t>
      </w:r>
      <w:r>
        <w:rPr>
          <w:snapToGrid w:val="0"/>
        </w:rPr>
        <w:t>.</w:t>
      </w:r>
      <w:r>
        <w:rPr>
          <w:snapToGrid w:val="0"/>
        </w:rPr>
        <w:tab/>
      </w:r>
      <w:r>
        <w:rPr>
          <w:rStyle w:val="CharSClsNo"/>
        </w:rPr>
        <w:t>Common</w:t>
      </w:r>
      <w:r>
        <w:rPr>
          <w:snapToGrid w:val="0"/>
        </w:rPr>
        <w:t xml:space="preserve"> seal</w:t>
      </w:r>
      <w:bookmarkEnd w:id="352"/>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No. 58 of 1995 s. 87(6).]</w:t>
      </w:r>
    </w:p>
    <w:p>
      <w:pPr>
        <w:pStyle w:val="yEdnotedivision"/>
      </w:pPr>
      <w:r>
        <w:t>[Part II deleted: No. 58 of 1995 s. 87(7).]</w:t>
      </w:r>
    </w:p>
    <w:p>
      <w:pPr>
        <w:pStyle w:val="yScheduleHeading"/>
        <w:outlineLvl w:val="0"/>
      </w:pPr>
      <w:bookmarkStart w:id="353" w:name="_Toc525288682"/>
      <w:bookmarkStart w:id="354" w:name="_Toc530554718"/>
      <w:bookmarkStart w:id="355" w:name="_Toc530555054"/>
      <w:r>
        <w:rPr>
          <w:rStyle w:val="CharSchNo"/>
        </w:rPr>
        <w:t>Schedule 2</w:t>
      </w:r>
      <w:r>
        <w:t> — </w:t>
      </w:r>
      <w:r>
        <w:rPr>
          <w:rStyle w:val="CharSchText"/>
        </w:rPr>
        <w:t>Schedule 2 by-laws</w:t>
      </w:r>
      <w:bookmarkEnd w:id="353"/>
      <w:bookmarkEnd w:id="354"/>
      <w:bookmarkEnd w:id="355"/>
    </w:p>
    <w:p>
      <w:pPr>
        <w:pStyle w:val="yShoulderClause"/>
        <w:spacing w:before="80"/>
        <w:rPr>
          <w:snapToGrid w:val="0"/>
        </w:rPr>
      </w:pPr>
      <w:r>
        <w:rPr>
          <w:snapToGrid w:val="0"/>
        </w:rPr>
        <w:t>[s.</w:t>
      </w:r>
      <w:r>
        <w:t> </w:t>
      </w:r>
      <w:r>
        <w:rPr>
          <w:snapToGrid w:val="0"/>
        </w:rPr>
        <w:t>42(2)]</w:t>
      </w:r>
    </w:p>
    <w:p>
      <w:pPr>
        <w:pStyle w:val="yFootnoteheading"/>
      </w:pPr>
      <w:r>
        <w:tab/>
        <w:t>[Heading amended: No. 19 of 2010 s. 4.]</w:t>
      </w:r>
    </w:p>
    <w:p>
      <w:pPr>
        <w:pStyle w:val="yEdnotedivision"/>
      </w:pPr>
      <w:r>
        <w:t>[Heading deleted: No. 58 of 1995 s. 88(1)(b).]</w:t>
      </w:r>
    </w:p>
    <w:p>
      <w:pPr>
        <w:pStyle w:val="yHeading5"/>
        <w:outlineLvl w:val="0"/>
        <w:rPr>
          <w:snapToGrid w:val="0"/>
        </w:rPr>
      </w:pPr>
      <w:bookmarkStart w:id="356" w:name="_Toc530555055"/>
      <w:r>
        <w:rPr>
          <w:rStyle w:val="CharSClsNo"/>
        </w:rPr>
        <w:t>1</w:t>
      </w:r>
      <w:r>
        <w:rPr>
          <w:snapToGrid w:val="0"/>
        </w:rPr>
        <w:t>.</w:t>
      </w:r>
      <w:r>
        <w:rPr>
          <w:snapToGrid w:val="0"/>
        </w:rPr>
        <w:tab/>
        <w:t>Vehicles</w:t>
      </w:r>
      <w:bookmarkEnd w:id="356"/>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357" w:name="_Toc530555056"/>
      <w:r>
        <w:rPr>
          <w:rStyle w:val="CharSClsNo"/>
        </w:rPr>
        <w:t>2</w:t>
      </w:r>
      <w:r>
        <w:rPr>
          <w:snapToGrid w:val="0"/>
        </w:rPr>
        <w:t>.</w:t>
      </w:r>
      <w:r>
        <w:rPr>
          <w:snapToGrid w:val="0"/>
        </w:rPr>
        <w:tab/>
        <w:t>Obstruction of common property</w:t>
      </w:r>
      <w:bookmarkEnd w:id="357"/>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358" w:name="_Toc530555057"/>
      <w:r>
        <w:rPr>
          <w:rStyle w:val="CharSClsNo"/>
        </w:rPr>
        <w:t>3</w:t>
      </w:r>
      <w:r>
        <w:rPr>
          <w:snapToGrid w:val="0"/>
        </w:rPr>
        <w:t>.</w:t>
      </w:r>
      <w:r>
        <w:rPr>
          <w:snapToGrid w:val="0"/>
        </w:rPr>
        <w:tab/>
        <w:t>Damage to lawns etc. on common property</w:t>
      </w:r>
      <w:bookmarkEnd w:id="358"/>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359" w:name="_Toc530555058"/>
      <w:r>
        <w:rPr>
          <w:rStyle w:val="CharSClsNo"/>
        </w:rPr>
        <w:t>4</w:t>
      </w:r>
      <w:r>
        <w:rPr>
          <w:snapToGrid w:val="0"/>
        </w:rPr>
        <w:t>.</w:t>
      </w:r>
      <w:r>
        <w:rPr>
          <w:snapToGrid w:val="0"/>
        </w:rPr>
        <w:tab/>
        <w:t>Behaviour of proprietors and occupiers</w:t>
      </w:r>
      <w:bookmarkEnd w:id="359"/>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360" w:name="_Toc530555059"/>
      <w:r>
        <w:rPr>
          <w:rStyle w:val="CharSClsNo"/>
        </w:rPr>
        <w:t>5</w:t>
      </w:r>
      <w:r>
        <w:rPr>
          <w:snapToGrid w:val="0"/>
        </w:rPr>
        <w:t>.</w:t>
      </w:r>
      <w:r>
        <w:rPr>
          <w:snapToGrid w:val="0"/>
        </w:rPr>
        <w:tab/>
        <w:t>Children playing upon common property in building</w:t>
      </w:r>
      <w:bookmarkEnd w:id="360"/>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361" w:name="_Toc530555060"/>
      <w:r>
        <w:rPr>
          <w:rStyle w:val="CharSClsNo"/>
        </w:rPr>
        <w:t>6</w:t>
      </w:r>
      <w:r>
        <w:rPr>
          <w:snapToGrid w:val="0"/>
        </w:rPr>
        <w:t>.</w:t>
      </w:r>
      <w:r>
        <w:rPr>
          <w:snapToGrid w:val="0"/>
        </w:rPr>
        <w:tab/>
        <w:t>Depositing rubbish etc. on common property</w:t>
      </w:r>
      <w:bookmarkEnd w:id="361"/>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No. 58 of 1995 s. 88(2).]</w:t>
      </w:r>
    </w:p>
    <w:p>
      <w:pPr>
        <w:pStyle w:val="yHeading5"/>
        <w:outlineLvl w:val="0"/>
        <w:rPr>
          <w:snapToGrid w:val="0"/>
        </w:rPr>
      </w:pPr>
      <w:bookmarkStart w:id="362" w:name="_Toc530555061"/>
      <w:r>
        <w:rPr>
          <w:rStyle w:val="CharSClsNo"/>
        </w:rPr>
        <w:t>7</w:t>
      </w:r>
      <w:r>
        <w:rPr>
          <w:snapToGrid w:val="0"/>
        </w:rPr>
        <w:t>.</w:t>
      </w:r>
      <w:r>
        <w:rPr>
          <w:snapToGrid w:val="0"/>
        </w:rPr>
        <w:tab/>
        <w:t>Drying of laundry items</w:t>
      </w:r>
      <w:bookmarkEnd w:id="362"/>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No. 58 of 1995 s. 88(3).]</w:t>
      </w:r>
    </w:p>
    <w:p>
      <w:pPr>
        <w:pStyle w:val="yHeading5"/>
        <w:outlineLvl w:val="0"/>
        <w:rPr>
          <w:snapToGrid w:val="0"/>
        </w:rPr>
      </w:pPr>
      <w:bookmarkStart w:id="363" w:name="_Toc530555062"/>
      <w:r>
        <w:rPr>
          <w:rStyle w:val="CharSClsNo"/>
        </w:rPr>
        <w:t>8</w:t>
      </w:r>
      <w:r>
        <w:rPr>
          <w:snapToGrid w:val="0"/>
        </w:rPr>
        <w:t>.</w:t>
      </w:r>
      <w:r>
        <w:rPr>
          <w:snapToGrid w:val="0"/>
        </w:rPr>
        <w:tab/>
        <w:t>Storage of inflammable liquids etc.</w:t>
      </w:r>
      <w:bookmarkEnd w:id="363"/>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w:t>
      </w:r>
    </w:p>
    <w:p>
      <w:pPr>
        <w:pStyle w:val="yHeading5"/>
        <w:outlineLvl w:val="0"/>
        <w:rPr>
          <w:snapToGrid w:val="0"/>
        </w:rPr>
      </w:pPr>
      <w:bookmarkStart w:id="364" w:name="_Toc530555063"/>
      <w:r>
        <w:rPr>
          <w:rStyle w:val="CharSClsNo"/>
        </w:rPr>
        <w:t>9</w:t>
      </w:r>
      <w:r>
        <w:rPr>
          <w:snapToGrid w:val="0"/>
        </w:rPr>
        <w:t>.</w:t>
      </w:r>
      <w:r>
        <w:rPr>
          <w:snapToGrid w:val="0"/>
        </w:rPr>
        <w:tab/>
        <w:t>Moving furniture etc. on or through common property</w:t>
      </w:r>
      <w:bookmarkEnd w:id="364"/>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No. 58 of 1995 s. 88(4).]</w:t>
      </w:r>
    </w:p>
    <w:p>
      <w:pPr>
        <w:pStyle w:val="yHeading5"/>
        <w:outlineLvl w:val="0"/>
        <w:rPr>
          <w:snapToGrid w:val="0"/>
        </w:rPr>
      </w:pPr>
      <w:bookmarkStart w:id="365" w:name="_Toc530555064"/>
      <w:r>
        <w:rPr>
          <w:rStyle w:val="CharSClsNo"/>
        </w:rPr>
        <w:t>10</w:t>
      </w:r>
      <w:r>
        <w:rPr>
          <w:snapToGrid w:val="0"/>
        </w:rPr>
        <w:t>.</w:t>
      </w:r>
      <w:r>
        <w:rPr>
          <w:snapToGrid w:val="0"/>
        </w:rPr>
        <w:tab/>
        <w:t>Floor coverings</w:t>
      </w:r>
      <w:bookmarkEnd w:id="365"/>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No. 58 of 1995 s. 88(4).]</w:t>
      </w:r>
    </w:p>
    <w:p>
      <w:pPr>
        <w:pStyle w:val="yHeading5"/>
        <w:outlineLvl w:val="0"/>
        <w:rPr>
          <w:snapToGrid w:val="0"/>
        </w:rPr>
      </w:pPr>
      <w:bookmarkStart w:id="366" w:name="_Toc530555065"/>
      <w:r>
        <w:rPr>
          <w:rStyle w:val="CharSClsNo"/>
        </w:rPr>
        <w:t>11</w:t>
      </w:r>
      <w:r>
        <w:rPr>
          <w:snapToGrid w:val="0"/>
        </w:rPr>
        <w:t>.</w:t>
      </w:r>
      <w:r>
        <w:rPr>
          <w:snapToGrid w:val="0"/>
        </w:rPr>
        <w:tab/>
        <w:t>Garbage disposal</w:t>
      </w:r>
      <w:bookmarkEnd w:id="366"/>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No. 58 of 1995 s. 88(4); amended: No. 57 of 1997 s. 115(5).]</w:t>
      </w:r>
    </w:p>
    <w:p>
      <w:pPr>
        <w:pStyle w:val="yHeading5"/>
        <w:outlineLvl w:val="0"/>
        <w:rPr>
          <w:snapToGrid w:val="0"/>
        </w:rPr>
      </w:pPr>
      <w:bookmarkStart w:id="367" w:name="_Toc530555066"/>
      <w:r>
        <w:rPr>
          <w:rStyle w:val="CharSClsNo"/>
        </w:rPr>
        <w:t>12</w:t>
      </w:r>
      <w:r>
        <w:rPr>
          <w:snapToGrid w:val="0"/>
        </w:rPr>
        <w:t>.</w:t>
      </w:r>
      <w:r>
        <w:rPr>
          <w:snapToGrid w:val="0"/>
        </w:rPr>
        <w:tab/>
        <w:t>Additional duties of proprietors, occupiers etc.</w:t>
      </w:r>
      <w:bookmarkEnd w:id="367"/>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No. 58 of 1995 s. 88(5); amended: No. 74 of 2003 s. 112(22).]</w:t>
      </w:r>
    </w:p>
    <w:p>
      <w:pPr>
        <w:pStyle w:val="yHeading5"/>
        <w:outlineLvl w:val="0"/>
        <w:rPr>
          <w:snapToGrid w:val="0"/>
        </w:rPr>
      </w:pPr>
      <w:bookmarkStart w:id="368" w:name="_Toc530555067"/>
      <w:r>
        <w:rPr>
          <w:rStyle w:val="CharSClsNo"/>
        </w:rPr>
        <w:t>13</w:t>
      </w:r>
      <w:r>
        <w:rPr>
          <w:snapToGrid w:val="0"/>
        </w:rPr>
        <w:t>.</w:t>
      </w:r>
      <w:r>
        <w:rPr>
          <w:snapToGrid w:val="0"/>
        </w:rPr>
        <w:tab/>
        <w:t>Notice of alteration to lot</w:t>
      </w:r>
      <w:bookmarkEnd w:id="368"/>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w:t>
      </w:r>
    </w:p>
    <w:p>
      <w:pPr>
        <w:pStyle w:val="yHeading5"/>
        <w:outlineLvl w:val="0"/>
        <w:rPr>
          <w:snapToGrid w:val="0"/>
        </w:rPr>
      </w:pPr>
      <w:bookmarkStart w:id="369" w:name="_Toc530555068"/>
      <w:r>
        <w:rPr>
          <w:rStyle w:val="CharSClsNo"/>
        </w:rPr>
        <w:t>14</w:t>
      </w:r>
      <w:r>
        <w:rPr>
          <w:snapToGrid w:val="0"/>
        </w:rPr>
        <w:t>.</w:t>
      </w:r>
      <w:r>
        <w:rPr>
          <w:snapToGrid w:val="0"/>
        </w:rPr>
        <w:tab/>
        <w:t>Appearance of lot</w:t>
      </w:r>
      <w:bookmarkEnd w:id="369"/>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71" w:name="_Toc525288697"/>
      <w:bookmarkStart w:id="372" w:name="_Toc530554733"/>
      <w:bookmarkStart w:id="373" w:name="_Toc530555069"/>
      <w:r>
        <w:rPr>
          <w:rStyle w:val="CharSchNo"/>
        </w:rPr>
        <w:t>Schedule 2A</w:t>
      </w:r>
      <w:r>
        <w:t> — </w:t>
      </w:r>
      <w:r>
        <w:rPr>
          <w:rStyle w:val="CharSchText"/>
        </w:rPr>
        <w:t>Matters that may be provided for in management statement</w:t>
      </w:r>
      <w:bookmarkEnd w:id="371"/>
      <w:bookmarkEnd w:id="372"/>
      <w:bookmarkEnd w:id="373"/>
    </w:p>
    <w:p>
      <w:pPr>
        <w:pStyle w:val="yShoulderClause"/>
        <w:rPr>
          <w:snapToGrid w:val="0"/>
        </w:rPr>
      </w:pPr>
      <w:r>
        <w:rPr>
          <w:snapToGrid w:val="0"/>
        </w:rPr>
        <w:t>[s. 5C and 42]</w:t>
      </w:r>
    </w:p>
    <w:p>
      <w:pPr>
        <w:pStyle w:val="yFootnoteheading"/>
        <w:rPr>
          <w:snapToGrid w:val="0"/>
        </w:rPr>
      </w:pPr>
      <w:r>
        <w:rPr>
          <w:snapToGrid w:val="0"/>
        </w:rPr>
        <w:tab/>
        <w:t>[Heading inserted: No. 58 of 1995 s. 89; amended: No. 19 of 2010 s. 4.]</w:t>
      </w:r>
    </w:p>
    <w:p>
      <w:pPr>
        <w:pStyle w:val="yMiscellaneousBody"/>
        <w:tabs>
          <w:tab w:val="left" w:pos="567"/>
        </w:tabs>
        <w:ind w:left="567" w:hanging="567"/>
        <w:rPr>
          <w:snapToGrid w:val="0"/>
        </w:rPr>
      </w:pPr>
      <w:r>
        <w:rPr>
          <w:snapToGrid w:val="0"/>
        </w:rPr>
        <w:t>1.</w:t>
      </w:r>
      <w:r>
        <w:rPr>
          <w:snapToGrid w:val="0"/>
        </w:rPr>
        <w:tab/>
        <w:t>The amendment or repeal of a by</w:t>
      </w:r>
      <w:r>
        <w:rPr>
          <w:snapToGrid w:val="0"/>
        </w:rPr>
        <w:noBreakHyphen/>
        <w:t>law contained in Schedule 1.</w:t>
      </w:r>
    </w:p>
    <w:p>
      <w:pPr>
        <w:pStyle w:val="yMiscellaneousBody"/>
        <w:tabs>
          <w:tab w:val="left" w:pos="567"/>
        </w:tabs>
        <w:ind w:left="567" w:hanging="567"/>
        <w:rPr>
          <w:snapToGrid w:val="0"/>
        </w:rPr>
      </w:pPr>
      <w:r>
        <w:rPr>
          <w:snapToGrid w:val="0"/>
        </w:rPr>
        <w:t>2.</w:t>
      </w:r>
      <w:r>
        <w:rPr>
          <w:snapToGrid w:val="0"/>
        </w:rPr>
        <w:tab/>
        <w:t>The amendment or repeal of a by</w:t>
      </w:r>
      <w:r>
        <w:rPr>
          <w:snapToGrid w:val="0"/>
        </w:rPr>
        <w:noBreakHyphen/>
        <w:t>law contained in Schedule 2.</w:t>
      </w:r>
    </w:p>
    <w:p>
      <w:pPr>
        <w:pStyle w:val="yMiscellaneousBody"/>
        <w:tabs>
          <w:tab w:val="left" w:pos="567"/>
        </w:tabs>
        <w:ind w:left="567" w:hanging="567"/>
        <w:rPr>
          <w:snapToGrid w:val="0"/>
        </w:rPr>
      </w:pPr>
      <w:r>
        <w:rPr>
          <w:snapToGrid w:val="0"/>
        </w:rPr>
        <w:t>3.</w:t>
      </w:r>
      <w:r>
        <w:rPr>
          <w:snapToGrid w:val="0"/>
        </w:rPr>
        <w:tab/>
        <w:t>Any additional by</w:t>
      </w:r>
      <w:r>
        <w:rPr>
          <w:snapToGrid w:val="0"/>
        </w:rPr>
        <w:noBreakHyphen/>
        <w:t>law that may be made under section 42.</w:t>
      </w:r>
    </w:p>
    <w:p>
      <w:pPr>
        <w:pStyle w:val="yMiscellaneousBody"/>
        <w:tabs>
          <w:tab w:val="left" w:pos="567"/>
        </w:tabs>
        <w:ind w:left="567" w:hanging="567"/>
        <w:rPr>
          <w:snapToGrid w:val="0"/>
        </w:rPr>
      </w:pPr>
      <w:r>
        <w:rPr>
          <w:snapToGrid w:val="0"/>
        </w:rPr>
        <w:t>4.</w:t>
      </w:r>
      <w:r>
        <w:rPr>
          <w:snapToGrid w:val="0"/>
        </w:rPr>
        <w:tab/>
        <w:t>The control or preservation of the essence or theme of the development under the scheme.</w:t>
      </w:r>
    </w:p>
    <w:p>
      <w:pPr>
        <w:pStyle w:val="yMiscellaneousBody"/>
        <w:tabs>
          <w:tab w:val="left" w:pos="567"/>
        </w:tabs>
        <w:ind w:left="567" w:hanging="567"/>
        <w:rPr>
          <w:snapToGrid w:val="0"/>
        </w:rPr>
      </w:pPr>
      <w:r>
        <w:rPr>
          <w:snapToGrid w:val="0"/>
        </w:rPr>
        <w:t>5.</w:t>
      </w:r>
      <w:r>
        <w:rPr>
          <w:snapToGrid w:val="0"/>
        </w:rPr>
        <w:tab/>
        <w:t>Architectural and landscaping guidelines to be observed by proprietors.</w:t>
      </w:r>
    </w:p>
    <w:p>
      <w:pPr>
        <w:pStyle w:val="yMiscellaneousBody"/>
        <w:tabs>
          <w:tab w:val="left" w:pos="567"/>
        </w:tabs>
        <w:ind w:left="567" w:hanging="567"/>
        <w:rPr>
          <w:snapToGrid w:val="0"/>
        </w:rPr>
      </w:pPr>
      <w:r>
        <w:rPr>
          <w:snapToGrid w:val="0"/>
        </w:rPr>
        <w:t>6.</w:t>
      </w:r>
      <w:r>
        <w:rPr>
          <w:snapToGrid w:val="0"/>
        </w:rPr>
        <w:tab/>
        <w:t>Plot ratio restrictions and open space requirements.</w:t>
      </w:r>
    </w:p>
    <w:p>
      <w:pPr>
        <w:pStyle w:val="yMiscellaneousBody"/>
        <w:tabs>
          <w:tab w:val="left" w:pos="567"/>
        </w:tabs>
        <w:ind w:left="567" w:hanging="567"/>
        <w:rPr>
          <w:snapToGrid w:val="0"/>
        </w:rPr>
      </w:pPr>
      <w:r>
        <w:rPr>
          <w:snapToGrid w:val="0"/>
        </w:rPr>
        <w:t>7.</w:t>
      </w:r>
      <w:r>
        <w:rPr>
          <w:snapToGrid w:val="0"/>
        </w:rPr>
        <w:tab/>
        <w:t>The control, management, use and maintenance of any part of the common property, including any special facilities provided on the common property.</w:t>
      </w:r>
    </w:p>
    <w:p>
      <w:pPr>
        <w:pStyle w:val="yMiscellaneousBody"/>
        <w:tabs>
          <w:tab w:val="left" w:pos="567"/>
        </w:tabs>
        <w:ind w:left="567" w:hanging="567"/>
        <w:rPr>
          <w:snapToGrid w:val="0"/>
        </w:rPr>
      </w:pPr>
      <w:r>
        <w:rPr>
          <w:snapToGrid w:val="0"/>
        </w:rPr>
        <w:t>8.</w:t>
      </w:r>
      <w:r>
        <w:rPr>
          <w:snapToGrid w:val="0"/>
        </w:rPr>
        <w:tab/>
        <w:t>Provisions relating to any proposed re</w:t>
      </w:r>
      <w:r>
        <w:rPr>
          <w:snapToGrid w:val="0"/>
        </w:rPr>
        <w:noBreakHyphen/>
        <w:t>subdivision in a scheme being provisions that —</w:t>
      </w:r>
    </w:p>
    <w:p>
      <w:pPr>
        <w:pStyle w:val="yMiscellaneousBody"/>
        <w:tabs>
          <w:tab w:val="left" w:pos="709"/>
          <w:tab w:val="left" w:pos="1134"/>
        </w:tabs>
        <w:ind w:left="1134" w:hanging="1134"/>
        <w:rPr>
          <w:snapToGrid w:val="0"/>
        </w:rPr>
      </w:pPr>
      <w:r>
        <w:rPr>
          <w:snapToGrid w:val="0"/>
        </w:rPr>
        <w:tab/>
        <w:t>(a)</w:t>
      </w:r>
      <w:r>
        <w:rPr>
          <w:snapToGrid w:val="0"/>
        </w:rPr>
        <w:tab/>
        <w:t>comply with the requirements of section 8A(b) and (c) and any other prescribed requirements; and</w:t>
      </w:r>
    </w:p>
    <w:p>
      <w:pPr>
        <w:pStyle w:val="yMiscellaneousBody"/>
        <w:tabs>
          <w:tab w:val="left" w:pos="709"/>
          <w:tab w:val="left" w:pos="1134"/>
        </w:tabs>
        <w:ind w:left="1134" w:hanging="1134"/>
        <w:rPr>
          <w:snapToGrid w:val="0"/>
        </w:rPr>
      </w:pPr>
      <w:r>
        <w:rPr>
          <w:snapToGrid w:val="0"/>
        </w:rPr>
        <w:tab/>
        <w:t>(b)</w:t>
      </w:r>
      <w:r>
        <w:rPr>
          <w:snapToGrid w:val="0"/>
        </w:rPr>
        <w:tab/>
        <w:t>state the proposed unit entitlement of each lot and the proposed aggregate unit entitlement of the scheme following the completion of all proposed re</w:t>
      </w:r>
      <w:r>
        <w:rPr>
          <w:snapToGrid w:val="0"/>
        </w:rPr>
        <w:noBreakHyphen/>
        <w:t>subdivisions in the scheme.</w:t>
      </w:r>
    </w:p>
    <w:p>
      <w:pPr>
        <w:pStyle w:val="yMiscellaneousBody"/>
        <w:tabs>
          <w:tab w:val="left" w:pos="567"/>
        </w:tabs>
        <w:ind w:left="567" w:hanging="567"/>
        <w:rPr>
          <w:snapToGrid w:val="0"/>
        </w:rPr>
      </w:pPr>
      <w:r>
        <w:rPr>
          <w:snapToGrid w:val="0"/>
        </w:rPr>
        <w:t>9.</w:t>
      </w:r>
      <w:r>
        <w:rPr>
          <w:snapToGrid w:val="0"/>
        </w:rPr>
        <w:tab/>
        <w:t>Matters affecting the provision of, and payment for —</w:t>
      </w:r>
    </w:p>
    <w:p>
      <w:pPr>
        <w:pStyle w:val="yMiscellaneousBody"/>
        <w:tabs>
          <w:tab w:val="left" w:pos="709"/>
          <w:tab w:val="left" w:pos="1134"/>
        </w:tabs>
        <w:ind w:left="1134" w:hanging="1134"/>
        <w:rPr>
          <w:snapToGrid w:val="0"/>
        </w:rPr>
      </w:pPr>
      <w:r>
        <w:rPr>
          <w:snapToGrid w:val="0"/>
        </w:rPr>
        <w:tab/>
        <w:t>(a)</w:t>
      </w:r>
      <w:r>
        <w:rPr>
          <w:snapToGrid w:val="0"/>
        </w:rPr>
        <w:tab/>
        <w:t>internal fencing on the parcel; or</w:t>
      </w:r>
    </w:p>
    <w:p>
      <w:pPr>
        <w:pStyle w:val="yMiscellaneousBody"/>
        <w:tabs>
          <w:tab w:val="left" w:pos="709"/>
          <w:tab w:val="left" w:pos="1134"/>
        </w:tabs>
        <w:ind w:left="1134" w:hanging="1134"/>
        <w:rPr>
          <w:snapToGrid w:val="0"/>
        </w:rPr>
      </w:pPr>
      <w:r>
        <w:rPr>
          <w:snapToGrid w:val="0"/>
        </w:rPr>
        <w:tab/>
        <w:t>(b)</w:t>
      </w:r>
      <w:r>
        <w:rPr>
          <w:snapToGrid w:val="0"/>
        </w:rPr>
        <w:tab/>
        <w:t>fencing to which the Dividing Fences Act 1961 applies,</w:t>
      </w:r>
    </w:p>
    <w:p>
      <w:pPr>
        <w:pStyle w:val="yMiscellaneousBody"/>
        <w:tabs>
          <w:tab w:val="left" w:pos="567"/>
        </w:tabs>
        <w:ind w:left="567" w:hanging="567"/>
        <w:rPr>
          <w:snapToGrid w:val="0"/>
        </w:rPr>
      </w:pPr>
      <w:r>
        <w:rPr>
          <w:snapToGrid w:val="0"/>
        </w:rPr>
        <w:tab/>
        <w:t>including any obligations of the strata company.</w:t>
      </w:r>
    </w:p>
    <w:p>
      <w:pPr>
        <w:pStyle w:val="yMiscellaneousBody"/>
        <w:tabs>
          <w:tab w:val="left" w:pos="567"/>
        </w:tabs>
        <w:ind w:left="567" w:hanging="567"/>
        <w:rPr>
          <w:snapToGrid w:val="0"/>
        </w:rPr>
      </w:pPr>
      <w:r>
        <w:rPr>
          <w:snapToGrid w:val="0"/>
        </w:rPr>
        <w:t>10.</w:t>
      </w:r>
      <w:r>
        <w:rPr>
          <w:snapToGrid w:val="0"/>
        </w:rPr>
        <w:tab/>
        <w:t>The maintenance of water, sewerage, drainage, gas, electricity, telephone and other services.</w:t>
      </w:r>
    </w:p>
    <w:p>
      <w:pPr>
        <w:pStyle w:val="yMiscellaneousBody"/>
        <w:keepNext/>
        <w:tabs>
          <w:tab w:val="left" w:pos="567"/>
        </w:tabs>
        <w:ind w:left="567" w:hanging="567"/>
        <w:rPr>
          <w:snapToGrid w:val="0"/>
        </w:rPr>
      </w:pPr>
      <w:r>
        <w:rPr>
          <w:snapToGrid w:val="0"/>
        </w:rPr>
        <w:t>11.</w:t>
      </w:r>
      <w:r>
        <w:rPr>
          <w:snapToGrid w:val="0"/>
        </w:rPr>
        <w:tab/>
        <w:t>Insurance of the common property.</w:t>
      </w:r>
    </w:p>
    <w:p>
      <w:pPr>
        <w:pStyle w:val="yMiscellaneousBody"/>
        <w:tabs>
          <w:tab w:val="left" w:pos="567"/>
        </w:tabs>
        <w:ind w:left="567" w:hanging="567"/>
        <w:rPr>
          <w:snapToGrid w:val="0"/>
        </w:rPr>
      </w:pPr>
      <w:r>
        <w:rPr>
          <w:snapToGrid w:val="0"/>
        </w:rPr>
        <w:t>12.</w:t>
      </w:r>
      <w:r>
        <w:rPr>
          <w:snapToGrid w:val="0"/>
        </w:rPr>
        <w:tab/>
        <w:t>Safety and security.</w:t>
      </w:r>
    </w:p>
    <w:p>
      <w:pPr>
        <w:pStyle w:val="yMiscellaneousBody"/>
        <w:tabs>
          <w:tab w:val="left" w:pos="567"/>
        </w:tabs>
        <w:ind w:left="567" w:hanging="567"/>
        <w:rPr>
          <w:snapToGrid w:val="0"/>
        </w:rPr>
      </w:pPr>
      <w:r>
        <w:rPr>
          <w:snapToGrid w:val="0"/>
        </w:rPr>
        <w:t>13.</w:t>
      </w:r>
      <w:r>
        <w:rPr>
          <w:snapToGrid w:val="0"/>
        </w:rPr>
        <w:tab/>
        <w:t>The carrying on of any business or trading activity by the strata company, and the method of distributing and sharing any profit or loss.</w:t>
      </w:r>
    </w:p>
    <w:p>
      <w:pPr>
        <w:pStyle w:val="yMiscellaneousBody"/>
        <w:tabs>
          <w:tab w:val="left" w:pos="567"/>
        </w:tabs>
        <w:ind w:left="567" w:hanging="567"/>
        <w:rPr>
          <w:snapToGrid w:val="0"/>
        </w:rPr>
      </w:pPr>
      <w:r>
        <w:rPr>
          <w:snapToGrid w:val="0"/>
        </w:rPr>
        <w:t>14.</w:t>
      </w:r>
      <w:r>
        <w:rPr>
          <w:snapToGrid w:val="0"/>
        </w:rPr>
        <w:tab/>
        <w:t>Procedures to be followed for the resolution of disputes as a prerequisite to the making of an application to the State Administrative Tribunal for relief under this Act.</w:t>
      </w:r>
    </w:p>
    <w:p>
      <w:pPr>
        <w:pStyle w:val="yFootnotesection"/>
        <w:tabs>
          <w:tab w:val="clear" w:pos="893"/>
        </w:tabs>
        <w:ind w:left="0" w:firstLine="0"/>
      </w:pPr>
      <w:r>
        <w:t>[Schedule 2A inserted: No. 58 of 1995 s. 89; amended: No. 61 of 1996 s. 38; No. 55 of 2004 s. 1156(3).]</w:t>
      </w:r>
    </w:p>
    <w:p>
      <w:pPr>
        <w:pStyle w:val="yScheduleHeading"/>
        <w:outlineLvl w:val="0"/>
      </w:pPr>
      <w:bookmarkStart w:id="374" w:name="_Toc525288698"/>
      <w:bookmarkStart w:id="375" w:name="_Toc530554734"/>
      <w:bookmarkStart w:id="376" w:name="_Toc530555070"/>
      <w:r>
        <w:rPr>
          <w:rStyle w:val="CharSchNo"/>
        </w:rPr>
        <w:t>Schedule 3</w:t>
      </w:r>
      <w:r>
        <w:t> — </w:t>
      </w:r>
      <w:r>
        <w:rPr>
          <w:rStyle w:val="CharSchText"/>
        </w:rPr>
        <w:t>Transitional and savings provisions</w:t>
      </w:r>
      <w:bookmarkEnd w:id="374"/>
      <w:bookmarkEnd w:id="375"/>
      <w:bookmarkEnd w:id="376"/>
    </w:p>
    <w:p>
      <w:pPr>
        <w:pStyle w:val="yShoulderClause"/>
        <w:spacing w:before="100"/>
        <w:rPr>
          <w:snapToGrid w:val="0"/>
        </w:rPr>
      </w:pPr>
      <w:r>
        <w:rPr>
          <w:snapToGrid w:val="0"/>
        </w:rPr>
        <w:t>[s. 132]</w:t>
      </w:r>
    </w:p>
    <w:p>
      <w:pPr>
        <w:pStyle w:val="yFootnoteheading"/>
        <w:spacing w:before="60"/>
      </w:pPr>
      <w:r>
        <w:tab/>
        <w:t>[Heading amended: No. 19 of 2010 s. 4.]</w:t>
      </w:r>
    </w:p>
    <w:p>
      <w:pPr>
        <w:pStyle w:val="yHeading5"/>
        <w:outlineLvl w:val="0"/>
        <w:rPr>
          <w:snapToGrid w:val="0"/>
        </w:rPr>
      </w:pPr>
      <w:bookmarkStart w:id="377" w:name="_Toc530555071"/>
      <w:r>
        <w:rPr>
          <w:rStyle w:val="CharSClsNo"/>
        </w:rPr>
        <w:t>1</w:t>
      </w:r>
      <w:r>
        <w:rPr>
          <w:snapToGrid w:val="0"/>
        </w:rPr>
        <w:t>.</w:t>
      </w:r>
      <w:r>
        <w:rPr>
          <w:snapToGrid w:val="0"/>
        </w:rPr>
        <w:tab/>
        <w:t>Terms used</w:t>
      </w:r>
      <w:bookmarkEnd w:id="377"/>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378" w:name="_Toc530555072"/>
      <w:r>
        <w:rPr>
          <w:rStyle w:val="CharSClsNo"/>
        </w:rPr>
        <w:t>2</w:t>
      </w:r>
      <w:r>
        <w:rPr>
          <w:snapToGrid w:val="0"/>
        </w:rPr>
        <w:t>.</w:t>
      </w:r>
      <w:r>
        <w:rPr>
          <w:snapToGrid w:val="0"/>
        </w:rPr>
        <w:tab/>
        <w:t>Registration of unregistered former strata plans</w:t>
      </w:r>
      <w:bookmarkEnd w:id="378"/>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outlineLvl w:val="0"/>
        <w:rPr>
          <w:snapToGrid w:val="0"/>
        </w:rPr>
      </w:pPr>
      <w:bookmarkStart w:id="379" w:name="_Toc530555073"/>
      <w:r>
        <w:rPr>
          <w:rStyle w:val="CharSClsNo"/>
        </w:rPr>
        <w:t>3</w:t>
      </w:r>
      <w:r>
        <w:rPr>
          <w:snapToGrid w:val="0"/>
        </w:rPr>
        <w:t>.</w:t>
      </w:r>
      <w:r>
        <w:rPr>
          <w:snapToGrid w:val="0"/>
        </w:rPr>
        <w:tab/>
        <w:t>Former lots and former common property to be derived lots and derived common property</w:t>
      </w:r>
      <w:bookmarkEnd w:id="379"/>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380" w:name="_Toc530555074"/>
      <w:r>
        <w:rPr>
          <w:rStyle w:val="CharSClsNo"/>
        </w:rPr>
        <w:t>4</w:t>
      </w:r>
      <w:r>
        <w:rPr>
          <w:snapToGrid w:val="0"/>
        </w:rPr>
        <w:t>.</w:t>
      </w:r>
      <w:r>
        <w:rPr>
          <w:snapToGrid w:val="0"/>
        </w:rPr>
        <w:tab/>
        <w:t>Continuation of companies</w:t>
      </w:r>
      <w:bookmarkEnd w:id="380"/>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381" w:name="_Toc530555075"/>
      <w:r>
        <w:rPr>
          <w:rStyle w:val="CharSClsNo"/>
        </w:rPr>
        <w:t>5</w:t>
      </w:r>
      <w:r>
        <w:rPr>
          <w:snapToGrid w:val="0"/>
        </w:rPr>
        <w:t>.</w:t>
      </w:r>
      <w:r>
        <w:rPr>
          <w:snapToGrid w:val="0"/>
        </w:rPr>
        <w:tab/>
        <w:t>Continuation of estates or interests in former lots and former common property and rights in former common property</w:t>
      </w:r>
      <w:bookmarkEnd w:id="381"/>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outlineLvl w:val="0"/>
        <w:rPr>
          <w:snapToGrid w:val="0"/>
        </w:rPr>
      </w:pPr>
      <w:bookmarkStart w:id="382" w:name="_Toc530555076"/>
      <w:r>
        <w:rPr>
          <w:rStyle w:val="CharSClsNo"/>
        </w:rPr>
        <w:t>6</w:t>
      </w:r>
      <w:r>
        <w:rPr>
          <w:snapToGrid w:val="0"/>
        </w:rPr>
        <w:t>.</w:t>
      </w:r>
      <w:r>
        <w:rPr>
          <w:snapToGrid w:val="0"/>
        </w:rPr>
        <w:tab/>
        <w:t>Application of Act to former strata schemes, former parcels, derived lots and common property</w:t>
      </w:r>
      <w:bookmarkEnd w:id="382"/>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383" w:name="_Toc530555077"/>
      <w:r>
        <w:rPr>
          <w:rStyle w:val="CharSClsNo"/>
        </w:rPr>
        <w:t>7</w:t>
      </w:r>
      <w:r>
        <w:rPr>
          <w:snapToGrid w:val="0"/>
        </w:rPr>
        <w:t>.</w:t>
      </w:r>
      <w:r>
        <w:rPr>
          <w:snapToGrid w:val="0"/>
        </w:rPr>
        <w:tab/>
        <w:t>Registration of transfers or leases of derived common property registrable under s. 10 of former Act</w:t>
      </w:r>
      <w:bookmarkEnd w:id="383"/>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outlineLvl w:val="0"/>
        <w:rPr>
          <w:snapToGrid w:val="0"/>
        </w:rPr>
      </w:pPr>
      <w:bookmarkStart w:id="384" w:name="_Toc530555078"/>
      <w:r>
        <w:rPr>
          <w:rStyle w:val="CharSClsNo"/>
        </w:rPr>
        <w:t>8</w:t>
      </w:r>
      <w:r>
        <w:rPr>
          <w:snapToGrid w:val="0"/>
        </w:rPr>
        <w:t>.</w:t>
      </w:r>
      <w:r>
        <w:rPr>
          <w:snapToGrid w:val="0"/>
        </w:rPr>
        <w:tab/>
        <w:t>Reallocation of unit entitlement</w:t>
      </w:r>
      <w:bookmarkEnd w:id="384"/>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385" w:name="_Toc530555079"/>
      <w:r>
        <w:rPr>
          <w:rStyle w:val="CharSClsNo"/>
        </w:rPr>
        <w:t>9</w:t>
      </w:r>
      <w:r>
        <w:rPr>
          <w:snapToGrid w:val="0"/>
        </w:rPr>
        <w:t>.</w:t>
      </w:r>
      <w:r>
        <w:rPr>
          <w:snapToGrid w:val="0"/>
        </w:rPr>
        <w:tab/>
        <w:t>General meetings of certain continued companies</w:t>
      </w:r>
      <w:bookmarkEnd w:id="385"/>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outlineLvl w:val="0"/>
        <w:rPr>
          <w:snapToGrid w:val="0"/>
        </w:rPr>
      </w:pPr>
      <w:bookmarkStart w:id="386" w:name="_Toc530555080"/>
      <w:r>
        <w:rPr>
          <w:rStyle w:val="CharSClsNo"/>
        </w:rPr>
        <w:t>10</w:t>
      </w:r>
      <w:r>
        <w:rPr>
          <w:snapToGrid w:val="0"/>
        </w:rPr>
        <w:t>.</w:t>
      </w:r>
      <w:r>
        <w:rPr>
          <w:snapToGrid w:val="0"/>
        </w:rPr>
        <w:tab/>
        <w:t>Meetings of former companies held within 2 months after appointed day</w:t>
      </w:r>
      <w:bookmarkEnd w:id="386"/>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387" w:name="_Toc530555081"/>
      <w:r>
        <w:rPr>
          <w:rStyle w:val="CharSClsNo"/>
        </w:rPr>
        <w:t>11</w:t>
      </w:r>
      <w:r>
        <w:rPr>
          <w:snapToGrid w:val="0"/>
        </w:rPr>
        <w:t>.</w:t>
      </w:r>
      <w:r>
        <w:rPr>
          <w:snapToGrid w:val="0"/>
        </w:rPr>
        <w:tab/>
        <w:t>Notices served by public or local government authority before appointed day</w:t>
      </w:r>
      <w:bookmarkEnd w:id="387"/>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outlineLvl w:val="0"/>
        <w:rPr>
          <w:snapToGrid w:val="0"/>
        </w:rPr>
      </w:pPr>
      <w:bookmarkStart w:id="388" w:name="_Toc530555082"/>
      <w:r>
        <w:rPr>
          <w:rStyle w:val="CharSClsNo"/>
        </w:rPr>
        <w:t>12</w:t>
      </w:r>
      <w:r>
        <w:rPr>
          <w:snapToGrid w:val="0"/>
        </w:rPr>
        <w:t>.</w:t>
      </w:r>
      <w:r>
        <w:rPr>
          <w:snapToGrid w:val="0"/>
        </w:rPr>
        <w:tab/>
        <w:t>Effect of former by</w:t>
      </w:r>
      <w:r>
        <w:rPr>
          <w:snapToGrid w:val="0"/>
        </w:rPr>
        <w:noBreakHyphen/>
        <w:t>laws</w:t>
      </w:r>
      <w:bookmarkEnd w:id="388"/>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outlineLvl w:val="0"/>
        <w:rPr>
          <w:snapToGrid w:val="0"/>
        </w:rPr>
      </w:pPr>
      <w:bookmarkStart w:id="389" w:name="_Toc530555083"/>
      <w:r>
        <w:rPr>
          <w:rStyle w:val="CharSClsNo"/>
        </w:rPr>
        <w:t>13</w:t>
      </w:r>
      <w:r>
        <w:rPr>
          <w:snapToGrid w:val="0"/>
        </w:rPr>
        <w:t>.</w:t>
      </w:r>
      <w:r>
        <w:rPr>
          <w:snapToGrid w:val="0"/>
        </w:rPr>
        <w:tab/>
        <w:t>Maintenance of exclusive use of, or special privileges in respect of, common property</w:t>
      </w:r>
      <w:bookmarkEnd w:id="389"/>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outlineLvl w:val="0"/>
        <w:rPr>
          <w:snapToGrid w:val="0"/>
        </w:rPr>
      </w:pPr>
      <w:bookmarkStart w:id="390" w:name="_Toc530555084"/>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390"/>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outlineLvl w:val="0"/>
        <w:rPr>
          <w:snapToGrid w:val="0"/>
        </w:rPr>
      </w:pPr>
      <w:bookmarkStart w:id="391" w:name="_Toc530555085"/>
      <w:r>
        <w:rPr>
          <w:rStyle w:val="CharSClsNo"/>
        </w:rPr>
        <w:t>13B</w:t>
      </w:r>
      <w:r>
        <w:rPr>
          <w:snapToGrid w:val="0"/>
        </w:rPr>
        <w:t>.</w:t>
      </w:r>
      <w:r>
        <w:rPr>
          <w:snapToGrid w:val="0"/>
        </w:rPr>
        <w:tab/>
        <w:t>Strata companies to notify proprietors of operation of cl. 13A</w:t>
      </w:r>
      <w:bookmarkEnd w:id="391"/>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outlineLvl w:val="0"/>
        <w:rPr>
          <w:snapToGrid w:val="0"/>
        </w:rPr>
      </w:pPr>
      <w:bookmarkStart w:id="392" w:name="_Toc530555086"/>
      <w:r>
        <w:rPr>
          <w:rStyle w:val="CharSClsNo"/>
        </w:rPr>
        <w:t>14</w:t>
      </w:r>
      <w:r>
        <w:rPr>
          <w:snapToGrid w:val="0"/>
        </w:rPr>
        <w:t>.</w:t>
      </w:r>
      <w:r>
        <w:rPr>
          <w:snapToGrid w:val="0"/>
        </w:rPr>
        <w:tab/>
        <w:t>Recovery of contributions levied under former Acts</w:t>
      </w:r>
      <w:bookmarkEnd w:id="392"/>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393" w:name="_Toc530555087"/>
      <w:r>
        <w:rPr>
          <w:rStyle w:val="CharSClsNo"/>
        </w:rPr>
        <w:t>15</w:t>
      </w:r>
      <w:r>
        <w:rPr>
          <w:snapToGrid w:val="0"/>
        </w:rPr>
        <w:t>.</w:t>
      </w:r>
      <w:r>
        <w:rPr>
          <w:snapToGrid w:val="0"/>
        </w:rPr>
        <w:tab/>
        <w:t>Modification of s. 35(1)(j) in relation to companies</w:t>
      </w:r>
      <w:bookmarkEnd w:id="393"/>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394" w:name="_Toc530555088"/>
      <w:r>
        <w:rPr>
          <w:rStyle w:val="CharSClsNo"/>
        </w:rPr>
        <w:t>16</w:t>
      </w:r>
      <w:r>
        <w:rPr>
          <w:snapToGrid w:val="0"/>
        </w:rPr>
        <w:t>.</w:t>
      </w:r>
      <w:r>
        <w:rPr>
          <w:snapToGrid w:val="0"/>
        </w:rPr>
        <w:tab/>
        <w:t>Inspection of former records etc.</w:t>
      </w:r>
      <w:bookmarkEnd w:id="394"/>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395" w:name="_Toc530555089"/>
      <w:r>
        <w:rPr>
          <w:rStyle w:val="CharSClsNo"/>
        </w:rPr>
        <w:t>17</w:t>
      </w:r>
      <w:r>
        <w:rPr>
          <w:snapToGrid w:val="0"/>
        </w:rPr>
        <w:t>.</w:t>
      </w:r>
      <w:r>
        <w:rPr>
          <w:snapToGrid w:val="0"/>
        </w:rPr>
        <w:tab/>
        <w:t>Administrative funds of continued companies</w:t>
      </w:r>
      <w:bookmarkEnd w:id="395"/>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396" w:name="_Toc530555090"/>
      <w:r>
        <w:rPr>
          <w:rStyle w:val="CharSClsNo"/>
        </w:rPr>
        <w:t>18</w:t>
      </w:r>
      <w:r>
        <w:rPr>
          <w:snapToGrid w:val="0"/>
        </w:rPr>
        <w:t>.</w:t>
      </w:r>
      <w:r>
        <w:rPr>
          <w:snapToGrid w:val="0"/>
        </w:rPr>
        <w:tab/>
        <w:t>Modification of s. 43(1)(c) in relation to continued companies</w:t>
      </w:r>
      <w:bookmarkEnd w:id="396"/>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397" w:name="_Toc530555091"/>
      <w:r>
        <w:rPr>
          <w:rStyle w:val="CharSClsNo"/>
        </w:rPr>
        <w:t>19</w:t>
      </w:r>
      <w:r>
        <w:rPr>
          <w:snapToGrid w:val="0"/>
        </w:rPr>
        <w:t>.</w:t>
      </w:r>
      <w:r>
        <w:rPr>
          <w:snapToGrid w:val="0"/>
        </w:rPr>
        <w:tab/>
        <w:t>Continuation of councils of former companies</w:t>
      </w:r>
      <w:bookmarkEnd w:id="397"/>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outlineLvl w:val="0"/>
        <w:rPr>
          <w:snapToGrid w:val="0"/>
        </w:rPr>
      </w:pPr>
      <w:bookmarkStart w:id="398" w:name="_Toc530555092"/>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398"/>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399" w:name="_Toc530555093"/>
      <w:r>
        <w:rPr>
          <w:rStyle w:val="CharSClsNo"/>
        </w:rPr>
        <w:t>21</w:t>
      </w:r>
      <w:r>
        <w:rPr>
          <w:snapToGrid w:val="0"/>
        </w:rPr>
        <w:t>.</w:t>
      </w:r>
      <w:r>
        <w:rPr>
          <w:snapToGrid w:val="0"/>
        </w:rPr>
        <w:tab/>
      </w:r>
      <w:r>
        <w:rPr>
          <w:rStyle w:val="CharSClsNo"/>
        </w:rPr>
        <w:t>Modification</w:t>
      </w:r>
      <w:r>
        <w:rPr>
          <w:snapToGrid w:val="0"/>
        </w:rPr>
        <w:t xml:space="preserve"> of Part IV Div. 4</w:t>
      </w:r>
      <w:bookmarkEnd w:id="399"/>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400" w:name="_Toc530555094"/>
      <w:r>
        <w:rPr>
          <w:rStyle w:val="CharSClsNo"/>
        </w:rPr>
        <w:t>22</w:t>
      </w:r>
      <w:r>
        <w:rPr>
          <w:snapToGrid w:val="0"/>
        </w:rPr>
        <w:t>.</w:t>
      </w:r>
      <w:r>
        <w:rPr>
          <w:snapToGrid w:val="0"/>
        </w:rPr>
        <w:tab/>
        <w:t>Evidentiary effect under s. 61 of particulars furnished under s. 21(3) of former Act</w:t>
      </w:r>
      <w:bookmarkEnd w:id="400"/>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401" w:name="_Toc530555095"/>
      <w:r>
        <w:rPr>
          <w:rStyle w:val="CharSClsNo"/>
        </w:rPr>
        <w:t>23</w:t>
      </w:r>
      <w:r>
        <w:rPr>
          <w:snapToGrid w:val="0"/>
        </w:rPr>
        <w:t>.</w:t>
      </w:r>
      <w:r>
        <w:rPr>
          <w:snapToGrid w:val="0"/>
        </w:rPr>
        <w:tab/>
        <w:t>Destruction of or damage to building under former Act</w:t>
      </w:r>
      <w:bookmarkEnd w:id="401"/>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402" w:name="_Toc530555096"/>
      <w:r>
        <w:rPr>
          <w:rStyle w:val="CharSClsNo"/>
        </w:rPr>
        <w:t>24</w:t>
      </w:r>
      <w:r>
        <w:rPr>
          <w:snapToGrid w:val="0"/>
        </w:rPr>
        <w:t>.</w:t>
      </w:r>
      <w:r>
        <w:rPr>
          <w:snapToGrid w:val="0"/>
        </w:rPr>
        <w:tab/>
        <w:t>Administrators under former Act</w:t>
      </w:r>
      <w:bookmarkEnd w:id="402"/>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403" w:name="_Toc530555097"/>
      <w:r>
        <w:rPr>
          <w:rStyle w:val="CharSClsNo"/>
        </w:rPr>
        <w:t>25</w:t>
      </w:r>
      <w:r>
        <w:rPr>
          <w:snapToGrid w:val="0"/>
        </w:rPr>
        <w:t>.</w:t>
      </w:r>
      <w:r>
        <w:rPr>
          <w:snapToGrid w:val="0"/>
        </w:rPr>
        <w:tab/>
        <w:t>Recovery of rates paid by company</w:t>
      </w:r>
      <w:bookmarkEnd w:id="403"/>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404" w:name="_Toc530555098"/>
      <w:r>
        <w:rPr>
          <w:rStyle w:val="CharSClsNo"/>
        </w:rPr>
        <w:t>26</w:t>
      </w:r>
      <w:r>
        <w:rPr>
          <w:snapToGrid w:val="0"/>
        </w:rPr>
        <w:t>.</w:t>
      </w:r>
      <w:r>
        <w:rPr>
          <w:snapToGrid w:val="0"/>
        </w:rPr>
        <w:tab/>
        <w:t>Regulations — Transitional</w:t>
      </w:r>
      <w:bookmarkEnd w:id="404"/>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405" w:name="_Toc525288727"/>
      <w:bookmarkStart w:id="406" w:name="_Toc530554763"/>
      <w:bookmarkStart w:id="407" w:name="_Toc530555099"/>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405"/>
      <w:bookmarkEnd w:id="406"/>
      <w:bookmarkEnd w:id="407"/>
    </w:p>
    <w:p>
      <w:pPr>
        <w:pStyle w:val="yShoulderClause"/>
        <w:rPr>
          <w:snapToGrid w:val="0"/>
        </w:rPr>
      </w:pPr>
      <w:r>
        <w:rPr>
          <w:snapToGrid w:val="0"/>
        </w:rPr>
        <w:t>[s. 42C]</w:t>
      </w:r>
    </w:p>
    <w:p>
      <w:pPr>
        <w:pStyle w:val="yFootnoteheading"/>
        <w:tabs>
          <w:tab w:val="clear" w:pos="879"/>
          <w:tab w:val="left" w:pos="890"/>
        </w:tabs>
      </w:pPr>
      <w:r>
        <w:tab/>
        <w:t>[Heading inserted: No. 58 of 1995 s. 91; amended: No. 19 of 2010 s. 4.]</w:t>
      </w:r>
    </w:p>
    <w:p>
      <w:pPr>
        <w:pStyle w:val="yHeading5"/>
        <w:rPr>
          <w:snapToGrid w:val="0"/>
        </w:rPr>
      </w:pPr>
      <w:bookmarkStart w:id="408" w:name="_Toc530555100"/>
      <w:r>
        <w:rPr>
          <w:rStyle w:val="CharSClsNo"/>
        </w:rPr>
        <w:t>1</w:t>
      </w:r>
      <w:r>
        <w:rPr>
          <w:snapToGrid w:val="0"/>
        </w:rPr>
        <w:t>.</w:t>
      </w:r>
      <w:r>
        <w:rPr>
          <w:snapToGrid w:val="0"/>
        </w:rPr>
        <w:tab/>
        <w:t>Terms used</w:t>
      </w:r>
      <w:bookmarkEnd w:id="408"/>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409" w:name="_Toc530555101"/>
      <w:r>
        <w:rPr>
          <w:rStyle w:val="CharSClsNo"/>
        </w:rPr>
        <w:t>2</w:t>
      </w:r>
      <w:r>
        <w:rPr>
          <w:snapToGrid w:val="0"/>
        </w:rPr>
        <w:t>.</w:t>
      </w:r>
      <w:r>
        <w:rPr>
          <w:snapToGrid w:val="0"/>
        </w:rPr>
        <w:tab/>
        <w:t>Transitional provisions</w:t>
      </w:r>
      <w:bookmarkEnd w:id="409"/>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09" w:footer="3379" w:gutter="0"/>
          <w:cols w:space="720"/>
          <w:noEndnote/>
          <w:docGrid w:linePitch="326"/>
        </w:sectPr>
      </w:pPr>
    </w:p>
    <w:p>
      <w:pPr>
        <w:pStyle w:val="nHeading2"/>
        <w:outlineLvl w:val="0"/>
      </w:pPr>
      <w:bookmarkStart w:id="410" w:name="_Toc525288730"/>
      <w:bookmarkStart w:id="411" w:name="_Toc530554766"/>
      <w:bookmarkStart w:id="412" w:name="_Toc530555102"/>
      <w:r>
        <w:t>Notes</w:t>
      </w:r>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413" w:name="_Toc530555103"/>
      <w:r>
        <w:rPr>
          <w:snapToGrid w:val="0"/>
        </w:rPr>
        <w:t>Compilation table</w:t>
      </w:r>
      <w:bookmarkEnd w:id="413"/>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rPr>
              <w:t>Land Legislation Amendment (Taxing) Act 2015</w:t>
            </w:r>
            <w:r>
              <w:t xml:space="preserve"> Pt. 3</w:t>
            </w:r>
          </w:p>
        </w:tc>
        <w:tc>
          <w:tcPr>
            <w:tcW w:w="1134" w:type="dxa"/>
            <w:gridSpan w:val="2"/>
            <w:tcBorders>
              <w:bottom w:val="single" w:sz="4" w:space="0" w:color="auto"/>
            </w:tcBorders>
            <w:shd w:val="clear" w:color="auto" w:fill="auto"/>
          </w:tcPr>
          <w:p>
            <w:pPr>
              <w:pStyle w:val="nTable"/>
              <w:spacing w:after="40"/>
            </w:pPr>
            <w:r>
              <w:t>12 of 2015</w:t>
            </w:r>
          </w:p>
        </w:tc>
        <w:tc>
          <w:tcPr>
            <w:tcW w:w="1134" w:type="dxa"/>
            <w:gridSpan w:val="2"/>
            <w:tcBorders>
              <w:bottom w:val="single" w:sz="4" w:space="0" w:color="auto"/>
            </w:tcBorders>
            <w:shd w:val="clear" w:color="auto" w:fill="auto"/>
          </w:tcPr>
          <w:p>
            <w:pPr>
              <w:pStyle w:val="nTable"/>
              <w:spacing w:after="40"/>
            </w:pPr>
            <w:r>
              <w:t>29 Apr 2015</w:t>
            </w:r>
          </w:p>
        </w:tc>
        <w:tc>
          <w:tcPr>
            <w:tcW w:w="2551" w:type="dxa"/>
            <w:gridSpan w:val="2"/>
            <w:tcBorders>
              <w:bottom w:val="single" w:sz="4" w:space="0" w:color="auto"/>
            </w:tcBorders>
            <w:shd w:val="clear" w:color="auto" w:fill="auto"/>
          </w:tcPr>
          <w:p>
            <w:pPr>
              <w:pStyle w:val="nTable"/>
              <w:spacing w:after="40"/>
            </w:pPr>
            <w:r>
              <w:t xml:space="preserve">30 Jun 2015 (see s. 2(b) and </w:t>
            </w:r>
            <w:r>
              <w:rPr>
                <w:i/>
              </w:rPr>
              <w:t>Gazette</w:t>
            </w:r>
            <w:r>
              <w:t xml:space="preserve"> 2 Jun 2015 p. 1937)</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414" w:name="_Toc530555104"/>
      <w:r>
        <w:rPr>
          <w:snapToGrid w:val="0"/>
        </w:rPr>
        <w:t>Provisions that have not come into operation</w:t>
      </w:r>
      <w:bookmarkEnd w:id="414"/>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10"/>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gridSpan w:val="2"/>
            <w:tcBorders>
              <w:top w:val="single" w:sz="2" w:space="0" w:color="auto"/>
            </w:tcBorders>
          </w:tcPr>
          <w:p>
            <w:pPr>
              <w:pStyle w:val="nTable"/>
              <w:keepNext/>
              <w:spacing w:after="40"/>
            </w:pPr>
            <w:r>
              <w:t>43 of 2000</w:t>
            </w:r>
          </w:p>
        </w:tc>
        <w:tc>
          <w:tcPr>
            <w:tcW w:w="1137" w:type="dxa"/>
            <w:gridSpan w:val="2"/>
            <w:tcBorders>
              <w:top w:val="single" w:sz="2" w:space="0" w:color="auto"/>
            </w:tcBorders>
          </w:tcPr>
          <w:p>
            <w:pPr>
              <w:pStyle w:val="nTable"/>
              <w:keepNext/>
              <w:spacing w:after="40"/>
            </w:pPr>
            <w:r>
              <w:t>2 Nov 2000</w:t>
            </w:r>
          </w:p>
        </w:tc>
        <w:tc>
          <w:tcPr>
            <w:tcW w:w="2551" w:type="dxa"/>
            <w:gridSpan w:val="3"/>
            <w:tcBorders>
              <w:top w:val="single" w:sz="2"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trPr>
        <w:tc>
          <w:tcPr>
            <w:tcW w:w="2296" w:type="dxa"/>
            <w:gridSpan w:val="2"/>
            <w:tcBorders>
              <w:top w:val="nil"/>
              <w:bottom w:val="nil"/>
            </w:tcBorders>
          </w:tcPr>
          <w:p>
            <w:pPr>
              <w:pStyle w:val="nTable"/>
              <w:keepNext/>
              <w:spacing w:after="40"/>
              <w:rPr>
                <w:vertAlign w:val="superscript"/>
              </w:rPr>
            </w:pPr>
            <w:r>
              <w:rPr>
                <w:i/>
              </w:rPr>
              <w:t xml:space="preserve">Heritage Act 2018 </w:t>
            </w:r>
            <w:r>
              <w:t>s. 187 </w:t>
            </w:r>
            <w:r>
              <w:rPr>
                <w:vertAlign w:val="superscript"/>
              </w:rPr>
              <w:t>19</w:t>
            </w:r>
          </w:p>
        </w:tc>
        <w:tc>
          <w:tcPr>
            <w:tcW w:w="1134" w:type="dxa"/>
            <w:gridSpan w:val="2"/>
            <w:tcBorders>
              <w:top w:val="nil"/>
              <w:bottom w:val="nil"/>
            </w:tcBorders>
          </w:tcPr>
          <w:p>
            <w:pPr>
              <w:pStyle w:val="nTable"/>
              <w:spacing w:after="40"/>
            </w:pPr>
            <w:r>
              <w:t>22 of 2018</w:t>
            </w:r>
          </w:p>
        </w:tc>
        <w:tc>
          <w:tcPr>
            <w:tcW w:w="1134" w:type="dxa"/>
            <w:gridSpan w:val="2"/>
            <w:tcBorders>
              <w:top w:val="nil"/>
              <w:bottom w:val="nil"/>
            </w:tcBorders>
          </w:tcPr>
          <w:p>
            <w:pPr>
              <w:pStyle w:val="nTable"/>
              <w:spacing w:after="40"/>
            </w:pPr>
            <w:r>
              <w:t>18 Sep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trPr>
        <w:tc>
          <w:tcPr>
            <w:tcW w:w="2296" w:type="dxa"/>
            <w:gridSpan w:val="2"/>
            <w:tcBorders>
              <w:top w:val="nil"/>
              <w:bottom w:val="single" w:sz="2" w:space="0" w:color="auto"/>
            </w:tcBorders>
          </w:tcPr>
          <w:p>
            <w:pPr>
              <w:pStyle w:val="nTable"/>
              <w:spacing w:after="40"/>
            </w:pPr>
            <w:r>
              <w:rPr>
                <w:i/>
              </w:rPr>
              <w:t>Strata Titles Amendment Act 2018</w:t>
            </w:r>
            <w:r>
              <w:t xml:space="preserve"> Pt. 2</w:t>
            </w:r>
            <w:r>
              <w:rPr>
                <w:vertAlign w:val="superscript"/>
              </w:rPr>
              <w:t> 20</w:t>
            </w:r>
          </w:p>
        </w:tc>
        <w:tc>
          <w:tcPr>
            <w:tcW w:w="1134" w:type="dxa"/>
            <w:gridSpan w:val="2"/>
            <w:tcBorders>
              <w:top w:val="nil"/>
              <w:bottom w:val="single" w:sz="2" w:space="0" w:color="auto"/>
            </w:tcBorders>
          </w:tcPr>
          <w:p>
            <w:pPr>
              <w:pStyle w:val="nTable"/>
              <w:spacing w:after="40"/>
            </w:pPr>
            <w:r>
              <w:t>30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pPr>
      <w:r>
        <w:rPr>
          <w:vertAlign w:val="superscript"/>
        </w:rPr>
        <w:t>19</w:t>
      </w:r>
      <w:r>
        <w:tab/>
        <w:t xml:space="preserve">On the date as at which this compilation was prepared, the </w:t>
      </w:r>
      <w:r>
        <w:rPr>
          <w:i/>
        </w:rPr>
        <w:t>Heritage Act 2018</w:t>
      </w:r>
      <w:r>
        <w:t xml:space="preserve"> s. 187 had not come into operation.  It reads as follows:</w:t>
      </w:r>
    </w:p>
    <w:p>
      <w:pPr>
        <w:pStyle w:val="BlankOpen"/>
      </w:pPr>
    </w:p>
    <w:p>
      <w:pPr>
        <w:pStyle w:val="nzHeading5"/>
      </w:pPr>
      <w:r>
        <w:rPr>
          <w:rStyle w:val="CharSectno"/>
        </w:rPr>
        <w:t>187</w:t>
      </w:r>
      <w:r>
        <w:t>.</w:t>
      </w:r>
      <w:r>
        <w:tab/>
      </w:r>
      <w:r>
        <w:rPr>
          <w:i/>
        </w:rPr>
        <w:t>Strata Titles Act 1985</w:t>
      </w:r>
      <w:r>
        <w:t xml:space="preserve"> amended</w:t>
      </w:r>
    </w:p>
    <w:p>
      <w:pPr>
        <w:pStyle w:val="nzSubsection"/>
      </w:pPr>
      <w:r>
        <w:tab/>
        <w:t>(1)</w:t>
      </w:r>
      <w:r>
        <w:tab/>
        <w:t xml:space="preserve">This section amends the </w:t>
      </w:r>
      <w:r>
        <w:rPr>
          <w:i/>
        </w:rPr>
        <w:t>Strata Titles Act 1985</w:t>
      </w:r>
      <w:r>
        <w:t>.</w:t>
      </w:r>
    </w:p>
    <w:p>
      <w:pPr>
        <w:pStyle w:val="nzSubsection"/>
      </w:pPr>
      <w:r>
        <w:tab/>
        <w:t>(2)</w:t>
      </w:r>
      <w:r>
        <w:tab/>
        <w:t xml:space="preserve">In section 25(7)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pPr>
    </w:p>
    <w:p>
      <w:pPr>
        <w:pStyle w:val="nz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nzSubsection"/>
      </w:pPr>
      <w:r>
        <w:tab/>
      </w:r>
      <w:r>
        <w:tab/>
        <w:t xml:space="preserve">included in a place of a kind referred to in the </w:t>
      </w:r>
      <w:r>
        <w:rPr>
          <w:i/>
        </w:rPr>
        <w:t>Heritage Act 2018</w:t>
      </w:r>
      <w:r>
        <w:t xml:space="preserve"> section 72(1).</w:t>
      </w:r>
    </w:p>
    <w:p>
      <w:pPr>
        <w:pStyle w:val="BlankClose"/>
      </w:pPr>
    </w:p>
    <w:p>
      <w:pPr>
        <w:pStyle w:val="BlankClose"/>
      </w:pPr>
    </w:p>
    <w:p>
      <w:pPr>
        <w:pStyle w:val="nSubsection"/>
        <w:spacing w:before="60"/>
      </w:pPr>
    </w:p>
    <w:p>
      <w:pPr>
        <w:pStyle w:val="nSubsection"/>
        <w:spacing w:before="60"/>
      </w:pPr>
    </w:p>
    <w:p>
      <w:pPr>
        <w:pStyle w:val="nSubsection"/>
      </w:pPr>
      <w:bookmarkStart w:id="415" w:name="_Toc517437462"/>
      <w:bookmarkStart w:id="416" w:name="_Toc517438004"/>
      <w:bookmarkStart w:id="417" w:name="_Toc517440341"/>
      <w:bookmarkStart w:id="418" w:name="_Toc517447378"/>
      <w:bookmarkStart w:id="419" w:name="_Toc517449856"/>
      <w:bookmarkStart w:id="420" w:name="_Toc517450398"/>
      <w:bookmarkStart w:id="421" w:name="_Toc517856854"/>
      <w:bookmarkStart w:id="422" w:name="_Toc518292981"/>
      <w:bookmarkStart w:id="423" w:name="_Toc522744209"/>
      <w:bookmarkStart w:id="424" w:name="_Toc522747332"/>
      <w:bookmarkStart w:id="425" w:name="_Toc529183169"/>
      <w:bookmarkStart w:id="426" w:name="_Toc529187932"/>
      <w:bookmarkStart w:id="427" w:name="_Toc529434445"/>
      <w:bookmarkStart w:id="428" w:name="_Toc529524336"/>
      <w:bookmarkStart w:id="429" w:name="_Toc530474260"/>
      <w:bookmarkStart w:id="430" w:name="_Toc530474855"/>
      <w:r>
        <w:rPr>
          <w:vertAlign w:val="superscript"/>
        </w:rPr>
        <w:t>20</w:t>
      </w:r>
      <w:r>
        <w:tab/>
        <w:t xml:space="preserve">On the date as at which this compilation was prepared, the </w:t>
      </w:r>
      <w:r>
        <w:rPr>
          <w:i/>
        </w:rPr>
        <w:t>Strata Titles Amendment Act 2018</w:t>
      </w:r>
      <w:r>
        <w:t xml:space="preserve"> Pt. 2 had not come into operation.  It reads as follows:</w:t>
      </w:r>
    </w:p>
    <w:p>
      <w:pPr>
        <w:pStyle w:val="BlankOpen"/>
      </w:pPr>
    </w:p>
    <w:p>
      <w:pPr>
        <w:pStyle w:val="nzHeading2"/>
      </w:pPr>
      <w:r>
        <w:rPr>
          <w:rStyle w:val="CharPartNo"/>
        </w:rPr>
        <w:t>Part 2</w:t>
      </w:r>
      <w:r>
        <w:t> — </w:t>
      </w:r>
      <w:r>
        <w:rPr>
          <w:rStyle w:val="CharPartText"/>
          <w:i/>
        </w:rPr>
        <w:t>Strata Titles Act 1985</w:t>
      </w:r>
      <w:r>
        <w:rPr>
          <w:rStyle w:val="CharPartText"/>
        </w:rPr>
        <w:t xml:space="preserve"> amended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zHeading3"/>
      </w:pPr>
      <w:bookmarkStart w:id="431" w:name="_Toc517437463"/>
      <w:bookmarkStart w:id="432" w:name="_Toc517438005"/>
      <w:bookmarkStart w:id="433" w:name="_Toc517440342"/>
      <w:bookmarkStart w:id="434" w:name="_Toc517447379"/>
      <w:bookmarkStart w:id="435" w:name="_Toc517449857"/>
      <w:bookmarkStart w:id="436" w:name="_Toc517450399"/>
      <w:bookmarkStart w:id="437" w:name="_Toc517856855"/>
      <w:bookmarkStart w:id="438" w:name="_Toc518292982"/>
      <w:bookmarkStart w:id="439" w:name="_Toc522744210"/>
      <w:bookmarkStart w:id="440" w:name="_Toc522747333"/>
      <w:bookmarkStart w:id="441" w:name="_Toc529183170"/>
      <w:bookmarkStart w:id="442" w:name="_Toc529187933"/>
      <w:bookmarkStart w:id="443" w:name="_Toc529434446"/>
      <w:bookmarkStart w:id="444" w:name="_Toc529524337"/>
      <w:bookmarkStart w:id="445" w:name="_Toc530474261"/>
      <w:bookmarkStart w:id="446" w:name="_Toc530474856"/>
      <w:r>
        <w:rPr>
          <w:rStyle w:val="CharDivNo"/>
        </w:rPr>
        <w:t>Division 1</w:t>
      </w:r>
      <w:r>
        <w:t> — </w:t>
      </w:r>
      <w:r>
        <w:rPr>
          <w:rStyle w:val="CharDivText"/>
        </w:rPr>
        <w:t>Preliminary</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nzHeading5"/>
        <w:rPr>
          <w:snapToGrid w:val="0"/>
        </w:rPr>
      </w:pPr>
      <w:bookmarkStart w:id="447" w:name="_Toc530474262"/>
      <w:bookmarkStart w:id="448" w:name="_Toc530474857"/>
      <w:r>
        <w:rPr>
          <w:rStyle w:val="CharSectno"/>
        </w:rPr>
        <w:t>4</w:t>
      </w:r>
      <w:r>
        <w:rPr>
          <w:snapToGrid w:val="0"/>
        </w:rPr>
        <w:t>.</w:t>
      </w:r>
      <w:r>
        <w:rPr>
          <w:snapToGrid w:val="0"/>
        </w:rPr>
        <w:tab/>
        <w:t>Act amended</w:t>
      </w:r>
      <w:bookmarkEnd w:id="447"/>
      <w:bookmarkEnd w:id="448"/>
    </w:p>
    <w:p>
      <w:pPr>
        <w:pStyle w:val="nzSubsection"/>
      </w:pPr>
      <w:r>
        <w:tab/>
      </w:r>
      <w:r>
        <w:tab/>
        <w:t xml:space="preserve">This Part amends the </w:t>
      </w:r>
      <w:r>
        <w:rPr>
          <w:i/>
        </w:rPr>
        <w:t>Strata Titles Act 1985</w:t>
      </w:r>
      <w:r>
        <w:t>.</w:t>
      </w:r>
    </w:p>
    <w:p>
      <w:pPr>
        <w:pStyle w:val="nzHeading3"/>
      </w:pPr>
      <w:bookmarkStart w:id="449" w:name="_Toc517437465"/>
      <w:bookmarkStart w:id="450" w:name="_Toc517438007"/>
      <w:bookmarkStart w:id="451" w:name="_Toc517440344"/>
      <w:bookmarkStart w:id="452" w:name="_Toc517447381"/>
      <w:bookmarkStart w:id="453" w:name="_Toc517449859"/>
      <w:bookmarkStart w:id="454" w:name="_Toc517450401"/>
      <w:bookmarkStart w:id="455" w:name="_Toc517856857"/>
      <w:bookmarkStart w:id="456" w:name="_Toc518292984"/>
      <w:bookmarkStart w:id="457" w:name="_Toc522744212"/>
      <w:bookmarkStart w:id="458" w:name="_Toc522747335"/>
      <w:bookmarkStart w:id="459" w:name="_Toc529183172"/>
      <w:bookmarkStart w:id="460" w:name="_Toc529187935"/>
      <w:bookmarkStart w:id="461" w:name="_Toc529434448"/>
      <w:bookmarkStart w:id="462" w:name="_Toc529524339"/>
      <w:bookmarkStart w:id="463" w:name="_Toc530474263"/>
      <w:bookmarkStart w:id="464" w:name="_Toc530474858"/>
      <w:r>
        <w:rPr>
          <w:rStyle w:val="CharDivNo"/>
        </w:rPr>
        <w:t>Division 2</w:t>
      </w:r>
      <w:r>
        <w:t> — </w:t>
      </w:r>
      <w:r>
        <w:rPr>
          <w:rStyle w:val="CharDivText"/>
        </w:rPr>
        <w:t>Amendment of long title and Parts I to VIII</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zPermNoteHeading"/>
      </w:pPr>
      <w:r>
        <w:tab/>
        <w:t>Note:</w:t>
      </w:r>
    </w:p>
    <w:p>
      <w:pPr>
        <w:pStyle w:val="nzPermNoteText"/>
      </w:pPr>
      <w:r>
        <w:tab/>
      </w:r>
      <w:r>
        <w:tab/>
        <w:t>The sections amended in this Division and other sections not amended are redesignated or renumbered and relocated by Divisions 4 and 6.</w:t>
      </w:r>
    </w:p>
    <w:p>
      <w:pPr>
        <w:pStyle w:val="nzHeading5"/>
      </w:pPr>
      <w:bookmarkStart w:id="465" w:name="_Toc530474264"/>
      <w:bookmarkStart w:id="466" w:name="_Toc530474859"/>
      <w:r>
        <w:rPr>
          <w:rStyle w:val="CharSectno"/>
        </w:rPr>
        <w:t>5</w:t>
      </w:r>
      <w:r>
        <w:t>.</w:t>
      </w:r>
      <w:r>
        <w:tab/>
        <w:t>Long title replaced</w:t>
      </w:r>
      <w:bookmarkEnd w:id="465"/>
      <w:bookmarkEnd w:id="466"/>
    </w:p>
    <w:p>
      <w:pPr>
        <w:pStyle w:val="nzSubsection"/>
      </w:pPr>
      <w:r>
        <w:tab/>
      </w:r>
      <w:r>
        <w:tab/>
        <w:t>Delete the long title and insert:</w:t>
      </w:r>
    </w:p>
    <w:p>
      <w:pPr>
        <w:pStyle w:val="BlankOpen"/>
      </w:pPr>
    </w:p>
    <w:p>
      <w:pPr>
        <w:pStyle w:val="zLongTitle"/>
      </w:pPr>
      <w:r>
        <w:tab/>
        <w:t xml:space="preserve">An Act — </w:t>
      </w:r>
    </w:p>
    <w:p>
      <w:pPr>
        <w:pStyle w:val="zLongTitle"/>
        <w:numPr>
          <w:ilvl w:val="0"/>
          <w:numId w:val="11"/>
        </w:numPr>
        <w:ind w:left="1418" w:hanging="284"/>
      </w:pPr>
      <w:r>
        <w:t>to provide for the subdivision of land by strata titles schemes, the creation of strata titles and the governance and operation of strata titles schemes; and</w:t>
      </w:r>
    </w:p>
    <w:p>
      <w:pPr>
        <w:pStyle w:val="zLongTitle"/>
        <w:numPr>
          <w:ilvl w:val="0"/>
          <w:numId w:val="11"/>
        </w:numPr>
        <w:ind w:left="1418" w:hanging="284"/>
      </w:pPr>
      <w:r>
        <w:t>for related purposes.</w:t>
      </w:r>
    </w:p>
    <w:p>
      <w:pPr>
        <w:pStyle w:val="BlankClose"/>
      </w:pPr>
    </w:p>
    <w:p>
      <w:pPr>
        <w:pStyle w:val="nzHeading5"/>
      </w:pPr>
      <w:bookmarkStart w:id="467" w:name="_Toc530474265"/>
      <w:bookmarkStart w:id="468" w:name="_Toc530474860"/>
      <w:r>
        <w:rPr>
          <w:rStyle w:val="CharSectno"/>
        </w:rPr>
        <w:t>6</w:t>
      </w:r>
      <w:r>
        <w:t>.</w:t>
      </w:r>
      <w:r>
        <w:tab/>
        <w:t>Part 1 heading replaced</w:t>
      </w:r>
      <w:bookmarkEnd w:id="467"/>
      <w:bookmarkEnd w:id="468"/>
    </w:p>
    <w:p>
      <w:pPr>
        <w:pStyle w:val="nzSubsection"/>
      </w:pPr>
      <w:r>
        <w:tab/>
      </w:r>
      <w:r>
        <w:tab/>
        <w:t>Delete the heading to Part 1 and insert:</w:t>
      </w:r>
    </w:p>
    <w:p>
      <w:pPr>
        <w:pStyle w:val="BlankOpen"/>
      </w:pPr>
    </w:p>
    <w:p>
      <w:pPr>
        <w:pStyle w:val="nzHeading2"/>
      </w:pPr>
      <w:bookmarkStart w:id="469" w:name="_Toc517437468"/>
      <w:bookmarkStart w:id="470" w:name="_Toc517438010"/>
      <w:bookmarkStart w:id="471" w:name="_Toc517440347"/>
      <w:bookmarkStart w:id="472" w:name="_Toc517447384"/>
      <w:bookmarkStart w:id="473" w:name="_Toc517449862"/>
      <w:bookmarkStart w:id="474" w:name="_Toc517450404"/>
      <w:bookmarkStart w:id="475" w:name="_Toc517856860"/>
      <w:bookmarkStart w:id="476" w:name="_Toc518292987"/>
      <w:bookmarkStart w:id="477" w:name="_Toc522744215"/>
      <w:bookmarkStart w:id="478" w:name="_Toc522747338"/>
      <w:bookmarkStart w:id="479" w:name="_Toc529183175"/>
      <w:bookmarkStart w:id="480" w:name="_Toc529187938"/>
      <w:bookmarkStart w:id="481" w:name="_Toc529434451"/>
      <w:bookmarkStart w:id="482" w:name="_Toc529524342"/>
      <w:bookmarkStart w:id="483" w:name="_Toc530474266"/>
      <w:bookmarkStart w:id="484" w:name="_Toc530474861"/>
      <w:r>
        <w:t>Part 1 — Preliminary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BlankClose"/>
      </w:pPr>
    </w:p>
    <w:p>
      <w:pPr>
        <w:pStyle w:val="nzHeading5"/>
      </w:pPr>
      <w:bookmarkStart w:id="485" w:name="_Toc530474267"/>
      <w:bookmarkStart w:id="486" w:name="_Toc530474862"/>
      <w:r>
        <w:rPr>
          <w:rStyle w:val="CharSectno"/>
        </w:rPr>
        <w:t>7</w:t>
      </w:r>
      <w:r>
        <w:t>.</w:t>
      </w:r>
      <w:r>
        <w:tab/>
        <w:t>Section 3 amended</w:t>
      </w:r>
      <w:bookmarkEnd w:id="485"/>
      <w:bookmarkEnd w:id="486"/>
    </w:p>
    <w:p>
      <w:pPr>
        <w:pStyle w:val="nzSubsection"/>
      </w:pPr>
      <w:r>
        <w:tab/>
        <w:t>(1)</w:t>
      </w:r>
      <w:r>
        <w:tab/>
        <w:t>In section 3(1) delete the definitions of:</w:t>
      </w:r>
    </w:p>
    <w:p>
      <w:pPr>
        <w:pStyle w:val="nzDeleteListSub"/>
      </w:pPr>
      <w:r>
        <w:rPr>
          <w:b/>
          <w:i/>
        </w:rPr>
        <w:t>administrator</w:t>
      </w:r>
    </w:p>
    <w:p>
      <w:pPr>
        <w:pStyle w:val="nzDeleteListSub"/>
      </w:pPr>
      <w:r>
        <w:t>building</w:t>
      </w:r>
    </w:p>
    <w:p>
      <w:pPr>
        <w:pStyle w:val="nzDeleteListSub"/>
      </w:pPr>
      <w:r>
        <w:t>Commission</w:t>
      </w:r>
    </w:p>
    <w:p>
      <w:pPr>
        <w:pStyle w:val="nzDeleteListSub"/>
      </w:pPr>
      <w:r>
        <w:t>common property</w:t>
      </w:r>
    </w:p>
    <w:p>
      <w:pPr>
        <w:pStyle w:val="nzDeleteListSub"/>
      </w:pPr>
      <w:r>
        <w:t>council</w:t>
      </w:r>
    </w:p>
    <w:p>
      <w:pPr>
        <w:pStyle w:val="nzDeleteListSub"/>
      </w:pPr>
      <w:r>
        <w:t>licensed surveyor</w:t>
      </w:r>
    </w:p>
    <w:p>
      <w:pPr>
        <w:pStyle w:val="nzDeleteListSub"/>
      </w:pPr>
      <w:r>
        <w:t>licensed valuer</w:t>
      </w:r>
    </w:p>
    <w:p>
      <w:pPr>
        <w:pStyle w:val="nzDeleteListSub"/>
      </w:pPr>
      <w:r>
        <w:t>local government</w:t>
      </w:r>
    </w:p>
    <w:p>
      <w:pPr>
        <w:pStyle w:val="nzDeleteListSub"/>
      </w:pPr>
      <w:r>
        <w:t>occupier</w:t>
      </w:r>
    </w:p>
    <w:p>
      <w:pPr>
        <w:pStyle w:val="nzDeleteListSub"/>
      </w:pPr>
      <w:r>
        <w:t>open space</w:t>
      </w:r>
    </w:p>
    <w:p>
      <w:pPr>
        <w:pStyle w:val="nzDeleteListSub"/>
      </w:pPr>
      <w:r>
        <w:t>original proprietor</w:t>
      </w:r>
    </w:p>
    <w:p>
      <w:pPr>
        <w:pStyle w:val="nzDeleteListSub"/>
      </w:pPr>
      <w:r>
        <w:t>parcel</w:t>
      </w:r>
    </w:p>
    <w:p>
      <w:pPr>
        <w:pStyle w:val="nzDeleteListSub"/>
      </w:pPr>
      <w:r>
        <w:t>permitted boundary deviation</w:t>
      </w:r>
    </w:p>
    <w:p>
      <w:pPr>
        <w:pStyle w:val="nzDeleteListSub"/>
      </w:pPr>
      <w:r>
        <w:t>person concerned</w:t>
      </w:r>
    </w:p>
    <w:p>
      <w:pPr>
        <w:pStyle w:val="nzDeleteListSub"/>
      </w:pPr>
      <w:r>
        <w:t>prescribed</w:t>
      </w:r>
    </w:p>
    <w:p>
      <w:pPr>
        <w:pStyle w:val="nzDeleteListSub"/>
      </w:pPr>
      <w:r>
        <w:t>proprietor</w:t>
      </w:r>
    </w:p>
    <w:p>
      <w:pPr>
        <w:pStyle w:val="nzDeleteListSub"/>
      </w:pPr>
      <w:r>
        <w:t>Register</w:t>
      </w:r>
    </w:p>
    <w:p>
      <w:pPr>
        <w:pStyle w:val="nzDeleteListSub"/>
      </w:pPr>
      <w:r>
        <w:t>Registrar of Titles</w:t>
      </w:r>
    </w:p>
    <w:p>
      <w:pPr>
        <w:pStyle w:val="nzDeleteListSub"/>
      </w:pPr>
      <w:r>
        <w:t>resolution without dissent</w:t>
      </w:r>
    </w:p>
    <w:p>
      <w:pPr>
        <w:pStyle w:val="nzDeleteListSub"/>
      </w:pPr>
      <w:r>
        <w:t>re</w:t>
      </w:r>
      <w:r>
        <w:noBreakHyphen/>
        <w:t>subdivision</w:t>
      </w:r>
    </w:p>
    <w:p>
      <w:pPr>
        <w:pStyle w:val="nzDeleteListSub"/>
      </w:pPr>
      <w:r>
        <w:t>scheme</w:t>
      </w:r>
    </w:p>
    <w:p>
      <w:pPr>
        <w:pStyle w:val="nzDeleteListSub"/>
      </w:pPr>
      <w:r>
        <w:t>single tier strata scheme</w:t>
      </w:r>
    </w:p>
    <w:p>
      <w:pPr>
        <w:pStyle w:val="nzDeleteListSub"/>
      </w:pPr>
      <w:r>
        <w:t>special resolution</w:t>
      </w:r>
    </w:p>
    <w:p>
      <w:pPr>
        <w:pStyle w:val="nzDeleteListSub"/>
      </w:pPr>
      <w:r>
        <w:t>strata company</w:t>
      </w:r>
    </w:p>
    <w:p>
      <w:pPr>
        <w:pStyle w:val="nzDeleteListSub"/>
      </w:pPr>
      <w:r>
        <w:t>strata/survey</w:t>
      </w:r>
      <w:r>
        <w:noBreakHyphen/>
        <w:t>strata plan</w:t>
      </w:r>
    </w:p>
    <w:p>
      <w:pPr>
        <w:pStyle w:val="nzDeleteListSub"/>
      </w:pPr>
      <w:r>
        <w:t>strata plan</w:t>
      </w:r>
    </w:p>
    <w:p>
      <w:pPr>
        <w:pStyle w:val="nzDeleteListSub"/>
      </w:pPr>
      <w:r>
        <w:t>strata scheme</w:t>
      </w:r>
    </w:p>
    <w:p>
      <w:pPr>
        <w:pStyle w:val="nzDeleteListSub"/>
      </w:pPr>
      <w:r>
        <w:t>structural cubic space</w:t>
      </w:r>
    </w:p>
    <w:p>
      <w:pPr>
        <w:pStyle w:val="nzDeleteListSub"/>
      </w:pPr>
      <w:r>
        <w:t>survey</w:t>
      </w:r>
      <w:r>
        <w:noBreakHyphen/>
        <w:t>strata plan</w:t>
      </w:r>
    </w:p>
    <w:p>
      <w:pPr>
        <w:pStyle w:val="nzDeleteListSub"/>
      </w:pPr>
      <w:r>
        <w:t>survey</w:t>
      </w:r>
      <w:r>
        <w:noBreakHyphen/>
        <w:t>strata scheme</w:t>
      </w:r>
    </w:p>
    <w:p>
      <w:pPr>
        <w:pStyle w:val="nzDeleteListSub"/>
      </w:pPr>
      <w:r>
        <w:t>take, taken and taking</w:t>
      </w:r>
    </w:p>
    <w:p>
      <w:pPr>
        <w:pStyle w:val="nzDeleteListSub"/>
      </w:pPr>
      <w:r>
        <w:t>two</w:t>
      </w:r>
      <w:r>
        <w:noBreakHyphen/>
        <w:t>lot scheme</w:t>
      </w:r>
    </w:p>
    <w:p>
      <w:pPr>
        <w:pStyle w:val="nzDeleteListSub"/>
      </w:pPr>
      <w:r>
        <w:t>unanimous resolution</w:t>
      </w:r>
    </w:p>
    <w:p>
      <w:pPr>
        <w:pStyle w:val="nzDeleteListSub"/>
      </w:pPr>
      <w:r>
        <w:t>unit entitlement</w:t>
      </w:r>
    </w:p>
    <w:p>
      <w:pPr>
        <w:pStyle w:val="nzSubsection"/>
      </w:pPr>
      <w:r>
        <w:tab/>
        <w:t>(2)</w:t>
      </w:r>
      <w:r>
        <w:tab/>
        <w:t>In section 3(1) insert in alphabetical order:</w:t>
      </w:r>
    </w:p>
    <w:p>
      <w:pPr>
        <w:pStyle w:val="BlankOpen"/>
      </w:pPr>
    </w:p>
    <w:p>
      <w:pPr>
        <w:pStyle w:val="nz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nzDefstart"/>
      </w:pPr>
      <w:r>
        <w:tab/>
      </w:r>
      <w:r>
        <w:rPr>
          <w:rStyle w:val="CharDefText"/>
        </w:rPr>
        <w:t>address for service —</w:t>
      </w:r>
      <w:r>
        <w:t xml:space="preserve"> see section 215;</w:t>
      </w:r>
    </w:p>
    <w:p>
      <w:pPr>
        <w:pStyle w:val="nz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nzDefstart"/>
      </w:pPr>
      <w:r>
        <w:tab/>
      </w:r>
      <w:r>
        <w:rPr>
          <w:rStyle w:val="CharDefText"/>
        </w:rPr>
        <w:t>administrative fund —</w:t>
      </w:r>
      <w:r>
        <w:t xml:space="preserve"> see section 100(1)(a);</w:t>
      </w:r>
    </w:p>
    <w:p>
      <w:pPr>
        <w:pStyle w:val="nzDefstart"/>
      </w:pPr>
      <w:r>
        <w:rPr>
          <w:b/>
        </w:rPr>
        <w:tab/>
      </w:r>
      <w:r>
        <w:rPr>
          <w:rStyle w:val="CharDefText"/>
        </w:rPr>
        <w:t>administrator of a strata company</w:t>
      </w:r>
      <w:r>
        <w:t xml:space="preserve"> means a person appointed by the Tribunal as an administrator of the strata company under section 205;</w:t>
      </w:r>
    </w:p>
    <w:p>
      <w:pPr>
        <w:pStyle w:val="nzDefstart"/>
      </w:pPr>
      <w:r>
        <w:tab/>
      </w:r>
      <w:r>
        <w:rPr>
          <w:rStyle w:val="CharDefText"/>
        </w:rPr>
        <w:t>amendment of a strata titles scheme —</w:t>
      </w:r>
      <w:r>
        <w:t>see section 12(2);</w:t>
      </w:r>
    </w:p>
    <w:p>
      <w:pPr>
        <w:pStyle w:val="nzDefstart"/>
      </w:pPr>
      <w:r>
        <w:tab/>
      </w:r>
      <w:r>
        <w:rPr>
          <w:rStyle w:val="CharDefText"/>
        </w:rPr>
        <w:t>amendment in relation to common property or a lot in a strata titles scheme —</w:t>
      </w:r>
      <w:r>
        <w:t xml:space="preserve"> see subsection (7);</w:t>
      </w:r>
    </w:p>
    <w:p>
      <w:pPr>
        <w:pStyle w:val="nz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nzDefstart"/>
      </w:pPr>
      <w:r>
        <w:tab/>
      </w:r>
      <w:r>
        <w:rPr>
          <w:rStyle w:val="CharDefText"/>
        </w:rPr>
        <w:t>assistance animal</w:t>
      </w:r>
      <w:r>
        <w:t xml:space="preserve"> has the meaning given in the </w:t>
      </w:r>
      <w:r>
        <w:rPr>
          <w:i/>
        </w:rPr>
        <w:t>Disability Discrimination Act 1992</w:t>
      </w:r>
      <w:r>
        <w:t xml:space="preserve"> (Commonwealth) section 9(2);</w:t>
      </w:r>
    </w:p>
    <w:p>
      <w:pPr>
        <w:pStyle w:val="nzDefstart"/>
      </w:pPr>
      <w:r>
        <w:tab/>
      </w:r>
      <w:r>
        <w:rPr>
          <w:rStyle w:val="CharDefText"/>
        </w:rPr>
        <w:t>associate</w:t>
      </w:r>
      <w:r>
        <w:t> — 2 persons are associates if —</w:t>
      </w:r>
    </w:p>
    <w:p>
      <w:pPr>
        <w:pStyle w:val="nzDefpara"/>
      </w:pPr>
      <w:r>
        <w:tab/>
        <w:t>(a)</w:t>
      </w:r>
      <w:r>
        <w:tab/>
        <w:t>1 is the spouse or de facto spouse of the other; or</w:t>
      </w:r>
    </w:p>
    <w:p>
      <w:pPr>
        <w:pStyle w:val="nzDefpara"/>
      </w:pPr>
      <w:r>
        <w:tab/>
        <w:t>(b)</w:t>
      </w:r>
      <w:r>
        <w:tab/>
        <w:t>1 is the child or grandchild of the other; or</w:t>
      </w:r>
    </w:p>
    <w:p>
      <w:pPr>
        <w:pStyle w:val="nzDefpara"/>
      </w:pPr>
      <w:r>
        <w:tab/>
        <w:t>(c)</w:t>
      </w:r>
      <w:r>
        <w:tab/>
        <w:t>they have a parent or grandparent in common; or</w:t>
      </w:r>
    </w:p>
    <w:p>
      <w:pPr>
        <w:pStyle w:val="nzDefpara"/>
      </w:pPr>
      <w:r>
        <w:tab/>
        <w:t>(d)</w:t>
      </w:r>
      <w:r>
        <w:tab/>
        <w:t>they are partners; or</w:t>
      </w:r>
    </w:p>
    <w:p>
      <w:pPr>
        <w:pStyle w:val="nzDefpara"/>
      </w:pPr>
      <w:r>
        <w:tab/>
        <w:t>(e)</w:t>
      </w:r>
      <w:r>
        <w:tab/>
        <w:t>they are directors of the same body corporate; or</w:t>
      </w:r>
    </w:p>
    <w:p>
      <w:pPr>
        <w:pStyle w:val="nzDefpara"/>
      </w:pPr>
      <w:r>
        <w:tab/>
        <w:t>(f)</w:t>
      </w:r>
      <w:r>
        <w:tab/>
        <w:t>1 is employed by the other; or</w:t>
      </w:r>
    </w:p>
    <w:p>
      <w:pPr>
        <w:pStyle w:val="nzDefpara"/>
      </w:pPr>
      <w:r>
        <w:tab/>
        <w:t>(g)</w:t>
      </w:r>
      <w:r>
        <w:tab/>
        <w:t>1 is a body corporate and the other is a director, officer or employee of the body corporate or a person who is otherwise in a position to control or substantially influence the conduct of the body corporate; or</w:t>
      </w:r>
    </w:p>
    <w:p>
      <w:pPr>
        <w:pStyle w:val="nzDefpara"/>
      </w:pPr>
      <w:r>
        <w:tab/>
        <w:t>(h)</w:t>
      </w:r>
      <w:r>
        <w:tab/>
        <w:t>they are bodies corporate and the same person is a director of both bodies corporate;</w:t>
      </w:r>
    </w:p>
    <w:p>
      <w:pPr>
        <w:pStyle w:val="nzDefstart"/>
      </w:pPr>
      <w:r>
        <w:tab/>
      </w:r>
      <w:r>
        <w:rPr>
          <w:rStyle w:val="CharDefText"/>
        </w:rPr>
        <w:t>Australian legal practitioner</w:t>
      </w:r>
      <w:r>
        <w:t xml:space="preserve"> has the meaning given in the </w:t>
      </w:r>
      <w:r>
        <w:rPr>
          <w:i/>
        </w:rPr>
        <w:t>Legal Profession Act 2008</w:t>
      </w:r>
      <w:r>
        <w:t xml:space="preserve"> section 3;</w:t>
      </w:r>
    </w:p>
    <w:p>
      <w:pPr>
        <w:pStyle w:val="nzDefstart"/>
      </w:pPr>
      <w:r>
        <w:rPr>
          <w:b/>
        </w:rPr>
        <w:tab/>
      </w:r>
      <w:r>
        <w:rPr>
          <w:rStyle w:val="CharDefText"/>
        </w:rPr>
        <w:t>building</w:t>
      </w:r>
      <w:r>
        <w:t xml:space="preserve"> includes structure;</w:t>
      </w:r>
    </w:p>
    <w:p>
      <w:pPr>
        <w:pStyle w:val="nzDefstart"/>
      </w:pPr>
      <w:r>
        <w:tab/>
      </w:r>
      <w:r>
        <w:rPr>
          <w:rStyle w:val="CharDefText"/>
        </w:rPr>
        <w:t>capital value</w:t>
      </w:r>
      <w:r>
        <w:t xml:space="preserve"> has the meaning given in the </w:t>
      </w:r>
      <w:r>
        <w:rPr>
          <w:i/>
        </w:rPr>
        <w:t>Valuation of Land Act 1978</w:t>
      </w:r>
      <w:r>
        <w:t xml:space="preserve"> section 4(1);</w:t>
      </w:r>
    </w:p>
    <w:p>
      <w:pPr>
        <w:pStyle w:val="nzDefstart"/>
      </w:pPr>
      <w:r>
        <w:tab/>
      </w:r>
      <w:r>
        <w:rPr>
          <w:rStyle w:val="CharDefText"/>
        </w:rPr>
        <w:t xml:space="preserve">chairperson </w:t>
      </w:r>
      <w:r>
        <w:t>of a general meeting of a strata company means the person presiding at the meeting;</w:t>
      </w:r>
    </w:p>
    <w:p>
      <w:pPr>
        <w:pStyle w:val="nzDefstart"/>
      </w:pPr>
      <w:r>
        <w:tab/>
      </w:r>
      <w:r>
        <w:rPr>
          <w:rStyle w:val="CharDefText"/>
        </w:rPr>
        <w:t xml:space="preserve">chairperson </w:t>
      </w:r>
      <w:r>
        <w:t>of a strata company means the member of the council of the strata company holding office as the chairperson of the strata company;</w:t>
      </w:r>
    </w:p>
    <w:p>
      <w:pPr>
        <w:pStyle w:val="nzDefstart"/>
        <w:rPr>
          <w:rStyle w:val="CharDefText"/>
        </w:rPr>
      </w:pPr>
      <w:r>
        <w:rPr>
          <w:rStyle w:val="CharDefText"/>
        </w:rPr>
        <w:tab/>
        <w:t>Commissioner of Titles</w:t>
      </w:r>
      <w:r>
        <w:t xml:space="preserve"> means the person holding or acting in the office of the Commissioner of Titles under the </w:t>
      </w:r>
      <w:r>
        <w:rPr>
          <w:i/>
        </w:rPr>
        <w:t>Transfer of Land Act 1893</w:t>
      </w:r>
      <w:r>
        <w:t>;</w:t>
      </w:r>
    </w:p>
    <w:p>
      <w:pPr>
        <w:pStyle w:val="nzDefstart"/>
      </w:pPr>
      <w:r>
        <w:tab/>
      </w:r>
      <w:r>
        <w:rPr>
          <w:rStyle w:val="CharDefText"/>
        </w:rPr>
        <w:t>common property</w:t>
      </w:r>
      <w:r>
        <w:t> — see section 10;</w:t>
      </w:r>
    </w:p>
    <w:p>
      <w:pPr>
        <w:pStyle w:val="nzDefstart"/>
      </w:pPr>
      <w:r>
        <w:rPr>
          <w:b/>
          <w:i/>
        </w:rPr>
        <w:tab/>
      </w:r>
      <w:r>
        <w:rPr>
          <w:rStyle w:val="CharDefText"/>
        </w:rPr>
        <w:t>common property (utility and sustainability infrastructure) easement</w:t>
      </w:r>
      <w:r>
        <w:t xml:space="preserve"> means an easement under section 64;</w:t>
      </w:r>
    </w:p>
    <w:p>
      <w:pPr>
        <w:pStyle w:val="nzDefstart"/>
      </w:pPr>
      <w:r>
        <w:rPr>
          <w:rStyle w:val="CharDefText"/>
        </w:rPr>
        <w:tab/>
        <w:t>conduct by</w:t>
      </w:r>
      <w:r>
        <w:rPr>
          <w:rStyle w:val="CharDefText"/>
        </w:rPr>
        <w:noBreakHyphen/>
        <w:t>laws</w:t>
      </w:r>
      <w:r>
        <w:t xml:space="preserve"> for a strata titles scheme —</w:t>
      </w:r>
    </w:p>
    <w:p>
      <w:pPr>
        <w:pStyle w:val="nzDefpara"/>
      </w:pPr>
      <w:r>
        <w:tab/>
        <w:t>(a)</w:t>
      </w:r>
      <w:r>
        <w:tab/>
        <w:t>means scheme by</w:t>
      </w:r>
      <w:r>
        <w:noBreakHyphen/>
        <w:t>laws (other than governance by</w:t>
      </w:r>
      <w:r>
        <w:noBreakHyphen/>
        <w:t>laws) dealing with —</w:t>
      </w:r>
    </w:p>
    <w:p>
      <w:pPr>
        <w:pStyle w:val="nzIndenti"/>
      </w:pPr>
      <w:r>
        <w:tab/>
        <w:t>(i)</w:t>
      </w:r>
      <w:r>
        <w:tab/>
        <w:t>the conduct of an owner or occupier of a lot in the scheme or of any other person on the land subdivided by the scheme; or</w:t>
      </w:r>
    </w:p>
    <w:p>
      <w:pPr>
        <w:pStyle w:val="nzIndenti"/>
      </w:pPr>
      <w:r>
        <w:tab/>
        <w:t>(ii)</w:t>
      </w:r>
      <w:r>
        <w:tab/>
        <w:t>the management, control, use or enjoyment of a lot or common property in the scheme;</w:t>
      </w:r>
    </w:p>
    <w:p>
      <w:pPr>
        <w:pStyle w:val="nzDefpara"/>
      </w:pPr>
      <w:r>
        <w:tab/>
      </w:r>
      <w:r>
        <w:tab/>
        <w:t>and</w:t>
      </w:r>
    </w:p>
    <w:p>
      <w:pPr>
        <w:pStyle w:val="nzDefpara"/>
      </w:pPr>
      <w:r>
        <w:tab/>
        <w:t>(b)</w:t>
      </w:r>
      <w:r>
        <w:tab/>
        <w:t>includes the following —</w:t>
      </w:r>
    </w:p>
    <w:p>
      <w:pPr>
        <w:pStyle w:val="nzDefsubpara"/>
      </w:pPr>
      <w:r>
        <w:tab/>
        <w:t>(i)</w:t>
      </w:r>
      <w:r>
        <w:tab/>
        <w:t>scheme by</w:t>
      </w:r>
      <w:r>
        <w:noBreakHyphen/>
        <w:t>laws set out in Schedule 2;</w:t>
      </w:r>
    </w:p>
    <w:p>
      <w:pPr>
        <w:pStyle w:val="nzDefsubpara"/>
      </w:pPr>
      <w:r>
        <w:tab/>
        <w:t>(ii)</w:t>
      </w:r>
      <w:r>
        <w:tab/>
        <w:t>scheme by</w:t>
      </w:r>
      <w:r>
        <w:noBreakHyphen/>
        <w:t>laws that deal with any of the following —</w:t>
      </w:r>
    </w:p>
    <w:p>
      <w:pPr>
        <w:pStyle w:val="nzDefitem"/>
      </w:pPr>
      <w:r>
        <w:tab/>
        <w:t>(I)</w:t>
      </w:r>
      <w:r>
        <w:tab/>
        <w:t>landscaping requirements to be observed by owners of lots;</w:t>
      </w:r>
    </w:p>
    <w:p>
      <w:pPr>
        <w:pStyle w:val="nzDefitem"/>
      </w:pPr>
      <w:r>
        <w:tab/>
        <w:t>(II)</w:t>
      </w:r>
      <w:r>
        <w:tab/>
        <w:t>the maintenance of water, sewerage, drainage, gas, electricity, telephone and other services;</w:t>
      </w:r>
    </w:p>
    <w:p>
      <w:pPr>
        <w:pStyle w:val="nzDefitem"/>
      </w:pPr>
      <w:r>
        <w:tab/>
        <w:t>(III)</w:t>
      </w:r>
      <w:r>
        <w:tab/>
        <w:t>insurance of the common property;</w:t>
      </w:r>
    </w:p>
    <w:p>
      <w:pPr>
        <w:pStyle w:val="nzDefitem"/>
      </w:pPr>
      <w:r>
        <w:tab/>
        <w:t>(IV)</w:t>
      </w:r>
      <w:r>
        <w:tab/>
        <w:t>safety and security;</w:t>
      </w:r>
    </w:p>
    <w:p>
      <w:pPr>
        <w:pStyle w:val="nzDefitem"/>
      </w:pPr>
      <w:r>
        <w:tab/>
        <w:t>(V)</w:t>
      </w:r>
      <w:r>
        <w:tab/>
        <w:t>procedures for the resolution of disputes;</w:t>
      </w:r>
    </w:p>
    <w:p>
      <w:pPr>
        <w:pStyle w:val="nzDefsubpara"/>
      </w:pPr>
      <w:r>
        <w:tab/>
        <w:t>(iii)</w:t>
      </w:r>
      <w:r>
        <w:tab/>
        <w:t>scheme by</w:t>
      </w:r>
      <w:r>
        <w:noBreakHyphen/>
        <w:t>laws classified by the regulations as conduct by</w:t>
      </w:r>
      <w:r>
        <w:noBreakHyphen/>
        <w:t>laws;</w:t>
      </w:r>
    </w:p>
    <w:p>
      <w:pPr>
        <w:pStyle w:val="nzDefstart"/>
      </w:pPr>
      <w:r>
        <w:rPr>
          <w:b/>
        </w:rPr>
        <w:tab/>
      </w:r>
      <w:r>
        <w:rPr>
          <w:rStyle w:val="CharDefText"/>
        </w:rPr>
        <w:t>contract</w:t>
      </w:r>
      <w:r>
        <w:t xml:space="preserve"> means a contract, agreement or document that legally binds a person, whether conditionally or unconditionally;</w:t>
      </w:r>
    </w:p>
    <w:p>
      <w:pPr>
        <w:pStyle w:val="nz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nzDefstart"/>
      </w:pPr>
      <w:r>
        <w:rPr>
          <w:b/>
        </w:rPr>
        <w:tab/>
      </w:r>
      <w:r>
        <w:rPr>
          <w:rStyle w:val="CharDefText"/>
        </w:rPr>
        <w:t>council</w:t>
      </w:r>
      <w:r>
        <w:t xml:space="preserve"> means the governing body of a strata company;</w:t>
      </w:r>
    </w:p>
    <w:p>
      <w:pPr>
        <w:pStyle w:val="nzDefstart"/>
      </w:pPr>
      <w:r>
        <w:tab/>
      </w:r>
      <w:r>
        <w:rPr>
          <w:rStyle w:val="CharDefText"/>
        </w:rPr>
        <w:t>cubic space</w:t>
      </w:r>
      <w:r>
        <w:t> — see subsection (3);</w:t>
      </w:r>
    </w:p>
    <w:p>
      <w:pPr>
        <w:pStyle w:val="nzDefstart"/>
      </w:pPr>
      <w:r>
        <w:tab/>
      </w:r>
      <w:r>
        <w:rPr>
          <w:rStyle w:val="CharDefText"/>
        </w:rPr>
        <w:t>designated interest</w:t>
      </w:r>
      <w:r>
        <w:t xml:space="preserve"> means —</w:t>
      </w:r>
    </w:p>
    <w:p>
      <w:pPr>
        <w:pStyle w:val="nzDefpara"/>
      </w:pPr>
      <w:r>
        <w:tab/>
        <w:t>(a)</w:t>
      </w:r>
      <w:r>
        <w:tab/>
        <w:t>a registered mortgage; or</w:t>
      </w:r>
    </w:p>
    <w:p>
      <w:pPr>
        <w:pStyle w:val="nzDefpara"/>
      </w:pPr>
      <w:r>
        <w:tab/>
        <w:t>(b)</w:t>
      </w:r>
      <w:r>
        <w:tab/>
        <w:t>a registered lease; or</w:t>
      </w:r>
    </w:p>
    <w:p>
      <w:pPr>
        <w:pStyle w:val="nzDefpara"/>
      </w:pPr>
      <w:r>
        <w:tab/>
        <w:t>(c)</w:t>
      </w:r>
      <w:r>
        <w:tab/>
        <w:t xml:space="preserve">a caveat recorded under the </w:t>
      </w:r>
      <w:r>
        <w:rPr>
          <w:i/>
        </w:rPr>
        <w:t>Transfer of Land Act 1893</w:t>
      </w:r>
      <w:r>
        <w:t>; or</w:t>
      </w:r>
    </w:p>
    <w:p>
      <w:pPr>
        <w:pStyle w:val="nzDefpara"/>
      </w:pPr>
      <w:r>
        <w:tab/>
        <w:t>(d)</w:t>
      </w:r>
      <w:r>
        <w:tab/>
        <w:t xml:space="preserve">the interest of a judgment creditor named in a property seizure and sale order registered under the </w:t>
      </w:r>
      <w:r>
        <w:rPr>
          <w:i/>
        </w:rPr>
        <w:t>Transfer of Land Act 1893</w:t>
      </w:r>
      <w:r>
        <w:t xml:space="preserve"> section 133; or</w:t>
      </w:r>
    </w:p>
    <w:p>
      <w:pPr>
        <w:pStyle w:val="nz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nzDefpara"/>
      </w:pPr>
      <w:r>
        <w:tab/>
        <w:t>(f)</w:t>
      </w:r>
      <w:r>
        <w:tab/>
        <w:t xml:space="preserve">a plantation interest registered under the </w:t>
      </w:r>
      <w:r>
        <w:rPr>
          <w:i/>
        </w:rPr>
        <w:t>Transfer of Land Act 1893</w:t>
      </w:r>
      <w:r>
        <w:t>; or</w:t>
      </w:r>
    </w:p>
    <w:p>
      <w:pPr>
        <w:pStyle w:val="nzDefpara"/>
      </w:pPr>
      <w:r>
        <w:tab/>
        <w:t>(g)</w:t>
      </w:r>
      <w:r>
        <w:tab/>
        <w:t xml:space="preserve">a carbon covenant registered under the </w:t>
      </w:r>
      <w:r>
        <w:rPr>
          <w:i/>
        </w:rPr>
        <w:t>Transfer of Land Act 1893</w:t>
      </w:r>
      <w:r>
        <w:t>;</w:t>
      </w:r>
    </w:p>
    <w:p>
      <w:pPr>
        <w:pStyle w:val="nzDefstart"/>
      </w:pPr>
      <w:r>
        <w:rPr>
          <w:b/>
          <w:i/>
        </w:rPr>
        <w:tab/>
      </w:r>
      <w:r>
        <w:rPr>
          <w:rStyle w:val="CharDefText"/>
        </w:rPr>
        <w:t>development</w:t>
      </w:r>
      <w:r>
        <w:t xml:space="preserve"> has the meaning given in the </w:t>
      </w:r>
      <w:r>
        <w:rPr>
          <w:i/>
        </w:rPr>
        <w:t>Planning and Development Act 2005</w:t>
      </w:r>
      <w:r>
        <w:t xml:space="preserve"> section 4(1);</w:t>
      </w:r>
    </w:p>
    <w:p>
      <w:pPr>
        <w:pStyle w:val="nzDefstart"/>
      </w:pPr>
      <w:r>
        <w:tab/>
      </w:r>
      <w:r>
        <w:rPr>
          <w:rStyle w:val="CharDefText"/>
        </w:rPr>
        <w:t>disability</w:t>
      </w:r>
      <w:r>
        <w:t xml:space="preserve"> has the meaning given in the </w:t>
      </w:r>
      <w:r>
        <w:rPr>
          <w:i/>
        </w:rPr>
        <w:t>Disability Discrimination Act 1992</w:t>
      </w:r>
      <w:r>
        <w:t xml:space="preserve"> (Commonwealth) section 4(1);</w:t>
      </w:r>
    </w:p>
    <w:p>
      <w:pPr>
        <w:pStyle w:val="nzDefstart"/>
      </w:pPr>
      <w:r>
        <w:tab/>
      </w:r>
      <w:r>
        <w:rPr>
          <w:rStyle w:val="CharDefText"/>
        </w:rPr>
        <w:t>disposition statement</w:t>
      </w:r>
      <w:r>
        <w:t> — see section 222;</w:t>
      </w:r>
    </w:p>
    <w:p>
      <w:pPr>
        <w:pStyle w:val="nzDefstart"/>
      </w:pPr>
      <w:r>
        <w:tab/>
      </w:r>
      <w:r>
        <w:rPr>
          <w:rStyle w:val="CharDefText"/>
        </w:rPr>
        <w:t>electronic address</w:t>
      </w:r>
      <w:r>
        <w:t xml:space="preserve"> means —</w:t>
      </w:r>
    </w:p>
    <w:p>
      <w:pPr>
        <w:pStyle w:val="nzDefpara"/>
      </w:pPr>
      <w:r>
        <w:tab/>
        <w:t>(a)</w:t>
      </w:r>
      <w:r>
        <w:tab/>
        <w:t>an email address; or</w:t>
      </w:r>
    </w:p>
    <w:p>
      <w:pPr>
        <w:pStyle w:val="nzDefpara"/>
      </w:pPr>
      <w:r>
        <w:tab/>
        <w:t>(b)</w:t>
      </w:r>
      <w:r>
        <w:tab/>
        <w:t>anything included in this definition by the regulations;</w:t>
      </w:r>
    </w:p>
    <w:p>
      <w:pPr>
        <w:pStyle w:val="nzDefstart"/>
      </w:pPr>
      <w:r>
        <w:tab/>
      </w:r>
      <w:r>
        <w:rPr>
          <w:rStyle w:val="CharDefText"/>
        </w:rPr>
        <w:t>encumbrance</w:t>
      </w:r>
      <w:r>
        <w:t xml:space="preserve"> has the meaning given in the </w:t>
      </w:r>
      <w:r>
        <w:rPr>
          <w:i/>
        </w:rPr>
        <w:t>Transfer of Land Act 1893</w:t>
      </w:r>
      <w:r>
        <w:t xml:space="preserve"> section 4(1);</w:t>
      </w:r>
    </w:p>
    <w:p>
      <w:pPr>
        <w:pStyle w:val="nzDefstart"/>
      </w:pPr>
      <w:r>
        <w:tab/>
      </w:r>
      <w:r>
        <w:rPr>
          <w:rStyle w:val="CharDefText"/>
        </w:rPr>
        <w:t>exclusive use by</w:t>
      </w:r>
      <w:r>
        <w:rPr>
          <w:rStyle w:val="CharDefText"/>
        </w:rPr>
        <w:noBreakHyphen/>
        <w:t>laws </w:t>
      </w:r>
      <w:r>
        <w:t>— see section 43(1);</w:t>
      </w:r>
    </w:p>
    <w:p>
      <w:pPr>
        <w:pStyle w:val="nzDefstart"/>
      </w:pPr>
      <w:r>
        <w:rPr>
          <w:rStyle w:val="CharDefText"/>
        </w:rPr>
        <w:tab/>
        <w:t>expiry day for a leasehold scheme</w:t>
      </w:r>
      <w:r>
        <w:t> — see section 8(3)(c);</w:t>
      </w:r>
    </w:p>
    <w:p>
      <w:pPr>
        <w:pStyle w:val="nzDefstart"/>
      </w:pPr>
      <w:r>
        <w:tab/>
      </w:r>
      <w:r>
        <w:rPr>
          <w:rStyle w:val="CharDefText"/>
        </w:rPr>
        <w:t>financial year for a strata company</w:t>
      </w:r>
      <w:r>
        <w:t xml:space="preserve"> means —</w:t>
      </w:r>
    </w:p>
    <w:p>
      <w:pPr>
        <w:pStyle w:val="nzDefpara"/>
      </w:pPr>
      <w:r>
        <w:tab/>
        <w:t>(a)</w:t>
      </w:r>
      <w:r>
        <w:tab/>
        <w:t>if the scheme by</w:t>
      </w:r>
      <w:r>
        <w:noBreakHyphen/>
        <w:t>laws are silent on the matter, the period of 12 months ending on 30 June; or</w:t>
      </w:r>
    </w:p>
    <w:p>
      <w:pPr>
        <w:pStyle w:val="nzDefpara"/>
      </w:pPr>
      <w:r>
        <w:tab/>
        <w:t>(b)</w:t>
      </w:r>
      <w:r>
        <w:tab/>
        <w:t>if the scheme by</w:t>
      </w:r>
      <w:r>
        <w:noBreakHyphen/>
        <w:t>laws specify a period of 12 months ending on a different date as the financial year for the scheme, the period specified in the by</w:t>
      </w:r>
      <w:r>
        <w:noBreakHyphen/>
        <w:t>laws;</w:t>
      </w:r>
    </w:p>
    <w:p>
      <w:pPr>
        <w:pStyle w:val="nzDefstart"/>
      </w:pPr>
      <w:r>
        <w:tab/>
      </w:r>
      <w:r>
        <w:rPr>
          <w:rStyle w:val="CharDefText"/>
        </w:rPr>
        <w:t xml:space="preserve">first mortgagee </w:t>
      </w:r>
      <w:r>
        <w:t>of a lot in a strata titles scheme means a registered mortgagee who is first entitled in priority and who has given written notice of the mortgage to the strata company for the scheme;</w:t>
      </w:r>
    </w:p>
    <w:p>
      <w:pPr>
        <w:pStyle w:val="nzDefstart"/>
      </w:pPr>
      <w:r>
        <w:tab/>
      </w:r>
      <w:r>
        <w:rPr>
          <w:rStyle w:val="CharDefText"/>
        </w:rPr>
        <w:t>freehold scheme —</w:t>
      </w:r>
      <w:r>
        <w:t xml:space="preserve"> see section 8(2);</w:t>
      </w:r>
    </w:p>
    <w:p>
      <w:pPr>
        <w:pStyle w:val="nzPermNoteHeading"/>
      </w:pPr>
      <w:r>
        <w:tab/>
        <w:t>Note for this definition</w:t>
      </w:r>
      <w:r>
        <w:rPr>
          <w:b/>
        </w:rPr>
        <w:t>:</w:t>
      </w:r>
    </w:p>
    <w:p>
      <w:pPr>
        <w:pStyle w:val="nzPermNoteText"/>
      </w:pPr>
      <w:r>
        <w:tab/>
      </w:r>
      <w:r>
        <w:tab/>
        <w:t>A freehold scheme may be a strata scheme or a survey</w:t>
      </w:r>
      <w:r>
        <w:noBreakHyphen/>
        <w:t>strata scheme depending on how the lots are defined: see section 9.</w:t>
      </w:r>
    </w:p>
    <w:p>
      <w:pPr>
        <w:pStyle w:val="nzDefstart"/>
      </w:pPr>
      <w:r>
        <w:tab/>
      </w:r>
      <w:r>
        <w:rPr>
          <w:rStyle w:val="CharDefText"/>
        </w:rPr>
        <w:t>fundamental covenant or condition</w:t>
      </w:r>
      <w:r>
        <w:t> — see section 52(1)(b);</w:t>
      </w:r>
    </w:p>
    <w:p>
      <w:pPr>
        <w:pStyle w:val="nzDefstart"/>
      </w:pPr>
      <w:r>
        <w:tab/>
      </w:r>
      <w:r>
        <w:rPr>
          <w:rStyle w:val="CharDefText"/>
        </w:rPr>
        <w:t>governance by</w:t>
      </w:r>
      <w:r>
        <w:rPr>
          <w:rStyle w:val="CharDefText"/>
        </w:rPr>
        <w:noBreakHyphen/>
        <w:t>laws</w:t>
      </w:r>
      <w:r>
        <w:t xml:space="preserve"> for a strata titles scheme —</w:t>
      </w:r>
    </w:p>
    <w:p>
      <w:pPr>
        <w:pStyle w:val="nzDefpara"/>
      </w:pPr>
      <w:r>
        <w:tab/>
        <w:t>(a)</w:t>
      </w:r>
      <w:r>
        <w:tab/>
        <w:t>means scheme by</w:t>
      </w:r>
      <w:r>
        <w:noBreakHyphen/>
        <w:t>laws dealing with —</w:t>
      </w:r>
    </w:p>
    <w:p>
      <w:pPr>
        <w:pStyle w:val="nzDefsubpara"/>
      </w:pPr>
      <w:r>
        <w:tab/>
        <w:t>(i)</w:t>
      </w:r>
      <w:r>
        <w:tab/>
        <w:t>the governance of the scheme; or</w:t>
      </w:r>
    </w:p>
    <w:p>
      <w:pPr>
        <w:pStyle w:val="nzDefsubpara"/>
      </w:pPr>
      <w:r>
        <w:tab/>
        <w:t>(ii)</w:t>
      </w:r>
      <w:r>
        <w:tab/>
        <w:t>the subdivision or development of the land subdivided by the scheme (other than a matter of landscaping); or</w:t>
      </w:r>
    </w:p>
    <w:p>
      <w:pPr>
        <w:pStyle w:val="nzDefsubpara"/>
      </w:pPr>
      <w:r>
        <w:tab/>
        <w:t>(iii)</w:t>
      </w:r>
      <w:r>
        <w:tab/>
        <w:t>exclusive use of common property in the scheme;</w:t>
      </w:r>
    </w:p>
    <w:p>
      <w:pPr>
        <w:pStyle w:val="nzDefpara"/>
      </w:pPr>
      <w:r>
        <w:tab/>
      </w:r>
      <w:r>
        <w:tab/>
        <w:t>and</w:t>
      </w:r>
    </w:p>
    <w:p>
      <w:pPr>
        <w:pStyle w:val="nzDefpara"/>
      </w:pPr>
      <w:r>
        <w:tab/>
        <w:t>(b)</w:t>
      </w:r>
      <w:r>
        <w:tab/>
        <w:t>includes the following —</w:t>
      </w:r>
    </w:p>
    <w:p>
      <w:pPr>
        <w:pStyle w:val="nzDefsubpara"/>
      </w:pPr>
      <w:r>
        <w:tab/>
        <w:t>(i)</w:t>
      </w:r>
      <w:r>
        <w:tab/>
        <w:t>scheme by</w:t>
      </w:r>
      <w:r>
        <w:noBreakHyphen/>
        <w:t>laws set out in Schedule 1;</w:t>
      </w:r>
    </w:p>
    <w:p>
      <w:pPr>
        <w:pStyle w:val="nzDefsubpara"/>
      </w:pPr>
      <w:r>
        <w:tab/>
        <w:t>(ii)</w:t>
      </w:r>
      <w:r>
        <w:tab/>
        <w:t>leasehold by</w:t>
      </w:r>
      <w:r>
        <w:noBreakHyphen/>
        <w:t>laws;</w:t>
      </w:r>
    </w:p>
    <w:p>
      <w:pPr>
        <w:pStyle w:val="nzDefsubpara"/>
      </w:pPr>
      <w:r>
        <w:tab/>
        <w:t>(iii)</w:t>
      </w:r>
      <w:r>
        <w:tab/>
        <w:t>staged subdivision by</w:t>
      </w:r>
      <w:r>
        <w:noBreakHyphen/>
        <w:t>laws;</w:t>
      </w:r>
    </w:p>
    <w:p>
      <w:pPr>
        <w:pStyle w:val="nzDefsubpara"/>
      </w:pPr>
      <w:r>
        <w:tab/>
        <w:t>(iv)</w:t>
      </w:r>
      <w:r>
        <w:tab/>
        <w:t>exclusive use by</w:t>
      </w:r>
      <w:r>
        <w:noBreakHyphen/>
        <w:t>laws;</w:t>
      </w:r>
    </w:p>
    <w:p>
      <w:pPr>
        <w:pStyle w:val="nzDefsubpara"/>
      </w:pPr>
      <w:r>
        <w:tab/>
        <w:t>(v)</w:t>
      </w:r>
      <w:r>
        <w:tab/>
        <w:t>scheme by</w:t>
      </w:r>
      <w:r>
        <w:noBreakHyphen/>
        <w:t>laws made under a planning (scheme by</w:t>
      </w:r>
      <w:r>
        <w:noBreakHyphen/>
        <w:t>laws) condition;</w:t>
      </w:r>
    </w:p>
    <w:p>
      <w:pPr>
        <w:pStyle w:val="nzDefsubpara"/>
      </w:pPr>
      <w:r>
        <w:tab/>
        <w:t>(vi)</w:t>
      </w:r>
      <w:r>
        <w:tab/>
        <w:t>scheme by</w:t>
      </w:r>
      <w:r>
        <w:noBreakHyphen/>
        <w:t>laws setting out architectural requirements designed to control or preserve the essence or theme of development;</w:t>
      </w:r>
    </w:p>
    <w:p>
      <w:pPr>
        <w:pStyle w:val="nzDefsubpara"/>
      </w:pPr>
      <w:r>
        <w:tab/>
        <w:t>(vii)</w:t>
      </w:r>
      <w:r>
        <w:tab/>
        <w:t>scheme by</w:t>
      </w:r>
      <w:r>
        <w:noBreakHyphen/>
        <w:t>laws that specify plot ratio restrictions or open space requirements;</w:t>
      </w:r>
    </w:p>
    <w:p>
      <w:pPr>
        <w:pStyle w:val="nzDefsubpara"/>
      </w:pPr>
      <w:r>
        <w:tab/>
        <w:t>(viii)</w:t>
      </w:r>
      <w:r>
        <w:tab/>
        <w:t>scheme by</w:t>
      </w:r>
      <w:r>
        <w:noBreakHyphen/>
        <w:t>laws affecting the provision of, or payment for —</w:t>
      </w:r>
    </w:p>
    <w:p>
      <w:pPr>
        <w:pStyle w:val="nzDefitem"/>
      </w:pPr>
      <w:r>
        <w:tab/>
        <w:t>(I)</w:t>
      </w:r>
      <w:r>
        <w:tab/>
        <w:t>internal fencing on the parcel; or</w:t>
      </w:r>
    </w:p>
    <w:p>
      <w:pPr>
        <w:pStyle w:val="nzDefitem"/>
      </w:pPr>
      <w:r>
        <w:tab/>
        <w:t>(II)</w:t>
      </w:r>
      <w:r>
        <w:tab/>
        <w:t xml:space="preserve">fencing to which the </w:t>
      </w:r>
      <w:r>
        <w:rPr>
          <w:i/>
        </w:rPr>
        <w:t>Dividing Fences Act 1961</w:t>
      </w:r>
      <w:r>
        <w:t xml:space="preserve"> applies;</w:t>
      </w:r>
    </w:p>
    <w:p>
      <w:pPr>
        <w:pStyle w:val="nzDefsubpara"/>
      </w:pPr>
      <w:r>
        <w:tab/>
        <w:t>(ix)</w:t>
      </w:r>
      <w:r>
        <w:tab/>
        <w:t>scheme by</w:t>
      </w:r>
      <w:r>
        <w:noBreakHyphen/>
        <w:t>laws for a 3, 4 or 5</w:t>
      </w:r>
      <w:r>
        <w:noBreakHyphen/>
        <w:t>lot scheme that exempt the strata company from a designated function under section 140;</w:t>
      </w:r>
    </w:p>
    <w:p>
      <w:pPr>
        <w:pStyle w:val="nzDefsubpara"/>
      </w:pPr>
      <w:r>
        <w:tab/>
        <w:t>(x)</w:t>
      </w:r>
      <w:r>
        <w:tab/>
        <w:t>scheme by</w:t>
      </w:r>
      <w:r>
        <w:noBreakHyphen/>
        <w:t>laws that deal with —</w:t>
      </w:r>
    </w:p>
    <w:p>
      <w:pPr>
        <w:pStyle w:val="nzDefitem"/>
      </w:pPr>
      <w:r>
        <w:tab/>
        <w:t>(I)</w:t>
      </w:r>
      <w:r>
        <w:tab/>
        <w:t>the constitution or procedures of the council of the strata company; or</w:t>
      </w:r>
    </w:p>
    <w:p>
      <w:pPr>
        <w:pStyle w:val="nzDefitem"/>
      </w:pPr>
      <w:r>
        <w:tab/>
        <w:t>(II)</w:t>
      </w:r>
      <w:r>
        <w:tab/>
        <w:t>the officers of the strata company; or</w:t>
      </w:r>
    </w:p>
    <w:p>
      <w:pPr>
        <w:pStyle w:val="nzDefitem"/>
      </w:pPr>
      <w:r>
        <w:tab/>
        <w:t>(III)</w:t>
      </w:r>
      <w:r>
        <w:tab/>
        <w:t>the procedures of a general meeting of the strata company; or</w:t>
      </w:r>
    </w:p>
    <w:p>
      <w:pPr>
        <w:pStyle w:val="nzDefitem"/>
      </w:pPr>
      <w:r>
        <w:tab/>
        <w:t>(IV)</w:t>
      </w:r>
      <w:r>
        <w:tab/>
        <w:t>the organisation of the affairs of the strata company; or</w:t>
      </w:r>
    </w:p>
    <w:p>
      <w:pPr>
        <w:pStyle w:val="nzDefitem"/>
      </w:pPr>
      <w:r>
        <w:tab/>
        <w:t>(V)</w:t>
      </w:r>
      <w:r>
        <w:tab/>
        <w:t>contributions, levies or money payable by the owner of a lot in the scheme to the strata company; or</w:t>
      </w:r>
    </w:p>
    <w:p>
      <w:pPr>
        <w:pStyle w:val="nzDefitem"/>
      </w:pPr>
      <w:r>
        <w:tab/>
        <w:t>(VI)</w:t>
      </w:r>
      <w:r>
        <w:tab/>
        <w:t>the carrying on of a business or trading activity by the strata company or the method of distributing and sharing any profit or loss;</w:t>
      </w:r>
    </w:p>
    <w:p>
      <w:pPr>
        <w:pStyle w:val="nzDefsubpara"/>
      </w:pPr>
      <w:r>
        <w:tab/>
        <w:t>(xi)</w:t>
      </w:r>
      <w:r>
        <w:tab/>
        <w:t>scheme by</w:t>
      </w:r>
      <w:r>
        <w:noBreakHyphen/>
        <w:t>laws classified by the regulations as governance by</w:t>
      </w:r>
      <w:r>
        <w:noBreakHyphen/>
        <w:t>laws;</w:t>
      </w:r>
    </w:p>
    <w:p>
      <w:pPr>
        <w:pStyle w:val="nz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nzDefstart"/>
      </w:pPr>
      <w:r>
        <w:tab/>
      </w:r>
      <w:r>
        <w:rPr>
          <w:rStyle w:val="CharDefText"/>
        </w:rPr>
        <w:t>infrastructure contract</w:t>
      </w:r>
      <w:r>
        <w:t> — see section 64(1)(a);</w:t>
      </w:r>
    </w:p>
    <w:p>
      <w:pPr>
        <w:pStyle w:val="nzDefstart"/>
      </w:pPr>
      <w:r>
        <w:tab/>
      </w:r>
      <w:r>
        <w:rPr>
          <w:rStyle w:val="CharDefText"/>
        </w:rPr>
        <w:t>infrastructure owner</w:t>
      </w:r>
      <w:r>
        <w:t> — see section 64(3);</w:t>
      </w:r>
    </w:p>
    <w:p>
      <w:pPr>
        <w:pStyle w:val="nzDefstart"/>
      </w:pPr>
      <w:r>
        <w:tab/>
      </w:r>
      <w:r>
        <w:rPr>
          <w:rStyle w:val="CharDefText"/>
        </w:rPr>
        <w:t>insurable asset of a strata titles scheme </w:t>
      </w:r>
      <w:r>
        <w:t>—</w:t>
      </w:r>
    </w:p>
    <w:p>
      <w:pPr>
        <w:pStyle w:val="nzDefpara"/>
      </w:pPr>
      <w:r>
        <w:tab/>
        <w:t>(a)</w:t>
      </w:r>
      <w:r>
        <w:tab/>
        <w:t>means —</w:t>
      </w:r>
    </w:p>
    <w:p>
      <w:pPr>
        <w:pStyle w:val="nzDefsubpara"/>
      </w:pPr>
      <w:r>
        <w:tab/>
        <w:t>(i)</w:t>
      </w:r>
      <w:r>
        <w:tab/>
        <w:t>the common property of the scheme (including the fixtures and improvements on the common property); or</w:t>
      </w:r>
    </w:p>
    <w:p>
      <w:pPr>
        <w:pStyle w:val="nzDefsubpara"/>
      </w:pPr>
      <w:r>
        <w:tab/>
        <w:t>(ii)</w:t>
      </w:r>
      <w:r>
        <w:tab/>
        <w:t>the parts of scheme buildings that comprise lots in the scheme (including the paint and wallpaper); or</w:t>
      </w:r>
    </w:p>
    <w:p>
      <w:pPr>
        <w:pStyle w:val="nzDefsubpara"/>
      </w:pPr>
      <w:r>
        <w:tab/>
        <w:t>(iii)</w:t>
      </w:r>
      <w:r>
        <w:tab/>
        <w:t>anything included in this definition by the regulations;</w:t>
      </w:r>
    </w:p>
    <w:p>
      <w:pPr>
        <w:pStyle w:val="nzDefpara"/>
      </w:pPr>
      <w:r>
        <w:tab/>
      </w:r>
      <w:r>
        <w:tab/>
        <w:t>but</w:t>
      </w:r>
    </w:p>
    <w:p>
      <w:pPr>
        <w:pStyle w:val="nzDefpara"/>
      </w:pPr>
      <w:r>
        <w:tab/>
        <w:t>(b)</w:t>
      </w:r>
      <w:r>
        <w:tab/>
        <w:t>does not include —</w:t>
      </w:r>
    </w:p>
    <w:p>
      <w:pPr>
        <w:pStyle w:val="nzDefsubpara"/>
      </w:pPr>
      <w:r>
        <w:tab/>
        <w:t>(i)</w:t>
      </w:r>
      <w:r>
        <w:tab/>
        <w:t>fixtures or improvements on the common property that are not themselves common property; or</w:t>
      </w:r>
    </w:p>
    <w:p>
      <w:pPr>
        <w:pStyle w:val="nzDefsubpara"/>
      </w:pPr>
      <w:r>
        <w:tab/>
        <w:t>(ii)</w:t>
      </w:r>
      <w:r>
        <w:tab/>
        <w:t>carpet and temporary wall, floor and ceiling coverings in a scheme building; or</w:t>
      </w:r>
    </w:p>
    <w:p>
      <w:pPr>
        <w:pStyle w:val="nzDefsubpara"/>
      </w:pPr>
      <w:r>
        <w:tab/>
        <w:t>(iii)</w:t>
      </w:r>
      <w:r>
        <w:tab/>
        <w:t>fixtures removable by a lessee at the expiration of a tenancy; or</w:t>
      </w:r>
    </w:p>
    <w:p>
      <w:pPr>
        <w:pStyle w:val="nzDefsubpara"/>
      </w:pPr>
      <w:r>
        <w:tab/>
        <w:t>(iv)</w:t>
      </w:r>
      <w:r>
        <w:tab/>
        <w:t>anything excluded from this definition by the regulations;</w:t>
      </w:r>
    </w:p>
    <w:p>
      <w:pPr>
        <w:pStyle w:val="nzDefstart"/>
      </w:pPr>
      <w:r>
        <w:tab/>
      </w:r>
      <w:r>
        <w:rPr>
          <w:rStyle w:val="CharDefText"/>
        </w:rPr>
        <w:t>interim development order</w:t>
      </w:r>
      <w:r>
        <w:t xml:space="preserve"> has the meaning given in the </w:t>
      </w:r>
      <w:r>
        <w:rPr>
          <w:i/>
        </w:rPr>
        <w:t>Planning and Development Act 2005</w:t>
      </w:r>
      <w:r>
        <w:t xml:space="preserve"> section 4(1);</w:t>
      </w:r>
    </w:p>
    <w:p>
      <w:pPr>
        <w:pStyle w:val="nzDefstart"/>
      </w:pPr>
      <w:r>
        <w:tab/>
      </w:r>
      <w:r>
        <w:rPr>
          <w:rStyle w:val="CharDefText"/>
        </w:rPr>
        <w:t>item registered or recorded</w:t>
      </w:r>
      <w:r>
        <w:t xml:space="preserve"> for a strata titles scheme — see section 58(5);</w:t>
      </w:r>
    </w:p>
    <w:p>
      <w:pPr>
        <w:pStyle w:val="nzPermNoteHeading"/>
      </w:pPr>
      <w:r>
        <w:tab/>
        <w:t>Note for this definition:</w:t>
      </w:r>
    </w:p>
    <w:p>
      <w:pPr>
        <w:pStyle w:val="nzPermNoteText"/>
      </w:pPr>
      <w:r>
        <w:tab/>
      </w:r>
      <w:r>
        <w:tab/>
        <w:t>For example, an item may comprise an estate, interest, right, encumbrance, notification, memorial or caveat.</w:t>
      </w:r>
    </w:p>
    <w:p>
      <w:pPr>
        <w:pStyle w:val="nzDefstart"/>
      </w:pPr>
      <w:r>
        <w:tab/>
      </w:r>
      <w:r>
        <w:rPr>
          <w:rStyle w:val="CharDefText"/>
        </w:rPr>
        <w:t>judicial member</w:t>
      </w:r>
      <w:r>
        <w:t xml:space="preserve"> has the meaning given in the </w:t>
      </w:r>
      <w:r>
        <w:rPr>
          <w:i/>
        </w:rPr>
        <w:t>State Administrative Tribunal Act 2004</w:t>
      </w:r>
      <w:r>
        <w:t xml:space="preserve"> section 3(1);</w:t>
      </w:r>
    </w:p>
    <w:p>
      <w:pPr>
        <w:pStyle w:val="nzDefstart"/>
      </w:pPr>
      <w:r>
        <w:tab/>
      </w:r>
      <w:r>
        <w:rPr>
          <w:rStyle w:val="CharDefText"/>
        </w:rPr>
        <w:t>key document</w:t>
      </w:r>
      <w:r>
        <w:t xml:space="preserve"> in relation to </w:t>
      </w:r>
      <w:r>
        <w:rPr>
          <w:rStyle w:val="CharDefText"/>
        </w:rPr>
        <w:t>a subdivision of land: a strata titles scheme</w:t>
      </w:r>
      <w:r>
        <w:t xml:space="preserve"> (including a stage of subdivision) means each of the following —</w:t>
      </w:r>
    </w:p>
    <w:p>
      <w:pPr>
        <w:pStyle w:val="nzDefpara"/>
      </w:pPr>
      <w:r>
        <w:tab/>
        <w:t>(a)</w:t>
      </w:r>
      <w:r>
        <w:tab/>
        <w:t>the application for registration of the scheme or amendment of the scheme to give effect to the subdivision and everything that accompanies the application;</w:t>
      </w:r>
    </w:p>
    <w:p>
      <w:pPr>
        <w:pStyle w:val="nzDefpara"/>
      </w:pPr>
      <w:r>
        <w:tab/>
        <w:t>(b)</w:t>
      </w:r>
      <w:r>
        <w:tab/>
        <w:t>the scheme documents, or amendments of the scheme documents, as registered for the subdivision;</w:t>
      </w:r>
    </w:p>
    <w:p>
      <w:pPr>
        <w:pStyle w:val="nzDefpara"/>
      </w:pPr>
      <w:r>
        <w:tab/>
        <w:t>(c)</w:t>
      </w:r>
      <w:r>
        <w:tab/>
        <w:t>planning approvals for the subdivision and development associated with the scheme;</w:t>
      </w:r>
    </w:p>
    <w:p>
      <w:pPr>
        <w:pStyle w:val="nzDefpara"/>
      </w:pPr>
      <w:r>
        <w:tab/>
        <w:t>(d)</w:t>
      </w:r>
      <w:r>
        <w:tab/>
        <w:t xml:space="preserve">occupancy permits and building approval certificates under the </w:t>
      </w:r>
      <w:r>
        <w:rPr>
          <w:i/>
        </w:rPr>
        <w:t>Building Act 2011</w:t>
      </w:r>
      <w:r>
        <w:t xml:space="preserve"> relating to development associated with the subdivision;</w:t>
      </w:r>
    </w:p>
    <w:p>
      <w:pPr>
        <w:pStyle w:val="nzDefpara"/>
      </w:pPr>
      <w:r>
        <w:tab/>
        <w:t>(e)</w:t>
      </w:r>
      <w:r>
        <w:tab/>
        <w:t>official notices relating to the subdivision or development associated with the subdivision;</w:t>
      </w:r>
    </w:p>
    <w:p>
      <w:pPr>
        <w:pStyle w:val="nz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nzDefpara"/>
      </w:pPr>
      <w:r>
        <w:tab/>
        <w:t>(g)</w:t>
      </w:r>
      <w:r>
        <w:tab/>
        <w:t>warranty documents and operational and servicing manuals for infrastructure that ought reasonably to be given to the strata company;</w:t>
      </w:r>
    </w:p>
    <w:p>
      <w:pPr>
        <w:pStyle w:val="nzDefpara"/>
      </w:pPr>
      <w:r>
        <w:tab/>
        <w:t>(h)</w:t>
      </w:r>
      <w:r>
        <w:tab/>
        <w:t>certificates and schedules relating to the insurance required for, or relating to, the scheme taken out or arranged by the scheme developer of the subdivision;</w:t>
      </w:r>
    </w:p>
    <w:p>
      <w:pPr>
        <w:pStyle w:val="nzDefpara"/>
      </w:pPr>
      <w:r>
        <w:tab/>
        <w:t>(i)</w:t>
      </w:r>
      <w:r>
        <w:tab/>
        <w:t>any contracts for the provision of services or amenities to the strata company or to members of the strata company entered into or arranged by the scheme developer for the subdivision or by the strata company;</w:t>
      </w:r>
    </w:p>
    <w:p>
      <w:pPr>
        <w:pStyle w:val="nzDefpara"/>
      </w:pPr>
      <w:r>
        <w:tab/>
        <w:t>(j)</w:t>
      </w:r>
      <w:r>
        <w:tab/>
        <w:t>any leases or licences over the common property of the scheme;</w:t>
      </w:r>
    </w:p>
    <w:p>
      <w:pPr>
        <w:pStyle w:val="nzDefpara"/>
      </w:pPr>
      <w:r>
        <w:tab/>
        <w:t>(k)</w:t>
      </w:r>
      <w:r>
        <w:tab/>
        <w:t>accounting records and other documents that ought reasonably to be given to the strata company;</w:t>
      </w:r>
    </w:p>
    <w:p>
      <w:pPr>
        <w:pStyle w:val="nzDefpara"/>
      </w:pPr>
      <w:r>
        <w:tab/>
        <w:t>(l)</w:t>
      </w:r>
      <w:r>
        <w:tab/>
        <w:t>anything included in this definition by the regulations;</w:t>
      </w:r>
    </w:p>
    <w:p>
      <w:pPr>
        <w:pStyle w:val="nzDefstart"/>
      </w:pPr>
      <w:r>
        <w:tab/>
      </w:r>
      <w:r>
        <w:rPr>
          <w:rStyle w:val="CharDefText"/>
        </w:rPr>
        <w:t xml:space="preserve">lease </w:t>
      </w:r>
      <w:r>
        <w:t>of a lot includes a sublease of the lot, but does not, in a leasehold scheme, include the strata lease for the lot;</w:t>
      </w:r>
    </w:p>
    <w:p>
      <w:pPr>
        <w:pStyle w:val="nzDefstart"/>
      </w:pPr>
      <w:r>
        <w:tab/>
      </w:r>
      <w:r>
        <w:rPr>
          <w:rStyle w:val="CharDefText"/>
        </w:rPr>
        <w:t>leasehold by</w:t>
      </w:r>
      <w:r>
        <w:rPr>
          <w:rStyle w:val="CharDefText"/>
        </w:rPr>
        <w:noBreakHyphen/>
        <w:t>laws</w:t>
      </w:r>
      <w:r>
        <w:t> — see section 40;</w:t>
      </w:r>
    </w:p>
    <w:p>
      <w:pPr>
        <w:pStyle w:val="nzDefstart"/>
      </w:pPr>
      <w:r>
        <w:tab/>
      </w:r>
      <w:r>
        <w:rPr>
          <w:rStyle w:val="CharDefText"/>
        </w:rPr>
        <w:t>leasehold scheme</w:t>
      </w:r>
      <w:r>
        <w:t> — see section 8(3);</w:t>
      </w:r>
    </w:p>
    <w:p>
      <w:pPr>
        <w:pStyle w:val="nzPermNoteHeading"/>
      </w:pPr>
      <w:r>
        <w:tab/>
        <w:t>Note for this definition</w:t>
      </w:r>
      <w:r>
        <w:rPr>
          <w:b/>
        </w:rPr>
        <w:t>:</w:t>
      </w:r>
    </w:p>
    <w:p>
      <w:pPr>
        <w:pStyle w:val="nzPermNoteText"/>
      </w:pPr>
      <w:r>
        <w:tab/>
      </w:r>
      <w:r>
        <w:tab/>
        <w:t>A leasehold scheme may be a strata scheme or a survey</w:t>
      </w:r>
      <w:r>
        <w:noBreakHyphen/>
        <w:t>strata scheme depending on how the lots are defined: see section 9.</w:t>
      </w:r>
    </w:p>
    <w:p>
      <w:pPr>
        <w:pStyle w:val="nzDefstart"/>
      </w:pPr>
      <w:r>
        <w:tab/>
      </w:r>
      <w:r>
        <w:rPr>
          <w:rStyle w:val="CharDefText"/>
        </w:rPr>
        <w:t>legally qualified member</w:t>
      </w:r>
      <w:r>
        <w:t xml:space="preserve"> has the meaning given in the </w:t>
      </w:r>
      <w:r>
        <w:rPr>
          <w:i/>
        </w:rPr>
        <w:t>State Administrative Tribunal Act 2004</w:t>
      </w:r>
      <w:r>
        <w:t xml:space="preserve"> section 3(1);</w:t>
      </w:r>
    </w:p>
    <w:p>
      <w:pPr>
        <w:pStyle w:val="nzDefstart"/>
      </w:pPr>
      <w:r>
        <w:rPr>
          <w:b/>
        </w:rPr>
        <w:tab/>
      </w:r>
      <w:r>
        <w:rPr>
          <w:rStyle w:val="CharDefText"/>
        </w:rPr>
        <w:t>licensed surveyor</w:t>
      </w:r>
      <w:r>
        <w:t xml:space="preserve"> has the meaning given in the </w:t>
      </w:r>
      <w:r>
        <w:rPr>
          <w:i/>
        </w:rPr>
        <w:t>Licensed Surveyors Act 1909</w:t>
      </w:r>
      <w:r>
        <w:t xml:space="preserve"> section 3;</w:t>
      </w:r>
    </w:p>
    <w:p>
      <w:pPr>
        <w:pStyle w:val="nzDefstart"/>
      </w:pPr>
      <w:r>
        <w:rPr>
          <w:b/>
        </w:rPr>
        <w:tab/>
      </w:r>
      <w:r>
        <w:rPr>
          <w:rStyle w:val="CharDefText"/>
        </w:rPr>
        <w:t>licensed valuer</w:t>
      </w:r>
      <w:r>
        <w:t xml:space="preserve"> has the meaning given in the </w:t>
      </w:r>
      <w:r>
        <w:rPr>
          <w:i/>
        </w:rPr>
        <w:t>Land Valuers Licensing Act 1978</w:t>
      </w:r>
      <w:r>
        <w:t xml:space="preserve"> section 4;</w:t>
      </w:r>
    </w:p>
    <w:p>
      <w:pPr>
        <w:pStyle w:val="nzDefstart"/>
      </w:pPr>
      <w:r>
        <w:tab/>
      </w:r>
      <w:r>
        <w:rPr>
          <w:rStyle w:val="CharDefText"/>
        </w:rPr>
        <w:t>local government</w:t>
      </w:r>
      <w:r>
        <w:rPr>
          <w:b/>
        </w:rPr>
        <w:t xml:space="preserve"> </w:t>
      </w:r>
      <w:r>
        <w:t>means a local government, regional local government or regional subsidiary;</w:t>
      </w:r>
    </w:p>
    <w:p>
      <w:pPr>
        <w:pStyle w:val="nzDefstart"/>
      </w:pPr>
      <w:r>
        <w:tab/>
      </w:r>
      <w:r>
        <w:rPr>
          <w:rStyle w:val="CharDefText"/>
        </w:rPr>
        <w:t>local planning scheme</w:t>
      </w:r>
      <w:r>
        <w:t xml:space="preserve"> has the meaning given in the </w:t>
      </w:r>
      <w:r>
        <w:rPr>
          <w:i/>
        </w:rPr>
        <w:t>Planning and Development Act 2005</w:t>
      </w:r>
      <w:r>
        <w:t xml:space="preserve"> section 4(1);</w:t>
      </w:r>
    </w:p>
    <w:p>
      <w:pPr>
        <w:pStyle w:val="nzDefstart"/>
      </w:pPr>
      <w:r>
        <w:tab/>
      </w:r>
      <w:r>
        <w:rPr>
          <w:rStyle w:val="CharDefText"/>
        </w:rPr>
        <w:t>member of a strata company</w:t>
      </w:r>
      <w:r>
        <w:t> — see section 14(8);</w:t>
      </w:r>
    </w:p>
    <w:p>
      <w:pPr>
        <w:pStyle w:val="nzDefstart"/>
      </w:pPr>
      <w:r>
        <w:tab/>
      </w:r>
      <w:r>
        <w:rPr>
          <w:rStyle w:val="CharDefText"/>
        </w:rPr>
        <w:t xml:space="preserve">member </w:t>
      </w:r>
      <w:r>
        <w:t>of the council of a strata company includes a person appointed under scheme by</w:t>
      </w:r>
      <w:r>
        <w:noBreakHyphen/>
        <w:t>laws to act as a member of the council;</w:t>
      </w:r>
    </w:p>
    <w:p>
      <w:pPr>
        <w:pStyle w:val="nz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nzDefstart"/>
      </w:pPr>
      <w:r>
        <w:rPr>
          <w:rStyle w:val="CharDefText"/>
        </w:rPr>
        <w:tab/>
        <w:t xml:space="preserve">mortgagee </w:t>
      </w:r>
      <w:r>
        <w:t>of a lot in a leasehold scheme includes a mortgagee or chargee of the strata leasehold estate in the lot;</w:t>
      </w:r>
    </w:p>
    <w:p>
      <w:pPr>
        <w:pStyle w:val="nzDefstart"/>
      </w:pPr>
      <w:r>
        <w:tab/>
      </w:r>
      <w:r>
        <w:rPr>
          <w:rStyle w:val="CharDefText"/>
        </w:rPr>
        <w:t>notifiable variation</w:t>
      </w:r>
      <w:r>
        <w:t xml:space="preserve"> means —</w:t>
      </w:r>
    </w:p>
    <w:p>
      <w:pPr>
        <w:pStyle w:val="nzDefpara"/>
      </w:pPr>
      <w:r>
        <w:tab/>
        <w:t>(a)</w:t>
      </w:r>
      <w:r>
        <w:tab/>
        <w:t>a type 1 notifiable variation; or</w:t>
      </w:r>
    </w:p>
    <w:p>
      <w:pPr>
        <w:pStyle w:val="nzDefpara"/>
      </w:pPr>
      <w:r>
        <w:tab/>
        <w:t>(b)</w:t>
      </w:r>
      <w:r>
        <w:tab/>
        <w:t>a type 2 notifiable variation;</w:t>
      </w:r>
    </w:p>
    <w:p>
      <w:pPr>
        <w:pStyle w:val="nzDefstart"/>
      </w:pPr>
      <w:r>
        <w:tab/>
      </w:r>
      <w:r>
        <w:rPr>
          <w:rStyle w:val="CharDefText"/>
        </w:rPr>
        <w:t xml:space="preserve">occupier </w:t>
      </w:r>
      <w:r>
        <w:t>of a lot means a person who occupies the lot on a temporary or permanent basis (either solely or jointly with other persons) and includes a person who is unlawfully in occupation of a lot;</w:t>
      </w:r>
    </w:p>
    <w:p>
      <w:pPr>
        <w:pStyle w:val="nzDefstart"/>
      </w:pPr>
      <w:r>
        <w:tab/>
      </w:r>
      <w:r>
        <w:rPr>
          <w:rStyle w:val="CharDefText"/>
        </w:rPr>
        <w:t xml:space="preserve">officer </w:t>
      </w:r>
      <w:r>
        <w:t>of a strata company means —</w:t>
      </w:r>
    </w:p>
    <w:p>
      <w:pPr>
        <w:pStyle w:val="nzDefpara"/>
      </w:pPr>
      <w:r>
        <w:tab/>
        <w:t>(a)</w:t>
      </w:r>
      <w:r>
        <w:tab/>
        <w:t>the chairperson of the strata company; or</w:t>
      </w:r>
    </w:p>
    <w:p>
      <w:pPr>
        <w:pStyle w:val="nzDefpara"/>
      </w:pPr>
      <w:r>
        <w:tab/>
        <w:t>(b)</w:t>
      </w:r>
      <w:r>
        <w:tab/>
        <w:t>if, under the scheme by</w:t>
      </w:r>
      <w:r>
        <w:noBreakHyphen/>
        <w:t>laws, the strata company has a secretary, the secretary of the strata company; or</w:t>
      </w:r>
    </w:p>
    <w:p>
      <w:pPr>
        <w:pStyle w:val="nzDefpara"/>
      </w:pPr>
      <w:r>
        <w:tab/>
        <w:t>(c)</w:t>
      </w:r>
      <w:r>
        <w:tab/>
        <w:t>if, under the scheme by</w:t>
      </w:r>
      <w:r>
        <w:noBreakHyphen/>
        <w:t>laws, the strata company has a treasurer, the treasurer of the strata company;</w:t>
      </w:r>
    </w:p>
    <w:p>
      <w:pPr>
        <w:pStyle w:val="nzDefstart"/>
      </w:pPr>
      <w:r>
        <w:tab/>
      </w:r>
      <w:r>
        <w:rPr>
          <w:rStyle w:val="CharDefText"/>
        </w:rPr>
        <w:t xml:space="preserve">on common property </w:t>
      </w:r>
      <w:r>
        <w:t>in relation to infrastructure means situated in or on common property;</w:t>
      </w:r>
    </w:p>
    <w:p>
      <w:pPr>
        <w:pStyle w:val="nzDefstart"/>
      </w:pPr>
      <w:r>
        <w:tab/>
      </w:r>
      <w:r>
        <w:rPr>
          <w:rStyle w:val="CharDefText"/>
        </w:rPr>
        <w:t>open space</w:t>
      </w:r>
      <w:r>
        <w:t xml:space="preserve"> means the area of a lot that is not occupied by a building, calculated in accordance with the regulations;</w:t>
      </w:r>
    </w:p>
    <w:p>
      <w:pPr>
        <w:pStyle w:val="nzDefstart"/>
      </w:pPr>
      <w:r>
        <w:rPr>
          <w:rStyle w:val="CharDefText"/>
        </w:rPr>
        <w:tab/>
        <w:t>order to act</w:t>
      </w:r>
      <w:r>
        <w:t xml:space="preserve"> means an order of the Tribunal that —</w:t>
      </w:r>
    </w:p>
    <w:p>
      <w:pPr>
        <w:pStyle w:val="nzDefpara"/>
      </w:pPr>
      <w:r>
        <w:tab/>
        <w:t>(a)</w:t>
      </w:r>
      <w:r>
        <w:tab/>
        <w:t>is not a monetary order; and</w:t>
      </w:r>
    </w:p>
    <w:p>
      <w:pPr>
        <w:pStyle w:val="nzDefpara"/>
      </w:pPr>
      <w:r>
        <w:tab/>
        <w:t>(b)</w:t>
      </w:r>
      <w:r>
        <w:tab/>
        <w:t>requires a person to take specified action or to refrain from taking specified action;</w:t>
      </w:r>
    </w:p>
    <w:p>
      <w:pPr>
        <w:pStyle w:val="nzDefstart"/>
      </w:pPr>
      <w:r>
        <w:tab/>
      </w:r>
      <w:r>
        <w:rPr>
          <w:rStyle w:val="CharDefText"/>
        </w:rPr>
        <w:t>ordinary resolution of a strata company</w:t>
      </w:r>
      <w:r>
        <w:t> — see section 123;</w:t>
      </w:r>
    </w:p>
    <w:p>
      <w:pPr>
        <w:pStyle w:val="nzDefstart"/>
      </w:pPr>
      <w:r>
        <w:rPr>
          <w:rStyle w:val="CharDefText"/>
        </w:rPr>
        <w:tab/>
        <w:t xml:space="preserve">original proprietor </w:t>
      </w:r>
      <w:r>
        <w:t xml:space="preserve">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nzDefstart"/>
      </w:pPr>
      <w:r>
        <w:tab/>
      </w:r>
      <w:r>
        <w:rPr>
          <w:rStyle w:val="CharDefText"/>
        </w:rPr>
        <w:t xml:space="preserve">owner </w:t>
      </w:r>
      <w:r>
        <w:t>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nzDefstart"/>
      </w:pPr>
      <w:r>
        <w:tab/>
      </w:r>
      <w:r>
        <w:rPr>
          <w:rStyle w:val="CharDefText"/>
        </w:rPr>
        <w:t xml:space="preserve">owner </w:t>
      </w:r>
      <w:r>
        <w:t>of a lot means —</w:t>
      </w:r>
    </w:p>
    <w:p>
      <w:pPr>
        <w:pStyle w:val="nzDefpara"/>
      </w:pPr>
      <w:r>
        <w:tab/>
        <w:t>(a)</w:t>
      </w:r>
      <w:r>
        <w:tab/>
        <w:t>for a lot in a freehold scheme —</w:t>
      </w:r>
    </w:p>
    <w:p>
      <w:pPr>
        <w:pStyle w:val="nzDefsubpara"/>
      </w:pPr>
      <w:r>
        <w:tab/>
        <w:t>(i)</w:t>
      </w:r>
      <w:r>
        <w:tab/>
        <w:t xml:space="preserve">a person who is registered under the </w:t>
      </w:r>
      <w:r>
        <w:rPr>
          <w:i/>
        </w:rPr>
        <w:t>Transfer of Land Act 1893</w:t>
      </w:r>
      <w:r>
        <w:t xml:space="preserve"> as the proprietor of an estate in fee simple in the lot; or</w:t>
      </w:r>
    </w:p>
    <w:p>
      <w:pPr>
        <w:pStyle w:val="nz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nzDefsubpara"/>
      </w:pPr>
      <w:r>
        <w:tab/>
        <w:t>(iii)</w:t>
      </w:r>
      <w:r>
        <w:tab/>
        <w:t>if a mortgagee is in possession of the lot — the mortgagee to the exclusion of the persons referred to in the preceding paragraphs;</w:t>
      </w:r>
    </w:p>
    <w:p>
      <w:pPr>
        <w:pStyle w:val="nzDefpara"/>
      </w:pPr>
      <w:r>
        <w:tab/>
      </w:r>
      <w:r>
        <w:tab/>
        <w:t>or</w:t>
      </w:r>
    </w:p>
    <w:p>
      <w:pPr>
        <w:pStyle w:val="nzDefpara"/>
      </w:pPr>
      <w:r>
        <w:tab/>
        <w:t>(b)</w:t>
      </w:r>
      <w:r>
        <w:tab/>
        <w:t>for a lot in a leasehold scheme —</w:t>
      </w:r>
    </w:p>
    <w:p>
      <w:pPr>
        <w:pStyle w:val="nzDefsubpara"/>
      </w:pPr>
      <w:r>
        <w:tab/>
        <w:t>(i)</w:t>
      </w:r>
      <w:r>
        <w:tab/>
        <w:t xml:space="preserve">a person who is registered under the </w:t>
      </w:r>
      <w:r>
        <w:rPr>
          <w:i/>
        </w:rPr>
        <w:t>Transfer of Land Act 1893</w:t>
      </w:r>
      <w:r>
        <w:t xml:space="preserve"> as the proprietor of a strata leasehold estate in the lot; or</w:t>
      </w:r>
    </w:p>
    <w:p>
      <w:pPr>
        <w:pStyle w:val="nzDefsubpara"/>
      </w:pPr>
      <w:r>
        <w:tab/>
        <w:t>(ii)</w:t>
      </w:r>
      <w:r>
        <w:tab/>
        <w:t>if a mortgagee is in possession of the lot — the mortgagee to the exclusion of a person referred to in the preceding paragraph;</w:t>
      </w:r>
    </w:p>
    <w:p>
      <w:pPr>
        <w:pStyle w:val="nzDefstart"/>
      </w:pPr>
      <w:r>
        <w:rPr>
          <w:b/>
        </w:rPr>
        <w:tab/>
      </w:r>
      <w:r>
        <w:rPr>
          <w:rStyle w:val="CharDefText"/>
        </w:rPr>
        <w:t>parcel</w:t>
      </w:r>
      <w:r>
        <w:t xml:space="preserve"> means the land subdivided by a strata titles scheme;</w:t>
      </w:r>
    </w:p>
    <w:p>
      <w:pPr>
        <w:pStyle w:val="nz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nz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nz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nzDefstart"/>
      </w:pPr>
      <w:r>
        <w:tab/>
      </w:r>
      <w:r>
        <w:rPr>
          <w:rStyle w:val="CharDefText"/>
        </w:rPr>
        <w:t xml:space="preserve">present at a meeting of a strata company — </w:t>
      </w:r>
      <w:r>
        <w:t>see section 131;</w:t>
      </w:r>
    </w:p>
    <w:p>
      <w:pPr>
        <w:pStyle w:val="nzDefstart"/>
      </w:pPr>
      <w:r>
        <w:rPr>
          <w:rStyle w:val="CharDefText"/>
        </w:rPr>
        <w:tab/>
        <w:t>President</w:t>
      </w:r>
      <w:r>
        <w:rPr>
          <w:i/>
        </w:rPr>
        <w:t xml:space="preserve"> </w:t>
      </w:r>
      <w:r>
        <w:t xml:space="preserve">has the meaning given in the </w:t>
      </w:r>
      <w:r>
        <w:rPr>
          <w:i/>
        </w:rPr>
        <w:t>State Administrative Tribunal Act 2004</w:t>
      </w:r>
      <w:r>
        <w:t xml:space="preserve"> section 3(1);</w:t>
      </w:r>
    </w:p>
    <w:p>
      <w:pPr>
        <w:pStyle w:val="nzDefstart"/>
      </w:pPr>
      <w:r>
        <w:rPr>
          <w:rStyle w:val="CharDefText"/>
        </w:rPr>
        <w:tab/>
        <w:t>proponent of a termination proposal</w:t>
      </w:r>
      <w:r>
        <w:t> — see section 173;</w:t>
      </w:r>
    </w:p>
    <w:p>
      <w:pPr>
        <w:pStyle w:val="nzDefstart"/>
      </w:pPr>
      <w:r>
        <w:rPr>
          <w:b/>
        </w:rPr>
        <w:tab/>
      </w:r>
      <w:r>
        <w:rPr>
          <w:rStyle w:val="CharDefText"/>
        </w:rPr>
        <w:t>Register</w:t>
      </w:r>
      <w:r>
        <w:t xml:space="preserve"> has the meaning given in the </w:t>
      </w:r>
      <w:r>
        <w:rPr>
          <w:i/>
        </w:rPr>
        <w:t>Transfer of Land Act 1893</w:t>
      </w:r>
      <w:r>
        <w:t xml:space="preserve"> section 4(1);</w:t>
      </w:r>
    </w:p>
    <w:p>
      <w:pPr>
        <w:pStyle w:val="nzDefstart"/>
      </w:pPr>
      <w:r>
        <w:tab/>
      </w:r>
      <w:r>
        <w:rPr>
          <w:rStyle w:val="CharDefText"/>
        </w:rPr>
        <w:t>registered lease</w:t>
      </w:r>
      <w:r>
        <w:t xml:space="preserve"> means a lease registered under the </w:t>
      </w:r>
      <w:r>
        <w:rPr>
          <w:i/>
        </w:rPr>
        <w:t>Transfer of Land Act 1893</w:t>
      </w:r>
      <w:r>
        <w:t>;</w:t>
      </w:r>
    </w:p>
    <w:p>
      <w:pPr>
        <w:pStyle w:val="nzDefstart"/>
      </w:pPr>
      <w:r>
        <w:tab/>
      </w:r>
      <w:r>
        <w:rPr>
          <w:rStyle w:val="CharDefText"/>
        </w:rPr>
        <w:t>registered mortgage</w:t>
      </w:r>
      <w:r>
        <w:t xml:space="preserve"> means a mortgage or charge (including a statutory charge) registered under the </w:t>
      </w:r>
      <w:r>
        <w:rPr>
          <w:i/>
        </w:rPr>
        <w:t>Transfer of Land Act 1893</w:t>
      </w:r>
      <w:r>
        <w:t>;</w:t>
      </w:r>
    </w:p>
    <w:p>
      <w:pPr>
        <w:pStyle w:val="nz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nzDefstart"/>
      </w:pPr>
      <w:r>
        <w:tab/>
      </w:r>
      <w:r>
        <w:rPr>
          <w:rStyle w:val="CharDefText"/>
        </w:rPr>
        <w:t>replacement value of an insurable asset</w:t>
      </w:r>
      <w:r>
        <w:t xml:space="preserve"> means —</w:t>
      </w:r>
    </w:p>
    <w:p>
      <w:pPr>
        <w:pStyle w:val="nzDefpara"/>
      </w:pPr>
      <w:r>
        <w:tab/>
        <w:t>(a)</w:t>
      </w:r>
      <w:r>
        <w:tab/>
        <w:t>the amount required to rebuild, replace, repair or restore the asset so that, on completion of the work, the asset is no less extensive and in no worse condition than when the asset was new; and</w:t>
      </w:r>
    </w:p>
    <w:p>
      <w:pPr>
        <w:pStyle w:val="nz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nzDefstart"/>
      </w:pPr>
      <w:r>
        <w:tab/>
      </w:r>
      <w:r>
        <w:rPr>
          <w:rStyle w:val="CharDefText"/>
        </w:rPr>
        <w:t>reserve fund</w:t>
      </w:r>
      <w:r>
        <w:t> — see section 100(2)(a);</w:t>
      </w:r>
    </w:p>
    <w:p>
      <w:pPr>
        <w:pStyle w:val="nzDefstart"/>
      </w:pPr>
      <w:r>
        <w:rPr>
          <w:b/>
        </w:rPr>
        <w:tab/>
      </w:r>
      <w:r>
        <w:rPr>
          <w:rStyle w:val="CharDefText"/>
        </w:rPr>
        <w:t>resolution without dissent</w:t>
      </w:r>
      <w:r>
        <w:t xml:space="preserve"> of a strata company — see section 123;</w:t>
      </w:r>
    </w:p>
    <w:p>
      <w:pPr>
        <w:pStyle w:val="nzDefstart"/>
      </w:pPr>
      <w:r>
        <w:rPr>
          <w:rStyle w:val="CharDefText"/>
        </w:rPr>
        <w:tab/>
        <w:t>restricted use condition</w:t>
      </w:r>
      <w:r>
        <w:t> — see section 32(2)(a);</w:t>
      </w:r>
    </w:p>
    <w:p>
      <w:pPr>
        <w:pStyle w:val="nzPermNoteHeading"/>
      </w:pPr>
      <w:r>
        <w:tab/>
        <w:t>Note for this definition:</w:t>
      </w:r>
    </w:p>
    <w:p>
      <w:pPr>
        <w:pStyle w:val="nzPermNoteText"/>
      </w:pPr>
      <w:r>
        <w:tab/>
      </w:r>
      <w:r>
        <w:tab/>
        <w:t>An example of a restricted use is use of a strata titles scheme as a retirement village.</w:t>
      </w:r>
    </w:p>
    <w:p>
      <w:pPr>
        <w:pStyle w:val="nz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nzDefstart"/>
      </w:pPr>
      <w:r>
        <w:tab/>
      </w:r>
      <w:r>
        <w:rPr>
          <w:rStyle w:val="CharDefText"/>
        </w:rPr>
        <w:t>scheme building</w:t>
      </w:r>
      <w:r>
        <w:t xml:space="preserve"> means a building shown on a strata plan and by reference to which the boundaries of lots are defined;</w:t>
      </w:r>
    </w:p>
    <w:p>
      <w:pPr>
        <w:pStyle w:val="nzDefstar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nzPermNoteHeading"/>
      </w:pPr>
      <w:r>
        <w:tab/>
        <w:t>Note for this definition:</w:t>
      </w:r>
    </w:p>
    <w:p>
      <w:pPr>
        <w:pStyle w:val="nzPermNoteText"/>
      </w:pPr>
      <w:r>
        <w:tab/>
      </w:r>
      <w:r>
        <w:tab/>
        <w:t>Scheme by</w:t>
      </w:r>
      <w:r>
        <w:noBreakHyphen/>
        <w:t>laws may be governance by</w:t>
      </w:r>
      <w:r>
        <w:noBreakHyphen/>
        <w:t>laws or conduct by</w:t>
      </w:r>
      <w:r>
        <w:noBreakHyphen/>
        <w:t>laws.</w:t>
      </w:r>
    </w:p>
    <w:p>
      <w:pPr>
        <w:pStyle w:val="nzDefstart"/>
      </w:pPr>
      <w:r>
        <w:tab/>
      </w:r>
      <w:r>
        <w:rPr>
          <w:rStyle w:val="CharDefText"/>
        </w:rPr>
        <w:t>scheme developer</w:t>
      </w:r>
      <w:r>
        <w:t> —</w:t>
      </w:r>
    </w:p>
    <w:p>
      <w:pPr>
        <w:pStyle w:val="nzDefpara"/>
      </w:pPr>
      <w:r>
        <w:tab/>
        <w:t>(a)</w:t>
      </w:r>
      <w:r>
        <w:tab/>
        <w:t>for the initial subdivision of a parcel by registration of a strata titles scheme, the original proprietor of the scheme is the scheme developer; and</w:t>
      </w:r>
    </w:p>
    <w:p>
      <w:pPr>
        <w:pStyle w:val="nz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nzDefstart"/>
      </w:pPr>
      <w:r>
        <w:tab/>
      </w:r>
      <w:r>
        <w:rPr>
          <w:rStyle w:val="CharDefText"/>
        </w:rPr>
        <w:t>scheme dispute</w:t>
      </w:r>
      <w:r>
        <w:t> — see section 197;</w:t>
      </w:r>
    </w:p>
    <w:p>
      <w:pPr>
        <w:pStyle w:val="nzDefstart"/>
      </w:pPr>
      <w:r>
        <w:tab/>
      </w:r>
      <w:r>
        <w:rPr>
          <w:rStyle w:val="CharDefText"/>
        </w:rPr>
        <w:t>scheme document</w:t>
      </w:r>
      <w:r>
        <w:t> — see section 12;</w:t>
      </w:r>
    </w:p>
    <w:p>
      <w:pPr>
        <w:pStyle w:val="nzDefstart"/>
      </w:pPr>
      <w:r>
        <w:tab/>
      </w:r>
      <w:r>
        <w:rPr>
          <w:rStyle w:val="CharDefText"/>
        </w:rPr>
        <w:t>scheme function</w:t>
      </w:r>
      <w:r>
        <w:t xml:space="preserve"> for a strata titles scheme means —</w:t>
      </w:r>
    </w:p>
    <w:p>
      <w:pPr>
        <w:pStyle w:val="nzDefpara"/>
      </w:pPr>
      <w:r>
        <w:tab/>
        <w:t>(a)</w:t>
      </w:r>
      <w:r>
        <w:tab/>
        <w:t>a function of the strata company; or</w:t>
      </w:r>
    </w:p>
    <w:p>
      <w:pPr>
        <w:pStyle w:val="nzDefpara"/>
      </w:pPr>
      <w:r>
        <w:tab/>
        <w:t>(b)</w:t>
      </w:r>
      <w:r>
        <w:tab/>
        <w:t>a function of the council of the strata company; or</w:t>
      </w:r>
    </w:p>
    <w:p>
      <w:pPr>
        <w:pStyle w:val="nzDefpara"/>
      </w:pPr>
      <w:r>
        <w:tab/>
        <w:t>(c)</w:t>
      </w:r>
      <w:r>
        <w:tab/>
        <w:t>a function of an officer of the strata company;</w:t>
      </w:r>
    </w:p>
    <w:p>
      <w:pPr>
        <w:pStyle w:val="nzDefstart"/>
      </w:pPr>
      <w:r>
        <w:rPr>
          <w:rStyle w:val="CharDefText"/>
        </w:rPr>
        <w:tab/>
        <w:t>scheme notice</w:t>
      </w:r>
      <w:r>
        <w:t xml:space="preserve"> for a strata titles scheme means the scheme notice registered, or proposed to be registered, for the scheme as a scheme document;</w:t>
      </w:r>
    </w:p>
    <w:p>
      <w:pPr>
        <w:pStyle w:val="nzDefstart"/>
      </w:pPr>
      <w:r>
        <w:rPr>
          <w:b/>
        </w:rPr>
        <w:tab/>
      </w:r>
      <w:r>
        <w:rPr>
          <w:rStyle w:val="CharDefText"/>
        </w:rPr>
        <w:t>scheme participant</w:t>
      </w:r>
      <w:r>
        <w:t> — see section 197(2);</w:t>
      </w:r>
    </w:p>
    <w:p>
      <w:pPr>
        <w:pStyle w:val="nz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nzDefstart"/>
      </w:pPr>
      <w:r>
        <w:rPr>
          <w:i/>
        </w:rPr>
        <w:tab/>
      </w:r>
      <w:r>
        <w:rPr>
          <w:rStyle w:val="CharDefText"/>
        </w:rPr>
        <w:t>settlement date for a contract for the purchase and sale of a lot</w:t>
      </w:r>
      <w:r>
        <w:t xml:space="preserve"> means —</w:t>
      </w:r>
    </w:p>
    <w:p>
      <w:pPr>
        <w:pStyle w:val="nzDefpara"/>
      </w:pPr>
      <w:r>
        <w:tab/>
        <w:t>(a)</w:t>
      </w:r>
      <w:r>
        <w:tab/>
        <w:t>the date on which the purchase price, or the balance of the purchase price, for the lot is paid in exchange for documents that enable the buyer to be registered as the owner of the lot; or</w:t>
      </w:r>
    </w:p>
    <w:p>
      <w:pPr>
        <w:pStyle w:val="nz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nzDefstart"/>
      </w:pPr>
      <w:r>
        <w:tab/>
      </w:r>
      <w:r>
        <w:rPr>
          <w:rStyle w:val="CharDefText"/>
        </w:rPr>
        <w:t>short form easement or restrictive covenant</w:t>
      </w:r>
      <w:r>
        <w:t> — see section 33(1);</w:t>
      </w:r>
    </w:p>
    <w:p>
      <w:pPr>
        <w:pStyle w:val="nzDefstart"/>
      </w:pPr>
      <w:r>
        <w:tab/>
      </w:r>
      <w:r>
        <w:rPr>
          <w:rStyle w:val="CharDefText"/>
        </w:rPr>
        <w:t>site value</w:t>
      </w:r>
      <w:r>
        <w:t xml:space="preserve"> has the meaning given in the </w:t>
      </w:r>
      <w:r>
        <w:rPr>
          <w:i/>
        </w:rPr>
        <w:t>Valuation of Land Act 1978</w:t>
      </w:r>
      <w:r>
        <w:t xml:space="preserve"> section 4(1);</w:t>
      </w:r>
    </w:p>
    <w:p>
      <w:pPr>
        <w:pStyle w:val="nzDefstart"/>
      </w:pPr>
      <w:r>
        <w:tab/>
      </w:r>
      <w:r>
        <w:rPr>
          <w:rStyle w:val="CharDefText"/>
        </w:rPr>
        <w:t>special common property</w:t>
      </w:r>
      <w:r>
        <w:t> — see section 43(1);</w:t>
      </w:r>
    </w:p>
    <w:p>
      <w:pPr>
        <w:pStyle w:val="nzDefstart"/>
      </w:pPr>
      <w:r>
        <w:tab/>
      </w:r>
      <w:r>
        <w:rPr>
          <w:rStyle w:val="CharDefText"/>
        </w:rPr>
        <w:t>special lot</w:t>
      </w:r>
      <w:r>
        <w:t> — see section 43(1);</w:t>
      </w:r>
    </w:p>
    <w:p>
      <w:pPr>
        <w:pStyle w:val="nzDefstart"/>
      </w:pPr>
      <w:r>
        <w:rPr>
          <w:b/>
        </w:rPr>
        <w:tab/>
      </w:r>
      <w:r>
        <w:rPr>
          <w:rStyle w:val="CharDefText"/>
        </w:rPr>
        <w:t>special resolution</w:t>
      </w:r>
      <w:r>
        <w:rPr>
          <w:i/>
        </w:rPr>
        <w:t xml:space="preserve"> </w:t>
      </w:r>
      <w:r>
        <w:t>of a strata company — see section 123;</w:t>
      </w:r>
    </w:p>
    <w:p>
      <w:pPr>
        <w:pStyle w:val="nzDefstart"/>
      </w:pPr>
      <w:r>
        <w:rPr>
          <w:rStyle w:val="CharDefText"/>
        </w:rPr>
        <w:tab/>
        <w:t>staged subdivision by</w:t>
      </w:r>
      <w:r>
        <w:rPr>
          <w:rStyle w:val="CharDefText"/>
        </w:rPr>
        <w:noBreakHyphen/>
        <w:t>laws</w:t>
      </w:r>
      <w:r>
        <w:t> — see section 42;</w:t>
      </w:r>
    </w:p>
    <w:p>
      <w:pPr>
        <w:pStyle w:val="nzDefstart"/>
      </w:pPr>
      <w:r>
        <w:rPr>
          <w:b/>
        </w:rPr>
        <w:tab/>
      </w:r>
      <w:r>
        <w:rPr>
          <w:rStyle w:val="CharDefText"/>
        </w:rPr>
        <w:t>statutory easement</w:t>
      </w:r>
      <w:r>
        <w:t xml:space="preserve"> means an easement under Part 5 Division 3;</w:t>
      </w:r>
    </w:p>
    <w:p>
      <w:pPr>
        <w:pStyle w:val="nzDefstart"/>
      </w:pPr>
      <w:r>
        <w:tab/>
      </w:r>
      <w:r>
        <w:rPr>
          <w:rStyle w:val="CharDefText"/>
        </w:rPr>
        <w:t>strata company</w:t>
      </w:r>
      <w:r>
        <w:t xml:space="preserve"> means a body corporate established under section 14 on registration of a strata titles scheme;</w:t>
      </w:r>
    </w:p>
    <w:p>
      <w:pPr>
        <w:pStyle w:val="nzDefstart"/>
      </w:pPr>
      <w:r>
        <w:tab/>
      </w:r>
      <w:r>
        <w:rPr>
          <w:rStyle w:val="CharDefText"/>
        </w:rPr>
        <w:t>strata lease</w:t>
      </w:r>
      <w:r>
        <w:t xml:space="preserve"> for a lot in a leasehold scheme means the lease registered, or proposed to be registered, for the lot as a scheme document;</w:t>
      </w:r>
    </w:p>
    <w:p>
      <w:pPr>
        <w:pStyle w:val="nzDefstart"/>
      </w:pPr>
      <w:r>
        <w:tab/>
      </w:r>
      <w:r>
        <w:rPr>
          <w:rStyle w:val="CharDefText"/>
        </w:rPr>
        <w:t>strata leasehold estate</w:t>
      </w:r>
      <w:r>
        <w:t xml:space="preserve"> means a leasehold estate held under a strata lease;</w:t>
      </w:r>
    </w:p>
    <w:p>
      <w:pPr>
        <w:pStyle w:val="nzDefstart"/>
      </w:pPr>
      <w:r>
        <w:tab/>
      </w:r>
      <w:r>
        <w:rPr>
          <w:rStyle w:val="CharDefText"/>
        </w:rPr>
        <w:t>strata management contract</w:t>
      </w:r>
      <w:r>
        <w:t> — see section 144(1)(a);</w:t>
      </w:r>
    </w:p>
    <w:p>
      <w:pPr>
        <w:pStyle w:val="nzDefstart"/>
      </w:pPr>
      <w:r>
        <w:tab/>
      </w:r>
      <w:r>
        <w:rPr>
          <w:rStyle w:val="CharDefText"/>
        </w:rPr>
        <w:t>strata manager</w:t>
      </w:r>
      <w:r>
        <w:t> — see section 143(1);</w:t>
      </w:r>
    </w:p>
    <w:p>
      <w:pPr>
        <w:pStyle w:val="nzDefstart"/>
      </w:pPr>
      <w:r>
        <w:tab/>
      </w:r>
      <w:r>
        <w:rPr>
          <w:rStyle w:val="CharDefText"/>
        </w:rPr>
        <w:t>strata plan</w:t>
      </w:r>
      <w:r>
        <w:t xml:space="preserve"> means a scheme plan for a strata scheme;</w:t>
      </w:r>
    </w:p>
    <w:p>
      <w:pPr>
        <w:pStyle w:val="nzDefstart"/>
      </w:pPr>
      <w:r>
        <w:tab/>
      </w:r>
      <w:r>
        <w:rPr>
          <w:rStyle w:val="CharDefText"/>
        </w:rPr>
        <w:t>strata scheme</w:t>
      </w:r>
      <w:r>
        <w:t> — see section 9;</w:t>
      </w:r>
    </w:p>
    <w:p>
      <w:pPr>
        <w:pStyle w:val="nzDefstart"/>
      </w:pPr>
      <w:r>
        <w:tab/>
      </w:r>
      <w:r>
        <w:rPr>
          <w:rStyle w:val="CharDefText"/>
        </w:rPr>
        <w:t>strata title</w:t>
      </w:r>
      <w:r>
        <w:t> — see section 13;</w:t>
      </w:r>
    </w:p>
    <w:p>
      <w:pPr>
        <w:pStyle w:val="nzDefstart"/>
      </w:pPr>
      <w:r>
        <w:tab/>
      </w:r>
      <w:r>
        <w:rPr>
          <w:rStyle w:val="CharDefText"/>
        </w:rPr>
        <w:t>strata titles scheme</w:t>
      </w:r>
      <w:r>
        <w:t xml:space="preserve"> means —</w:t>
      </w:r>
    </w:p>
    <w:p>
      <w:pPr>
        <w:pStyle w:val="nzDefpara"/>
      </w:pPr>
      <w:r>
        <w:tab/>
        <w:t>(a)</w:t>
      </w:r>
      <w:r>
        <w:tab/>
        <w:t>a strata scheme; or</w:t>
      </w:r>
    </w:p>
    <w:p>
      <w:pPr>
        <w:pStyle w:val="nzDefpara"/>
      </w:pPr>
      <w:r>
        <w:tab/>
        <w:t>(b)</w:t>
      </w:r>
      <w:r>
        <w:tab/>
        <w:t>a survey</w:t>
      </w:r>
      <w:r>
        <w:noBreakHyphen/>
        <w:t>strata scheme;</w:t>
      </w:r>
    </w:p>
    <w:p>
      <w:pPr>
        <w:pStyle w:val="nzPermNoteHeading"/>
      </w:pPr>
      <w:r>
        <w:tab/>
        <w:t>Note for this definition:</w:t>
      </w:r>
    </w:p>
    <w:p>
      <w:pPr>
        <w:pStyle w:val="nz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nzDefstart"/>
      </w:pPr>
      <w:r>
        <w:tab/>
      </w:r>
      <w:r>
        <w:rPr>
          <w:rStyle w:val="CharDefText"/>
        </w:rPr>
        <w:t>structural cubic space</w:t>
      </w:r>
      <w:r>
        <w:t xml:space="preserve"> means —</w:t>
      </w:r>
    </w:p>
    <w:p>
      <w:pPr>
        <w:pStyle w:val="nzDefpara"/>
      </w:pPr>
      <w:r>
        <w:tab/>
        <w:t>(a)</w:t>
      </w:r>
      <w:r>
        <w:tab/>
        <w:t>cubic space occupied by a vertical structural member, not being a wall, of a building; or</w:t>
      </w:r>
    </w:p>
    <w:p>
      <w:pPr>
        <w:pStyle w:val="nzDefpara"/>
      </w:pPr>
      <w:r>
        <w:tab/>
        <w:t>(b)</w:t>
      </w:r>
      <w:r>
        <w:tab/>
        <w:t>utility conduits in a building; or</w:t>
      </w:r>
    </w:p>
    <w:p>
      <w:pPr>
        <w:pStyle w:val="nzDefpara"/>
      </w:pPr>
      <w:r>
        <w:tab/>
        <w:t>(c)</w:t>
      </w:r>
      <w:r>
        <w:tab/>
        <w:t>cubic space enclosed by a structure enclosing utility conduits,</w:t>
      </w:r>
    </w:p>
    <w:p>
      <w:pPr>
        <w:pStyle w:val="nzDefstart"/>
      </w:pPr>
      <w:r>
        <w:tab/>
        <w:t>but does not include utility conduits that are for the exclusive use or enjoyment of 1 lot;</w:t>
      </w:r>
    </w:p>
    <w:p>
      <w:pPr>
        <w:pStyle w:val="nzPermNoteHeading"/>
      </w:pPr>
      <w:r>
        <w:tab/>
        <w:t>Note for this definition:</w:t>
      </w:r>
    </w:p>
    <w:p>
      <w:pPr>
        <w:pStyle w:val="nzPermNoteText"/>
      </w:pPr>
      <w:r>
        <w:tab/>
      </w:r>
      <w:r>
        <w:tab/>
        <w:t>Schedule 2A provides for a special rule about the definition of structural cubic space for single tier strata schemes.</w:t>
      </w:r>
    </w:p>
    <w:p>
      <w:pPr>
        <w:pStyle w:val="nzDefstart"/>
      </w:pPr>
      <w:r>
        <w:rPr>
          <w:b/>
        </w:rPr>
        <w:tab/>
      </w:r>
      <w:r>
        <w:rPr>
          <w:rStyle w:val="CharDefText"/>
        </w:rPr>
        <w:t>subdivision of land: a strata titles scheme</w:t>
      </w:r>
      <w:r>
        <w:t> — see section 11;</w:t>
      </w:r>
    </w:p>
    <w:p>
      <w:pPr>
        <w:pStyle w:val="nzDefstart"/>
      </w:pPr>
      <w:r>
        <w:tab/>
      </w:r>
      <w:r>
        <w:rPr>
          <w:rStyle w:val="CharDefText"/>
        </w:rPr>
        <w:t>survey</w:t>
      </w:r>
      <w:r>
        <w:rPr>
          <w:rStyle w:val="CharDefText"/>
        </w:rPr>
        <w:noBreakHyphen/>
        <w:t>strata plan</w:t>
      </w:r>
      <w:r>
        <w:t xml:space="preserve"> means a scheme plan for a survey</w:t>
      </w:r>
      <w:r>
        <w:noBreakHyphen/>
        <w:t>strata scheme;</w:t>
      </w:r>
    </w:p>
    <w:p>
      <w:pPr>
        <w:pStyle w:val="nzDefstart"/>
      </w:pPr>
      <w:r>
        <w:tab/>
      </w:r>
      <w:r>
        <w:rPr>
          <w:rStyle w:val="CharDefText"/>
        </w:rPr>
        <w:t>survey</w:t>
      </w:r>
      <w:r>
        <w:rPr>
          <w:rStyle w:val="CharDefText"/>
        </w:rPr>
        <w:noBreakHyphen/>
        <w:t>strata scheme</w:t>
      </w:r>
      <w:r>
        <w:t> — see section 9;</w:t>
      </w:r>
    </w:p>
    <w:p>
      <w:pPr>
        <w:pStyle w:val="nzDefstart"/>
      </w:pPr>
      <w:r>
        <w:tab/>
      </w:r>
      <w:r>
        <w:rPr>
          <w:rStyle w:val="CharDefText"/>
        </w:rPr>
        <w:t>sustainability infrastructure</w:t>
      </w:r>
      <w:r>
        <w:t xml:space="preserve"> means infrastructure that is designed or is likely to avoid, remedy or mitigate adverse effects on the environment;</w:t>
      </w:r>
    </w:p>
    <w:p>
      <w:pPr>
        <w:pStyle w:val="nzPermNoteHeading"/>
      </w:pPr>
      <w:r>
        <w:tab/>
        <w:t>Examples for this definition:</w:t>
      </w:r>
    </w:p>
    <w:p>
      <w:pPr>
        <w:pStyle w:val="nzPermNoteText"/>
      </w:pPr>
      <w:r>
        <w:tab/>
      </w:r>
      <w:r>
        <w:tab/>
        <w:t>Sustainability infrastructure includes solar panels, clothes lines and rainwater tanks.</w:t>
      </w:r>
    </w:p>
    <w:p>
      <w:pPr>
        <w:pStyle w:val="nz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nzDefstart"/>
      </w:pPr>
      <w:r>
        <w:rPr>
          <w:rStyle w:val="CharDefText"/>
        </w:rPr>
        <w:tab/>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nzDefstart"/>
      </w:pPr>
      <w:r>
        <w:rPr>
          <w:rStyle w:val="CharDefText"/>
        </w:rPr>
        <w:tab/>
        <w:t>termination infrastructure report</w:t>
      </w:r>
      <w:r>
        <w:t> — see section 179(2);</w:t>
      </w:r>
    </w:p>
    <w:p>
      <w:pPr>
        <w:pStyle w:val="nzDefstart"/>
      </w:pPr>
      <w:r>
        <w:rPr>
          <w:rStyle w:val="CharDefText"/>
        </w:rPr>
        <w:tab/>
        <w:t>termination proposal</w:t>
      </w:r>
      <w:r>
        <w:t> — see section 174(1);</w:t>
      </w:r>
    </w:p>
    <w:p>
      <w:pPr>
        <w:pStyle w:val="nzDefstart"/>
      </w:pPr>
      <w:r>
        <w:rPr>
          <w:rStyle w:val="CharDefText"/>
        </w:rPr>
        <w:tab/>
        <w:t>termination resolution</w:t>
      </w:r>
      <w:r>
        <w:t> — see section 182;</w:t>
      </w:r>
    </w:p>
    <w:p>
      <w:pPr>
        <w:pStyle w:val="nzDefstart"/>
      </w:pPr>
      <w:r>
        <w:rPr>
          <w:rStyle w:val="CharDefText"/>
        </w:rPr>
        <w:tab/>
        <w:t>termination valuation report</w:t>
      </w:r>
      <w:r>
        <w:t> — see section 179(3);</w:t>
      </w:r>
    </w:p>
    <w:p>
      <w:pPr>
        <w:pStyle w:val="nz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nzDefstart"/>
      </w:pPr>
      <w:r>
        <w:tab/>
      </w:r>
      <w:r>
        <w:rPr>
          <w:rStyle w:val="CharDefText"/>
        </w:rPr>
        <w:t>Tribunal</w:t>
      </w:r>
      <w:r>
        <w:t xml:space="preserve"> means the State Administrative Tribunal;</w:t>
      </w:r>
    </w:p>
    <w:p>
      <w:pPr>
        <w:pStyle w:val="nz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nzDefpara"/>
      </w:pPr>
      <w:r>
        <w:tab/>
        <w:t>(a)</w:t>
      </w:r>
      <w:r>
        <w:tab/>
        <w:t>the area or size of the lot or proposed lot is reduced by 5% or more from the area or size notified to the buyer before the buyer entered into the contract;</w:t>
      </w:r>
    </w:p>
    <w:p>
      <w:pPr>
        <w:pStyle w:val="nz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nzDefpara"/>
      </w:pPr>
      <w:r>
        <w:tab/>
        <w:t>(c)</w:t>
      </w:r>
      <w:r>
        <w:tab/>
        <w:t>anything relating to a proposal for the termination of the strata titles scheme is served on the seller by the strata company;</w:t>
      </w:r>
    </w:p>
    <w:p>
      <w:pPr>
        <w:pStyle w:val="nzDefpara"/>
      </w:pPr>
      <w:r>
        <w:tab/>
        <w:t>(d)</w:t>
      </w:r>
      <w:r>
        <w:tab/>
        <w:t>any other event classified by the regulations as a type 1 notifiable variation;</w:t>
      </w:r>
    </w:p>
    <w:p>
      <w:pPr>
        <w:pStyle w:val="nz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nzDefpara"/>
      </w:pPr>
      <w:r>
        <w:tab/>
        <w:t>(a)</w:t>
      </w:r>
      <w:r>
        <w:tab/>
        <w:t>the scheme plan, or proposed scheme plan or amendment of the scheme plan, for the strata titles scheme is modified in a way that affects the lot or the common property;</w:t>
      </w:r>
    </w:p>
    <w:p>
      <w:pPr>
        <w:pStyle w:val="nzDefpara"/>
      </w:pPr>
      <w:r>
        <w:tab/>
        <w:t>(b)</w:t>
      </w:r>
      <w:r>
        <w:tab/>
        <w:t>the schedule of unit entitlements, or proposed schedule of unit entitlements or amendment of the schedule of unit entitlements, for the strata titles scheme is modified in a way that affects the lot;</w:t>
      </w:r>
    </w:p>
    <w:p>
      <w:pPr>
        <w:pStyle w:val="nzDefpara"/>
      </w:pPr>
      <w:r>
        <w:tab/>
        <w:t>(c)</w:t>
      </w:r>
      <w:r>
        <w:tab/>
        <w:t>the scheme by</w:t>
      </w:r>
      <w:r>
        <w:noBreakHyphen/>
        <w:t>laws, or proposed scheme by</w:t>
      </w:r>
      <w:r>
        <w:noBreakHyphen/>
        <w:t>laws, are modified;</w:t>
      </w:r>
    </w:p>
    <w:p>
      <w:pPr>
        <w:pStyle w:val="nzDefpara"/>
      </w:pPr>
      <w:r>
        <w:tab/>
        <w:t>(d)</w:t>
      </w:r>
      <w:r>
        <w:tab/>
        <w:t>the strata company or a scheme developer —</w:t>
      </w:r>
    </w:p>
    <w:p>
      <w:pPr>
        <w:pStyle w:val="nzDefsubpara"/>
      </w:pPr>
      <w:r>
        <w:tab/>
        <w:t>(i)</w:t>
      </w:r>
      <w:r>
        <w:tab/>
        <w:t>enters into a contract for the provision of services or amenities to the strata company or to members of the strata company or a contract that is otherwise likely to affect the rights of the buyer; or</w:t>
      </w:r>
    </w:p>
    <w:p>
      <w:pPr>
        <w:pStyle w:val="nzDefsubpara"/>
      </w:pPr>
      <w:r>
        <w:tab/>
        <w:t>(ii)</w:t>
      </w:r>
      <w:r>
        <w:tab/>
        <w:t>varies an existing contract of that kind in a way that is likely to affect the rights of the buyer;</w:t>
      </w:r>
    </w:p>
    <w:p>
      <w:pPr>
        <w:pStyle w:val="nzDefpara"/>
      </w:pPr>
      <w:r>
        <w:tab/>
        <w:t>(e)</w:t>
      </w:r>
      <w:r>
        <w:tab/>
        <w:t>a lease, licence, right or privilege over the common property in the strata titles scheme is granted or varied;</w:t>
      </w:r>
    </w:p>
    <w:p>
      <w:pPr>
        <w:pStyle w:val="nzDefpara"/>
      </w:pPr>
      <w:r>
        <w:tab/>
        <w:t>(f)</w:t>
      </w:r>
      <w:r>
        <w:tab/>
        <w:t>any other event classified by the regulations as a type 2 notifiable variation;</w:t>
      </w:r>
    </w:p>
    <w:p>
      <w:pPr>
        <w:pStyle w:val="nzPermNoteHeading"/>
      </w:pPr>
      <w:r>
        <w:tab/>
        <w:t>Note for this definition:</w:t>
      </w:r>
    </w:p>
    <w:p>
      <w:pPr>
        <w:pStyle w:val="nzPermNoteText"/>
      </w:pPr>
      <w:r>
        <w:tab/>
      </w:r>
      <w:r>
        <w:tab/>
        <w:t>For when an amendment of a strata titles scheme affects a lot or common property see subsection (7).</w:t>
      </w:r>
    </w:p>
    <w:p>
      <w:pPr>
        <w:pStyle w:val="nzDefstart"/>
      </w:pPr>
      <w:r>
        <w:tab/>
      </w:r>
      <w:r>
        <w:rPr>
          <w:rStyle w:val="CharDefText"/>
        </w:rPr>
        <w:t>type 1 subdivision</w:t>
      </w:r>
      <w:r>
        <w:t xml:space="preserve"> means —</w:t>
      </w:r>
    </w:p>
    <w:p>
      <w:pPr>
        <w:pStyle w:val="nzDefpara"/>
      </w:pPr>
      <w:r>
        <w:tab/>
        <w:t>(a)</w:t>
      </w:r>
      <w:r>
        <w:tab/>
        <w:t>the addition of land from outside the parcel of a strata titles scheme to common property in the scheme (but not including temporary common property); or</w:t>
      </w:r>
    </w:p>
    <w:p>
      <w:pPr>
        <w:pStyle w:val="nzDefpara"/>
      </w:pPr>
      <w:r>
        <w:tab/>
        <w:t>(b)</w:t>
      </w:r>
      <w:r>
        <w:tab/>
        <w:t>the conversion of a lot in a strata titles scheme to common property in the scheme;</w:t>
      </w:r>
    </w:p>
    <w:p>
      <w:pPr>
        <w:pStyle w:val="nzDefstart"/>
      </w:pPr>
      <w:r>
        <w:tab/>
      </w:r>
      <w:r>
        <w:rPr>
          <w:rStyle w:val="CharDefText"/>
        </w:rPr>
        <w:t>type 2 subdivision</w:t>
      </w:r>
      <w:r>
        <w:t xml:space="preserve"> means the removal from the parcel of a strata titles scheme of land comprised of common property;</w:t>
      </w:r>
    </w:p>
    <w:p>
      <w:pPr>
        <w:pStyle w:val="nzDefstart"/>
      </w:pPr>
      <w:r>
        <w:tab/>
      </w:r>
      <w:r>
        <w:rPr>
          <w:rStyle w:val="CharDefText"/>
        </w:rPr>
        <w:t>type 3 subdivision</w:t>
      </w:r>
      <w:r>
        <w:t xml:space="preserve"> means a consolidation of 2 or more lots in a strata titles scheme into 1 lot in the scheme (not affecting common property in the scheme);</w:t>
      </w:r>
    </w:p>
    <w:p>
      <w:pPr>
        <w:pStyle w:val="nzDefstart"/>
      </w:pPr>
      <w:r>
        <w:tab/>
      </w:r>
      <w:r>
        <w:rPr>
          <w:rStyle w:val="CharDefText"/>
        </w:rPr>
        <w:t>type 4 subdivision</w:t>
      </w:r>
      <w:r>
        <w:t xml:space="preserve"> means a subdivision that does not involve the alteration of the boundaries of the parcel and is not a type 1, type 2 or type 3 subdivision;</w:t>
      </w:r>
    </w:p>
    <w:p>
      <w:pPr>
        <w:pStyle w:val="nzPermNoteHeading"/>
      </w:pPr>
      <w:r>
        <w:tab/>
        <w:t>Note for the definitions of types of subdivision:</w:t>
      </w:r>
    </w:p>
    <w:p>
      <w:pPr>
        <w:pStyle w:val="nzPermNoteText"/>
      </w:pPr>
      <w:r>
        <w:tab/>
        <w:t>1.</w:t>
      </w:r>
      <w:r>
        <w:tab/>
        <w:t>There are 4 types of amendment of a strata titles scheme that give effect to a subdivision, with varying requirements for resolutions and consents:</w:t>
      </w:r>
    </w:p>
    <w:p>
      <w:pPr>
        <w:pStyle w:val="nzPermNotePara"/>
      </w:pPr>
      <w:r>
        <w:t>A type 1 subdivision covers adding land from outside the parcel to the common property (other than as temporary common property) and what was formerly referred to as conversion of lots into common property.</w:t>
      </w:r>
    </w:p>
    <w:p>
      <w:pPr>
        <w:pStyle w:val="nzPermNotePara"/>
      </w:pPr>
      <w:r>
        <w:t>A type 2 subdivision covers the removal of common property from the parcel of a strata titles scheme.</w:t>
      </w:r>
    </w:p>
    <w:p>
      <w:pPr>
        <w:pStyle w:val="nzPermNotePara"/>
      </w:pPr>
      <w:r>
        <w:t>A type 3 subdivision covers what was formerly referred to as consolidation of lots.</w:t>
      </w:r>
    </w:p>
    <w:p>
      <w:pPr>
        <w:pStyle w:val="nzPermNotePara"/>
      </w:pPr>
      <w:r>
        <w:t>A type 4 subdivision covers what was formerly referred to as re</w:t>
      </w:r>
      <w:r>
        <w:noBreakHyphen/>
        <w:t>subdivision.</w:t>
      </w:r>
    </w:p>
    <w:p>
      <w:pPr>
        <w:pStyle w:val="nz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nzPermNotePara"/>
      </w:pPr>
      <w:r>
        <w:t>1 or more lots so as to create only 2 or more different lots; or</w:t>
      </w:r>
    </w:p>
    <w:p>
      <w:pPr>
        <w:pStyle w:val="nzPermNotePara"/>
      </w:pPr>
      <w:r>
        <w:t>1 or more lots so as to create 1 or more different lots and common property; or</w:t>
      </w:r>
    </w:p>
    <w:p>
      <w:pPr>
        <w:pStyle w:val="nzPermNotePara"/>
      </w:pPr>
      <w:r>
        <w:t>1 or more lots and common property so as to create 1 or more different lots or 1 or more different lots and common property; or</w:t>
      </w:r>
    </w:p>
    <w:p>
      <w:pPr>
        <w:pStyle w:val="nzPermNotePara"/>
      </w:pPr>
      <w:r>
        <w:t>common property so as to create 1 or more lots or 1 or more lots and common property.</w:t>
      </w:r>
    </w:p>
    <w:p>
      <w:pPr>
        <w:pStyle w:val="nzDefstart"/>
      </w:pPr>
      <w:r>
        <w:tab/>
      </w:r>
      <w:r>
        <w:rPr>
          <w:rStyle w:val="CharDefText"/>
        </w:rPr>
        <w:t>unanimous resolution of a strata company</w:t>
      </w:r>
      <w:r>
        <w:t> — see section 123;</w:t>
      </w:r>
    </w:p>
    <w:p>
      <w:pPr>
        <w:pStyle w:val="nzDefstart"/>
      </w:pPr>
      <w:r>
        <w:rPr>
          <w:b/>
        </w:rPr>
        <w:tab/>
      </w:r>
      <w:r>
        <w:rPr>
          <w:rStyle w:val="CharDefText"/>
        </w:rPr>
        <w:t>unit entitlement of a lot</w:t>
      </w:r>
      <w:r>
        <w:t> — see section 37(1)(a);</w:t>
      </w:r>
    </w:p>
    <w:p>
      <w:pPr>
        <w:pStyle w:val="nzDefstart"/>
      </w:pPr>
      <w:r>
        <w:tab/>
      </w:r>
      <w:r>
        <w:rPr>
          <w:rStyle w:val="CharDefText"/>
        </w:rPr>
        <w:t>utility conduit</w:t>
      </w:r>
      <w:r>
        <w:t xml:space="preserve"> means a conduit for the provision of a utility service (including pipes, wires, cables and ducts);</w:t>
      </w:r>
    </w:p>
    <w:p>
      <w:pPr>
        <w:pStyle w:val="nzDefstart"/>
      </w:pPr>
      <w:r>
        <w:tab/>
      </w:r>
      <w:r>
        <w:rPr>
          <w:rStyle w:val="CharDefText"/>
        </w:rPr>
        <w:t>utility infrastructure</w:t>
      </w:r>
      <w:r>
        <w:t xml:space="preserve"> means infrastructure and equipment necessary for, or related to, the provision of a utility service;</w:t>
      </w:r>
    </w:p>
    <w:p>
      <w:pPr>
        <w:pStyle w:val="nzDefstart"/>
      </w:pPr>
      <w:r>
        <w:tab/>
      </w:r>
      <w:r>
        <w:rPr>
          <w:rStyle w:val="CharDefText"/>
        </w:rPr>
        <w:t>utility service</w:t>
      </w:r>
      <w:r>
        <w:t xml:space="preserve"> means —</w:t>
      </w:r>
    </w:p>
    <w:p>
      <w:pPr>
        <w:pStyle w:val="nzDefpara"/>
      </w:pPr>
      <w:r>
        <w:tab/>
        <w:t>(a)</w:t>
      </w:r>
      <w:r>
        <w:tab/>
        <w:t>the collection and passage of stormwater; or</w:t>
      </w:r>
    </w:p>
    <w:p>
      <w:pPr>
        <w:pStyle w:val="nzDefpara"/>
      </w:pPr>
      <w:r>
        <w:tab/>
        <w:t>(b)</w:t>
      </w:r>
      <w:r>
        <w:tab/>
        <w:t>the supply of water for drinking or any other use; or</w:t>
      </w:r>
    </w:p>
    <w:p>
      <w:pPr>
        <w:pStyle w:val="nzDefpara"/>
      </w:pPr>
      <w:r>
        <w:tab/>
        <w:t>(c)</w:t>
      </w:r>
      <w:r>
        <w:tab/>
        <w:t>a sewerage and drainage service; or</w:t>
      </w:r>
    </w:p>
    <w:p>
      <w:pPr>
        <w:pStyle w:val="nzDefpara"/>
      </w:pPr>
      <w:r>
        <w:tab/>
        <w:t>(d)</w:t>
      </w:r>
      <w:r>
        <w:tab/>
        <w:t>a garbage collection service; or</w:t>
      </w:r>
    </w:p>
    <w:p>
      <w:pPr>
        <w:pStyle w:val="nzDefpara"/>
      </w:pPr>
      <w:r>
        <w:tab/>
        <w:t>(e)</w:t>
      </w:r>
      <w:r>
        <w:tab/>
        <w:t>a gas, electricity or air service, including air conditioning and heating; or</w:t>
      </w:r>
    </w:p>
    <w:p>
      <w:pPr>
        <w:pStyle w:val="nzDefpara"/>
      </w:pPr>
      <w:r>
        <w:tab/>
        <w:t>(f)</w:t>
      </w:r>
      <w:r>
        <w:tab/>
        <w:t>a communication or data service, including telephone, radio, television and internet; or</w:t>
      </w:r>
    </w:p>
    <w:p>
      <w:pPr>
        <w:pStyle w:val="nzDefpara"/>
      </w:pPr>
      <w:r>
        <w:tab/>
        <w:t>(g)</w:t>
      </w:r>
      <w:r>
        <w:tab/>
        <w:t>a service classified by the regulations as a utility service; or</w:t>
      </w:r>
    </w:p>
    <w:p>
      <w:pPr>
        <w:pStyle w:val="nzDefpara"/>
      </w:pPr>
      <w:r>
        <w:tab/>
        <w:t>(h)</w:t>
      </w:r>
      <w:r>
        <w:tab/>
        <w:t>another like service;</w:t>
      </w:r>
    </w:p>
    <w:p>
      <w:pPr>
        <w:pStyle w:val="nzDefstart"/>
      </w:pPr>
      <w:r>
        <w:rPr>
          <w:b/>
        </w:rPr>
        <w:tab/>
      </w:r>
      <w:r>
        <w:rPr>
          <w:rStyle w:val="CharDefText"/>
        </w:rPr>
        <w:t>utility service easement</w:t>
      </w:r>
      <w:r>
        <w:t xml:space="preserve"> means an easement under section 63;</w:t>
      </w:r>
    </w:p>
    <w:p>
      <w:pPr>
        <w:pStyle w:val="nz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nzDefstart"/>
      </w:pPr>
      <w:r>
        <w:rPr>
          <w:rStyle w:val="CharDefText"/>
        </w:rPr>
        <w:tab/>
        <w:t>volunteer strata manager</w:t>
      </w:r>
      <w:r>
        <w:t xml:space="preserve"> means a strata manager of a strata company who —</w:t>
      </w:r>
    </w:p>
    <w:p>
      <w:pPr>
        <w:pStyle w:val="nzDefpara"/>
      </w:pPr>
      <w:r>
        <w:tab/>
        <w:t>(a)</w:t>
      </w:r>
      <w:r>
        <w:tab/>
        <w:t>is the owner of a lot in the strata titles scheme; and</w:t>
      </w:r>
    </w:p>
    <w:p>
      <w:pPr>
        <w:pStyle w:val="nzDefpara"/>
      </w:pPr>
      <w:r>
        <w:tab/>
        <w:t>(b)</w:t>
      </w:r>
      <w:r>
        <w:tab/>
        <w:t>does not receive any fee, reward or benefit for work performed as a strata manager other than an honorary fee or reward not exceeding, if an amount is fixed by the regulations, that amount; and</w:t>
      </w:r>
    </w:p>
    <w:p>
      <w:pPr>
        <w:pStyle w:val="nzDefpara"/>
      </w:pPr>
      <w:r>
        <w:tab/>
        <w:t>(c)</w:t>
      </w:r>
      <w:r>
        <w:tab/>
        <w:t>personally performs the work of the strata manager;</w:t>
      </w:r>
    </w:p>
    <w:p>
      <w:pPr>
        <w:pStyle w:val="nzDefstart"/>
      </w:pPr>
      <w:r>
        <w:rPr>
          <w:b/>
        </w:rPr>
        <w:tab/>
      </w:r>
      <w:r>
        <w:rPr>
          <w:rStyle w:val="CharDefText"/>
        </w:rPr>
        <w:t xml:space="preserve">working day </w:t>
      </w:r>
      <w:r>
        <w:t>means a day other than a Saturday, a Sunday or a public holiday throughout the State.</w:t>
      </w:r>
    </w:p>
    <w:p>
      <w:pPr>
        <w:pStyle w:val="BlankClose"/>
      </w:pPr>
    </w:p>
    <w:p>
      <w:pPr>
        <w:pStyle w:val="nzSubsection"/>
      </w:pPr>
      <w:r>
        <w:tab/>
        <w:t>(3)</w:t>
      </w:r>
      <w:r>
        <w:tab/>
        <w:t xml:space="preserve">In section 3(1) in the definition of </w:t>
      </w:r>
      <w:r>
        <w:rPr>
          <w:b/>
          <w:i/>
        </w:rPr>
        <w:t>floor area</w:t>
      </w:r>
      <w:r>
        <w:t xml:space="preserve"> delete “</w:t>
      </w:r>
      <w:r>
        <w:rPr>
          <w:b/>
          <w:i/>
        </w:rPr>
        <w:t>area</w:t>
      </w:r>
      <w:r>
        <w:t xml:space="preserve"> in relation to a cubic space,” and insert:</w:t>
      </w:r>
    </w:p>
    <w:p>
      <w:pPr>
        <w:pStyle w:val="BlankOpen"/>
      </w:pPr>
    </w:p>
    <w:p>
      <w:pPr>
        <w:pStyle w:val="nzSubsection"/>
      </w:pPr>
      <w:r>
        <w:tab/>
      </w:r>
      <w:r>
        <w:tab/>
      </w:r>
      <w:r>
        <w:rPr>
          <w:b/>
          <w:i/>
        </w:rPr>
        <w:t>area of a cubic space</w:t>
      </w:r>
    </w:p>
    <w:p>
      <w:pPr>
        <w:pStyle w:val="BlankClose"/>
      </w:pPr>
    </w:p>
    <w:p>
      <w:pPr>
        <w:pStyle w:val="nzSubsection"/>
      </w:pPr>
      <w:r>
        <w:tab/>
        <w:t>(4)</w:t>
      </w:r>
      <w:r>
        <w:tab/>
        <w:t xml:space="preserve">In section 3(1) in the definition of </w:t>
      </w:r>
      <w:r>
        <w:rPr>
          <w:b/>
          <w:i/>
        </w:rPr>
        <w:t>floor plan</w:t>
      </w:r>
      <w:r>
        <w:t>:</w:t>
      </w:r>
    </w:p>
    <w:p>
      <w:pPr>
        <w:pStyle w:val="nzIndenta"/>
      </w:pPr>
      <w:r>
        <w:tab/>
        <w:t>(a)</w:t>
      </w:r>
      <w:r>
        <w:tab/>
        <w:t>after “a plan” insert:</w:t>
      </w:r>
    </w:p>
    <w:p>
      <w:pPr>
        <w:pStyle w:val="BlankOpen"/>
      </w:pPr>
    </w:p>
    <w:p>
      <w:pPr>
        <w:pStyle w:val="nzIndenta"/>
      </w:pPr>
      <w:r>
        <w:tab/>
      </w:r>
      <w:r>
        <w:tab/>
        <w:t>for a strata scheme</w:t>
      </w:r>
    </w:p>
    <w:p>
      <w:pPr>
        <w:pStyle w:val="BlankClose"/>
      </w:pPr>
    </w:p>
    <w:p>
      <w:pPr>
        <w:pStyle w:val="nzIndenta"/>
      </w:pPr>
      <w:r>
        <w:tab/>
        <w:t>(b)</w:t>
      </w:r>
      <w:r>
        <w:tab/>
        <w:t>delete “one” and insert”</w:t>
      </w:r>
    </w:p>
    <w:p>
      <w:pPr>
        <w:pStyle w:val="BlankOpen"/>
      </w:pPr>
    </w:p>
    <w:p>
      <w:pPr>
        <w:pStyle w:val="nzIndenta"/>
      </w:pPr>
      <w:r>
        <w:tab/>
      </w:r>
      <w:r>
        <w:tab/>
        <w:t>1</w:t>
      </w:r>
    </w:p>
    <w:p>
      <w:pPr>
        <w:pStyle w:val="BlankClose"/>
      </w:pPr>
    </w:p>
    <w:p>
      <w:pPr>
        <w:pStyle w:val="nzIndenta"/>
      </w:pPr>
      <w:r>
        <w:tab/>
        <w:t>(c)</w:t>
      </w:r>
      <w:r>
        <w:tab/>
        <w:t>in paragraph (a) delete “proposed” (each occurrence);</w:t>
      </w:r>
    </w:p>
    <w:p>
      <w:pPr>
        <w:pStyle w:val="nzIndenta"/>
      </w:pPr>
      <w:r>
        <w:tab/>
        <w:t>(d)</w:t>
      </w:r>
      <w:r>
        <w:tab/>
        <w:t>in paragraph (b)(ii) delete “where” and insert:</w:t>
      </w:r>
    </w:p>
    <w:p>
      <w:pPr>
        <w:pStyle w:val="BlankOpen"/>
      </w:pPr>
    </w:p>
    <w:p>
      <w:pPr>
        <w:pStyle w:val="nzIndenta"/>
      </w:pPr>
      <w:r>
        <w:tab/>
      </w:r>
      <w:r>
        <w:tab/>
        <w:t>if</w:t>
      </w:r>
    </w:p>
    <w:p>
      <w:pPr>
        <w:pStyle w:val="BlankClose"/>
      </w:pPr>
    </w:p>
    <w:p>
      <w:pPr>
        <w:pStyle w:val="nzIndenta"/>
      </w:pPr>
      <w:r>
        <w:tab/>
        <w:t>(e)</w:t>
      </w:r>
      <w:r>
        <w:tab/>
        <w:t>in paragraph (b)(ii) delete “proposed” (each occurrence);</w:t>
      </w:r>
    </w:p>
    <w:p>
      <w:pPr>
        <w:pStyle w:val="nzIndenta"/>
      </w:pPr>
      <w:r>
        <w:tab/>
        <w:t>(f)</w:t>
      </w:r>
      <w:r>
        <w:tab/>
        <w:t>in paragraph (c) delete “where proposed lots or parts thereo</w:t>
      </w:r>
      <w:r>
        <w:rPr>
          <w:spacing w:val="40"/>
        </w:rPr>
        <w:t>f</w:t>
      </w:r>
      <w:r>
        <w:t>” and insert:</w:t>
      </w:r>
    </w:p>
    <w:p>
      <w:pPr>
        <w:pStyle w:val="BlankOpen"/>
      </w:pPr>
    </w:p>
    <w:p>
      <w:pPr>
        <w:pStyle w:val="nzIndenta"/>
      </w:pPr>
      <w:r>
        <w:tab/>
      </w:r>
      <w:r>
        <w:tab/>
        <w:t>if lots or parts of lots</w:t>
      </w:r>
    </w:p>
    <w:p>
      <w:pPr>
        <w:pStyle w:val="BlankClose"/>
      </w:pPr>
    </w:p>
    <w:p>
      <w:pPr>
        <w:pStyle w:val="nzIndenta"/>
      </w:pPr>
      <w:r>
        <w:tab/>
        <w:t>(g)</w:t>
      </w:r>
      <w:r>
        <w:tab/>
        <w:t>in paragraph (c) delete “proposed lots or parts thereo</w:t>
      </w:r>
      <w:r>
        <w:rPr>
          <w:spacing w:val="40"/>
        </w:rPr>
        <w:t>f</w:t>
      </w:r>
      <w:r>
        <w:t>” (each occurrence) and insert:</w:t>
      </w:r>
    </w:p>
    <w:p>
      <w:pPr>
        <w:pStyle w:val="BlankOpen"/>
      </w:pPr>
    </w:p>
    <w:p>
      <w:pPr>
        <w:pStyle w:val="nzIndenta"/>
      </w:pPr>
      <w:r>
        <w:tab/>
      </w:r>
      <w:r>
        <w:tab/>
        <w:t>lots or parts of lots</w:t>
      </w:r>
    </w:p>
    <w:p>
      <w:pPr>
        <w:pStyle w:val="BlankClose"/>
      </w:pPr>
    </w:p>
    <w:p>
      <w:pPr>
        <w:pStyle w:val="nzIndenta"/>
      </w:pPr>
      <w:r>
        <w:tab/>
        <w:t>(h)</w:t>
      </w:r>
      <w:r>
        <w:tab/>
        <w:t>in paragraph (c)(i) delete “upon” and insert:</w:t>
      </w:r>
    </w:p>
    <w:p>
      <w:pPr>
        <w:pStyle w:val="BlankOpen"/>
      </w:pPr>
    </w:p>
    <w:p>
      <w:pPr>
        <w:pStyle w:val="nzIndenta"/>
      </w:pPr>
      <w:r>
        <w:tab/>
      </w:r>
      <w:r>
        <w:tab/>
        <w:t>on</w:t>
      </w:r>
    </w:p>
    <w:p>
      <w:pPr>
        <w:pStyle w:val="BlankClose"/>
      </w:pPr>
    </w:p>
    <w:p>
      <w:pPr>
        <w:pStyle w:val="nzSectAltNote"/>
      </w:pPr>
      <w:r>
        <w:tab/>
        <w:t>Note:</w:t>
      </w:r>
      <w:r>
        <w:tab/>
        <w:t xml:space="preserve">At the end of the definition of </w:t>
      </w:r>
      <w:r>
        <w:rPr>
          <w:b/>
          <w:i/>
        </w:rPr>
        <w:t>floor plan</w:t>
      </w:r>
      <w:r>
        <w:t xml:space="preserve"> the following note is to be inserted:</w:t>
      </w:r>
    </w:p>
    <w:p>
      <w:pPr>
        <w:pStyle w:val="BlankOpen"/>
      </w:pPr>
    </w:p>
    <w:p>
      <w:pPr>
        <w:pStyle w:val="nzPermNoteHeading"/>
      </w:pPr>
      <w:r>
        <w:tab/>
        <w:t>Note for this definition:</w:t>
      </w:r>
    </w:p>
    <w:p>
      <w:pPr>
        <w:pStyle w:val="nzPermNoteText"/>
      </w:pPr>
      <w:r>
        <w:tab/>
      </w:r>
      <w:r>
        <w:tab/>
        <w:t>Also see subsections (2) to (4).</w:t>
      </w:r>
    </w:p>
    <w:p>
      <w:pPr>
        <w:pStyle w:val="BlankClose"/>
      </w:pPr>
    </w:p>
    <w:p>
      <w:pPr>
        <w:pStyle w:val="nzSubsection"/>
      </w:pPr>
      <w:r>
        <w:tab/>
        <w:t>(5)</w:t>
      </w:r>
      <w:r>
        <w:tab/>
        <w:t xml:space="preserve">In section 3(1) in the definition of </w:t>
      </w:r>
      <w:r>
        <w:rPr>
          <w:b/>
          <w:i/>
        </w:rPr>
        <w:t>location plan</w:t>
      </w:r>
      <w:r>
        <w:t>:</w:t>
      </w:r>
    </w:p>
    <w:p>
      <w:pPr>
        <w:pStyle w:val="nzIndenta"/>
      </w:pPr>
      <w:r>
        <w:tab/>
        <w:t>(a)</w:t>
      </w:r>
      <w:r>
        <w:tab/>
        <w:t>delete “</w:t>
      </w:r>
      <w:r>
        <w:rPr>
          <w:b/>
          <w:i/>
        </w:rPr>
        <w:t>plan</w:t>
      </w:r>
      <w:r>
        <w:t>, in relation to a strata plan,” and insert:</w:t>
      </w:r>
    </w:p>
    <w:p>
      <w:pPr>
        <w:pStyle w:val="BlankOpen"/>
      </w:pPr>
    </w:p>
    <w:p>
      <w:pPr>
        <w:pStyle w:val="nzIndenta"/>
      </w:pPr>
      <w:r>
        <w:tab/>
      </w:r>
      <w:r>
        <w:tab/>
      </w:r>
      <w:r>
        <w:rPr>
          <w:b/>
          <w:i/>
        </w:rPr>
        <w:t>plan for a strata scheme</w:t>
      </w:r>
    </w:p>
    <w:p>
      <w:pPr>
        <w:pStyle w:val="BlankClose"/>
      </w:pPr>
    </w:p>
    <w:p>
      <w:pPr>
        <w:pStyle w:val="nzIndenta"/>
      </w:pPr>
      <w:r>
        <w:tab/>
        <w:t>(b)</w:t>
      </w:r>
      <w:r>
        <w:tab/>
        <w:t>delete “one” and insert:</w:t>
      </w:r>
    </w:p>
    <w:p>
      <w:pPr>
        <w:pStyle w:val="BlankOpen"/>
      </w:pPr>
    </w:p>
    <w:p>
      <w:pPr>
        <w:pStyle w:val="nzIndenta"/>
      </w:pPr>
      <w:r>
        <w:tab/>
      </w:r>
      <w:r>
        <w:tab/>
        <w:t>1</w:t>
      </w:r>
    </w:p>
    <w:p>
      <w:pPr>
        <w:pStyle w:val="BlankClose"/>
      </w:pPr>
    </w:p>
    <w:p>
      <w:pPr>
        <w:pStyle w:val="nzIndenta"/>
      </w:pPr>
      <w:r>
        <w:tab/>
        <w:t>(c)</w:t>
      </w:r>
      <w:r>
        <w:tab/>
        <w:t>delete “proposed” (each occurrence).</w:t>
      </w:r>
    </w:p>
    <w:p>
      <w:pPr>
        <w:pStyle w:val="nzSubsection"/>
      </w:pPr>
      <w:r>
        <w:tab/>
        <w:t>(6)</w:t>
      </w:r>
      <w:r>
        <w:tab/>
        <w:t xml:space="preserve">In section 3(1) in the definition of </w:t>
      </w:r>
      <w:r>
        <w:rPr>
          <w:b/>
          <w:i/>
        </w:rPr>
        <w:t>lot</w:t>
      </w:r>
      <w:r>
        <w:t xml:space="preserve"> (1</w:t>
      </w:r>
      <w:r>
        <w:rPr>
          <w:vertAlign w:val="superscript"/>
        </w:rPr>
        <w:t>st</w:t>
      </w:r>
      <w:r>
        <w:t xml:space="preserve"> occurrence):</w:t>
      </w:r>
    </w:p>
    <w:p>
      <w:pPr>
        <w:pStyle w:val="nzIndenta"/>
      </w:pPr>
      <w:r>
        <w:tab/>
        <w:t>(a)</w:t>
      </w:r>
      <w:r>
        <w:tab/>
        <w:t>delete “</w:t>
      </w:r>
      <w:r>
        <w:rPr>
          <w:b/>
          <w:i/>
        </w:rPr>
        <w:t>lot</w:t>
      </w:r>
      <w:r>
        <w:t>, in relation to a strata scheme,” and insert:</w:t>
      </w:r>
    </w:p>
    <w:p>
      <w:pPr>
        <w:pStyle w:val="BlankOpen"/>
        <w:rPr>
          <w:rStyle w:val="CharDefText"/>
        </w:rPr>
      </w:pPr>
    </w:p>
    <w:p>
      <w:pPr>
        <w:pStyle w:val="nzIndenta"/>
      </w:pPr>
      <w:r>
        <w:rPr>
          <w:rStyle w:val="CharDefText"/>
        </w:rPr>
        <w:tab/>
      </w:r>
      <w:r>
        <w:rPr>
          <w:rStyle w:val="CharDefText"/>
        </w:rPr>
        <w:tab/>
        <w:t xml:space="preserve">lot </w:t>
      </w:r>
      <w:r>
        <w:rPr>
          <w:b/>
          <w:i/>
        </w:rPr>
        <w:t>in a strata scheme</w:t>
      </w:r>
    </w:p>
    <w:p>
      <w:pPr>
        <w:pStyle w:val="BlankClose"/>
      </w:pPr>
    </w:p>
    <w:p>
      <w:pPr>
        <w:pStyle w:val="nzIndenta"/>
      </w:pPr>
      <w:r>
        <w:tab/>
        <w:t>(b)</w:t>
      </w:r>
      <w:r>
        <w:tab/>
        <w:t>delete “one” (each occurrence) and insert:</w:t>
      </w:r>
    </w:p>
    <w:p>
      <w:pPr>
        <w:pStyle w:val="BlankOpen"/>
      </w:pPr>
    </w:p>
    <w:p>
      <w:pPr>
        <w:pStyle w:val="nzIndenta"/>
      </w:pPr>
      <w:r>
        <w:tab/>
      </w:r>
      <w:r>
        <w:tab/>
        <w:t>1</w:t>
      </w:r>
    </w:p>
    <w:p>
      <w:pPr>
        <w:pStyle w:val="BlankClose"/>
      </w:pPr>
    </w:p>
    <w:p>
      <w:pPr>
        <w:pStyle w:val="nzIndenta"/>
      </w:pPr>
      <w:r>
        <w:tab/>
        <w:t>(c)</w:t>
      </w:r>
      <w:r>
        <w:tab/>
        <w:t>delete “to which a strata scheme relates,” and insert:</w:t>
      </w:r>
    </w:p>
    <w:p>
      <w:pPr>
        <w:pStyle w:val="BlankOpen"/>
      </w:pPr>
    </w:p>
    <w:p>
      <w:pPr>
        <w:pStyle w:val="nzIndenta"/>
      </w:pPr>
      <w:r>
        <w:tab/>
      </w:r>
      <w:r>
        <w:tab/>
        <w:t>subdivided by the strata scheme,</w:t>
      </w:r>
    </w:p>
    <w:p>
      <w:pPr>
        <w:pStyle w:val="BlankClose"/>
      </w:pPr>
    </w:p>
    <w:p>
      <w:pPr>
        <w:pStyle w:val="nzIndenta"/>
      </w:pPr>
      <w:r>
        <w:tab/>
        <w:t>(d)</w:t>
      </w:r>
      <w:r>
        <w:tab/>
        <w:t>delete “plan, plan of re</w:t>
      </w:r>
      <w:r>
        <w:noBreakHyphen/>
        <w:t>subdivision or plan of consolidation to which that strata scheme relates, being in each case, but subject to section 3AB,” and insert:</w:t>
      </w:r>
    </w:p>
    <w:p>
      <w:pPr>
        <w:pStyle w:val="BlankOpen"/>
      </w:pPr>
    </w:p>
    <w:p>
      <w:pPr>
        <w:pStyle w:val="nzIndenta"/>
      </w:pPr>
      <w:r>
        <w:tab/>
      </w:r>
      <w:r>
        <w:tab/>
        <w:t>plan or an amendment of the strata plan being, in each case,</w:t>
      </w:r>
    </w:p>
    <w:p>
      <w:pPr>
        <w:pStyle w:val="BlankClose"/>
      </w:pPr>
    </w:p>
    <w:p>
      <w:pPr>
        <w:pStyle w:val="nzIndenta"/>
      </w:pPr>
      <w:r>
        <w:tab/>
        <w:t>(e)</w:t>
      </w:r>
      <w:r>
        <w:tab/>
        <w:t>delete “where —” and insert:</w:t>
      </w:r>
    </w:p>
    <w:p>
      <w:pPr>
        <w:pStyle w:val="BlankOpen"/>
      </w:pPr>
    </w:p>
    <w:p>
      <w:pPr>
        <w:pStyle w:val="nzIndenta"/>
      </w:pPr>
      <w:r>
        <w:tab/>
      </w:r>
      <w:r>
        <w:tab/>
        <w:t>if that structural cubic space —</w:t>
      </w:r>
    </w:p>
    <w:p>
      <w:pPr>
        <w:pStyle w:val="BlankClose"/>
      </w:pPr>
    </w:p>
    <w:p>
      <w:pPr>
        <w:pStyle w:val="nzIndenta"/>
      </w:pPr>
      <w:r>
        <w:tab/>
        <w:t>(f)</w:t>
      </w:r>
      <w:r>
        <w:tab/>
        <w:t>delete paragraphs (a) and (b) and insert:</w:t>
      </w:r>
    </w:p>
    <w:p>
      <w:pPr>
        <w:pStyle w:val="BlankOpen"/>
      </w:pPr>
    </w:p>
    <w:p>
      <w:pPr>
        <w:pStyle w:val="nzDefpara"/>
      </w:pPr>
      <w:r>
        <w:tab/>
        <w:t>(a)</w:t>
      </w:r>
      <w:r>
        <w:tab/>
        <w:t>has boundaries described in accordance with the regulations; and</w:t>
      </w:r>
    </w:p>
    <w:p>
      <w:pPr>
        <w:pStyle w:val="nzDefpara"/>
      </w:pPr>
      <w:r>
        <w:tab/>
        <w:t>(b)</w:t>
      </w:r>
      <w:r>
        <w:tab/>
        <w:t>is shown in that floor plan as part of a lot;</w:t>
      </w:r>
    </w:p>
    <w:p>
      <w:pPr>
        <w:pStyle w:val="BlankClose"/>
      </w:pPr>
    </w:p>
    <w:p>
      <w:pPr>
        <w:pStyle w:val="nzSectAltNote"/>
      </w:pPr>
      <w:r>
        <w:tab/>
        <w:t>Note:</w:t>
      </w:r>
      <w:r>
        <w:tab/>
        <w:t xml:space="preserve">At the end of the definition of </w:t>
      </w:r>
      <w:r>
        <w:rPr>
          <w:b/>
          <w:i/>
        </w:rPr>
        <w:t>lot</w:t>
      </w:r>
      <w:r>
        <w:t xml:space="preserve"> the following note is to be inserted:</w:t>
      </w:r>
    </w:p>
    <w:p>
      <w:pPr>
        <w:pStyle w:val="BlankOpen"/>
      </w:pPr>
    </w:p>
    <w:p>
      <w:pPr>
        <w:pStyle w:val="nzPermNoteHeading"/>
      </w:pPr>
      <w:r>
        <w:tab/>
        <w:t>Note for this definition:</w:t>
      </w:r>
    </w:p>
    <w:p>
      <w:pPr>
        <w:pStyle w:val="nzPermNoteText"/>
      </w:pPr>
      <w:r>
        <w:tab/>
      </w:r>
      <w:r>
        <w:tab/>
        <w:t>Schedule 2A provides for a special rule about the definition of lot in a single tier strata scheme.</w:t>
      </w:r>
    </w:p>
    <w:p>
      <w:pPr>
        <w:pStyle w:val="BlankClose"/>
      </w:pPr>
    </w:p>
    <w:p>
      <w:pPr>
        <w:pStyle w:val="nzSubsection"/>
      </w:pPr>
      <w:r>
        <w:tab/>
        <w:t>(7)</w:t>
      </w:r>
      <w:r>
        <w:tab/>
        <w:t xml:space="preserve">In section 3(1) in the definition of </w:t>
      </w:r>
      <w:r>
        <w:rPr>
          <w:b/>
          <w:i/>
        </w:rPr>
        <w:t>lot</w:t>
      </w:r>
      <w:r>
        <w:t xml:space="preserve"> (2</w:t>
      </w:r>
      <w:r>
        <w:rPr>
          <w:vertAlign w:val="superscript"/>
        </w:rPr>
        <w:t>nd</w:t>
      </w:r>
      <w:r>
        <w:t xml:space="preserve"> occurrence):</w:t>
      </w:r>
    </w:p>
    <w:p>
      <w:pPr>
        <w:pStyle w:val="nzIndenta"/>
      </w:pPr>
      <w:r>
        <w:tab/>
        <w:t>(a)</w:t>
      </w:r>
      <w:r>
        <w:tab/>
        <w:t>delete “</w:t>
      </w:r>
      <w:r>
        <w:rPr>
          <w:b/>
          <w:i/>
        </w:rPr>
        <w:t>lot</w:t>
      </w:r>
      <w:r>
        <w:t>, in relation to a survey</w:t>
      </w:r>
      <w:r>
        <w:noBreakHyphen/>
        <w:t>strata scheme,” and insert:</w:t>
      </w:r>
    </w:p>
    <w:p>
      <w:pPr>
        <w:pStyle w:val="BlankOpen"/>
      </w:pPr>
    </w:p>
    <w:p>
      <w:pPr>
        <w:pStyle w:val="nzIndenta"/>
      </w:pPr>
      <w:r>
        <w:tab/>
      </w:r>
      <w:r>
        <w:tab/>
      </w:r>
      <w:r>
        <w:rPr>
          <w:b/>
          <w:i/>
        </w:rPr>
        <w:t>lot in a survey</w:t>
      </w:r>
      <w:r>
        <w:rPr>
          <w:b/>
          <w:i/>
        </w:rPr>
        <w:noBreakHyphen/>
        <w:t>strata scheme</w:t>
      </w:r>
    </w:p>
    <w:p>
      <w:pPr>
        <w:pStyle w:val="BlankClose"/>
      </w:pPr>
    </w:p>
    <w:p>
      <w:pPr>
        <w:pStyle w:val="nzIndenta"/>
      </w:pPr>
      <w:r>
        <w:tab/>
        <w:t>(b)</w:t>
      </w:r>
      <w:r>
        <w:tab/>
        <w:t>delete “one” and insert:</w:t>
      </w:r>
    </w:p>
    <w:p>
      <w:pPr>
        <w:pStyle w:val="BlankOpen"/>
      </w:pPr>
    </w:p>
    <w:p>
      <w:pPr>
        <w:pStyle w:val="nzIndenta"/>
      </w:pPr>
      <w:r>
        <w:tab/>
      </w:r>
      <w:r>
        <w:tab/>
        <w:t>1</w:t>
      </w:r>
    </w:p>
    <w:p>
      <w:pPr>
        <w:pStyle w:val="BlankClose"/>
      </w:pPr>
    </w:p>
    <w:p>
      <w:pPr>
        <w:pStyle w:val="nzIndenta"/>
      </w:pPr>
      <w:r>
        <w:tab/>
        <w:t>(c)</w:t>
      </w:r>
      <w:r>
        <w:tab/>
        <w:t>delete “scheme, but does not include —” and insert:</w:t>
      </w:r>
    </w:p>
    <w:p>
      <w:pPr>
        <w:pStyle w:val="BlankOpen"/>
      </w:pPr>
    </w:p>
    <w:p>
      <w:pPr>
        <w:pStyle w:val="nzIndenta"/>
      </w:pPr>
      <w:r>
        <w:tab/>
      </w:r>
      <w:r>
        <w:tab/>
        <w:t>scheme;</w:t>
      </w:r>
    </w:p>
    <w:p>
      <w:pPr>
        <w:pStyle w:val="BlankClose"/>
      </w:pPr>
    </w:p>
    <w:p>
      <w:pPr>
        <w:pStyle w:val="nzIndenta"/>
      </w:pPr>
      <w:r>
        <w:tab/>
        <w:t>(d)</w:t>
      </w:r>
      <w:r>
        <w:tab/>
        <w:t>delete paragraphs (a) and (b).</w:t>
      </w:r>
    </w:p>
    <w:p>
      <w:pPr>
        <w:pStyle w:val="nzSubsection"/>
      </w:pPr>
      <w:r>
        <w:tab/>
        <w:t>(8)</w:t>
      </w:r>
      <w:r>
        <w:tab/>
        <w:t xml:space="preserve">In section 3(1) in the definition of </w:t>
      </w:r>
      <w:r>
        <w:rPr>
          <w:b/>
          <w:i/>
        </w:rPr>
        <w:t>wall</w:t>
      </w:r>
      <w:r>
        <w:t>:</w:t>
      </w:r>
    </w:p>
    <w:p>
      <w:pPr>
        <w:pStyle w:val="nzIndenta"/>
      </w:pPr>
      <w:r>
        <w:tab/>
        <w:t>(a)</w:t>
      </w:r>
      <w:r>
        <w:tab/>
        <w:t>after “a lot” insert:</w:t>
      </w:r>
    </w:p>
    <w:p>
      <w:pPr>
        <w:pStyle w:val="BlankOpen"/>
      </w:pPr>
    </w:p>
    <w:p>
      <w:pPr>
        <w:pStyle w:val="nzIndenta"/>
      </w:pPr>
      <w:r>
        <w:tab/>
      </w:r>
      <w:r>
        <w:tab/>
        <w:t>in a strata titles scheme</w:t>
      </w:r>
    </w:p>
    <w:p>
      <w:pPr>
        <w:pStyle w:val="BlankClose"/>
      </w:pPr>
    </w:p>
    <w:p>
      <w:pPr>
        <w:pStyle w:val="nzIndenta"/>
      </w:pPr>
      <w:r>
        <w:tab/>
        <w:t>(b)</w:t>
      </w:r>
      <w:r>
        <w:tab/>
        <w:t>delete “another lot.” and insert:</w:t>
      </w:r>
    </w:p>
    <w:p>
      <w:pPr>
        <w:pStyle w:val="BlankOpen"/>
      </w:pPr>
    </w:p>
    <w:p>
      <w:pPr>
        <w:pStyle w:val="nzIndenta"/>
      </w:pPr>
      <w:r>
        <w:tab/>
      </w:r>
      <w:r>
        <w:tab/>
        <w:t>another lot in the scheme;</w:t>
      </w:r>
    </w:p>
    <w:p>
      <w:pPr>
        <w:pStyle w:val="BlankClose"/>
      </w:pPr>
    </w:p>
    <w:p>
      <w:pPr>
        <w:pStyle w:val="nzSubsection"/>
      </w:pPr>
      <w:r>
        <w:tab/>
        <w:t>(9)</w:t>
      </w:r>
      <w:r>
        <w:tab/>
        <w:t>In section 3(2):</w:t>
      </w:r>
    </w:p>
    <w:p>
      <w:pPr>
        <w:pStyle w:val="nzIndenta"/>
      </w:pPr>
      <w:r>
        <w:tab/>
        <w:t>(a)</w:t>
      </w:r>
      <w:r>
        <w:tab/>
        <w:t>delete “Except where section 3AB applies, the boundaries</w:t>
      </w:r>
      <w:r>
        <w:rPr>
          <w:snapToGrid w:val="0"/>
        </w:rPr>
        <w:t xml:space="preserve"> of any</w:t>
      </w:r>
      <w:r>
        <w:t>” and insert:</w:t>
      </w:r>
    </w:p>
    <w:p>
      <w:pPr>
        <w:pStyle w:val="BlankOpen"/>
      </w:pPr>
    </w:p>
    <w:p>
      <w:pPr>
        <w:pStyle w:val="nzIndenta"/>
      </w:pPr>
      <w:r>
        <w:tab/>
      </w:r>
      <w:r>
        <w:tab/>
        <w:t>The boundaries</w:t>
      </w:r>
      <w:r>
        <w:rPr>
          <w:snapToGrid w:val="0"/>
        </w:rPr>
        <w:t xml:space="preserve"> of a</w:t>
      </w:r>
    </w:p>
    <w:p>
      <w:pPr>
        <w:pStyle w:val="BlankClose"/>
      </w:pPr>
    </w:p>
    <w:p>
      <w:pPr>
        <w:pStyle w:val="nzIndenta"/>
      </w:pPr>
      <w:r>
        <w:tab/>
        <w:t>(b)</w:t>
      </w:r>
      <w:r>
        <w:tab/>
        <w:t>in paragraph (a)(i) delete “where the base of any” and insert:</w:t>
      </w:r>
    </w:p>
    <w:p>
      <w:pPr>
        <w:pStyle w:val="BlankOpen"/>
      </w:pPr>
    </w:p>
    <w:p>
      <w:pPr>
        <w:pStyle w:val="nzIndenta"/>
      </w:pPr>
      <w:r>
        <w:tab/>
      </w:r>
      <w:r>
        <w:tab/>
        <w:t>if the base of a</w:t>
      </w:r>
    </w:p>
    <w:p>
      <w:pPr>
        <w:pStyle w:val="BlankClose"/>
      </w:pPr>
    </w:p>
    <w:p>
      <w:pPr>
        <w:pStyle w:val="nzIndenta"/>
      </w:pPr>
      <w:r>
        <w:tab/>
        <w:t>(c)</w:t>
      </w:r>
      <w:r>
        <w:tab/>
        <w:t>in paragraph (a)(i) delete “any” and insert:</w:t>
      </w:r>
    </w:p>
    <w:p>
      <w:pPr>
        <w:pStyle w:val="BlankOpen"/>
      </w:pPr>
    </w:p>
    <w:p>
      <w:pPr>
        <w:pStyle w:val="nzIndenta"/>
      </w:pPr>
      <w:r>
        <w:tab/>
      </w:r>
      <w:r>
        <w:tab/>
        <w:t>a</w:t>
      </w:r>
    </w:p>
    <w:p>
      <w:pPr>
        <w:pStyle w:val="BlankClose"/>
      </w:pPr>
    </w:p>
    <w:p>
      <w:pPr>
        <w:pStyle w:val="nzIndenta"/>
      </w:pPr>
      <w:r>
        <w:tab/>
        <w:t>(d)</w:t>
      </w:r>
      <w:r>
        <w:tab/>
        <w:t>in paragraph (a)(ii) delete “where any” and insert:</w:t>
      </w:r>
    </w:p>
    <w:p>
      <w:pPr>
        <w:pStyle w:val="BlankOpen"/>
      </w:pPr>
    </w:p>
    <w:p>
      <w:pPr>
        <w:pStyle w:val="nzIndenta"/>
      </w:pPr>
      <w:r>
        <w:tab/>
      </w:r>
      <w:r>
        <w:tab/>
        <w:t>if a</w:t>
      </w:r>
    </w:p>
    <w:p>
      <w:pPr>
        <w:pStyle w:val="BlankClose"/>
      </w:pPr>
    </w:p>
    <w:p>
      <w:pPr>
        <w:pStyle w:val="nzIndenta"/>
      </w:pPr>
      <w:r>
        <w:tab/>
        <w:t>(e)</w:t>
      </w:r>
      <w:r>
        <w:tab/>
        <w:t>in paragraph (b) delete “prescribed manner” and insert:</w:t>
      </w:r>
    </w:p>
    <w:p>
      <w:pPr>
        <w:pStyle w:val="BlankOpen"/>
      </w:pPr>
    </w:p>
    <w:p>
      <w:pPr>
        <w:pStyle w:val="nzIndenta"/>
      </w:pPr>
      <w:r>
        <w:tab/>
      </w:r>
      <w:r>
        <w:tab/>
        <w:t>manner required by the regulations</w:t>
      </w:r>
    </w:p>
    <w:p>
      <w:pPr>
        <w:pStyle w:val="BlankClose"/>
      </w:pPr>
    </w:p>
    <w:p>
      <w:pPr>
        <w:pStyle w:val="nzSectAltNote"/>
      </w:pPr>
      <w:r>
        <w:tab/>
        <w:t>Note:</w:t>
      </w:r>
      <w:r>
        <w:tab/>
        <w:t>At the end of subsection (2) the following note is to be inserted:</w:t>
      </w:r>
    </w:p>
    <w:p>
      <w:pPr>
        <w:pStyle w:val="BlankOpen"/>
      </w:pPr>
    </w:p>
    <w:p>
      <w:pPr>
        <w:pStyle w:val="nzPermNoteHeading"/>
      </w:pPr>
      <w:r>
        <w:tab/>
        <w:t>Note for this subsection:</w:t>
      </w:r>
    </w:p>
    <w:p>
      <w:pPr>
        <w:pStyle w:val="nzPermNoteText"/>
      </w:pPr>
      <w:r>
        <w:tab/>
      </w:r>
      <w:r>
        <w:tab/>
        <w:t>Schedule 2A provides for a special rule about lot boundaries for single tier strata schemes.</w:t>
      </w:r>
    </w:p>
    <w:p>
      <w:pPr>
        <w:pStyle w:val="BlankClose"/>
      </w:pPr>
    </w:p>
    <w:p>
      <w:pPr>
        <w:pStyle w:val="nzSubsection"/>
      </w:pPr>
      <w:r>
        <w:tab/>
        <w:t>(10)</w:t>
      </w:r>
      <w:r>
        <w:tab/>
        <w:t>In section 3(2a):</w:t>
      </w:r>
    </w:p>
    <w:p>
      <w:pPr>
        <w:pStyle w:val="nzIndenta"/>
      </w:pPr>
      <w:r>
        <w:tab/>
        <w:t>(a)</w:t>
      </w:r>
      <w:r>
        <w:tab/>
        <w:t>delete “(2a)</w:t>
      </w:r>
      <w:r>
        <w:tab/>
        <w:t>Notwithstanding subsection (2), where —” and insert:</w:t>
      </w:r>
    </w:p>
    <w:p>
      <w:pPr>
        <w:pStyle w:val="BlankOpen"/>
      </w:pPr>
    </w:p>
    <w:p>
      <w:pPr>
        <w:pStyle w:val="nzIndenta"/>
      </w:pPr>
      <w:r>
        <w:tab/>
      </w:r>
      <w:r>
        <w:tab/>
        <w:t>(2A)</w:t>
      </w:r>
      <w:r>
        <w:tab/>
        <w:t>Despite subsection (2), if —</w:t>
      </w:r>
    </w:p>
    <w:p>
      <w:pPr>
        <w:pStyle w:val="BlankClose"/>
      </w:pPr>
    </w:p>
    <w:p>
      <w:pPr>
        <w:pStyle w:val="nzIndenta"/>
      </w:pPr>
      <w:r>
        <w:tab/>
        <w:t>(b)</w:t>
      </w:r>
      <w:r>
        <w:tab/>
        <w:t>delete “prescribed circumstances” and insert:</w:t>
      </w:r>
    </w:p>
    <w:p>
      <w:pPr>
        <w:pStyle w:val="BlankOpen"/>
      </w:pPr>
    </w:p>
    <w:p>
      <w:pPr>
        <w:pStyle w:val="nzIndenta"/>
      </w:pPr>
      <w:r>
        <w:tab/>
      </w:r>
      <w:r>
        <w:tab/>
        <w:t>circumstances specified in the regulations</w:t>
      </w:r>
    </w:p>
    <w:p>
      <w:pPr>
        <w:pStyle w:val="BlankClose"/>
      </w:pPr>
    </w:p>
    <w:p>
      <w:pPr>
        <w:pStyle w:val="nzIndenta"/>
      </w:pPr>
      <w:r>
        <w:tab/>
        <w:t>(c)</w:t>
      </w:r>
      <w:r>
        <w:tab/>
        <w:t>delete “prescribed manner,” and insert:</w:t>
      </w:r>
    </w:p>
    <w:p>
      <w:pPr>
        <w:pStyle w:val="BlankOpen"/>
      </w:pPr>
    </w:p>
    <w:p>
      <w:pPr>
        <w:pStyle w:val="nzIndenta"/>
      </w:pPr>
      <w:r>
        <w:tab/>
      </w:r>
      <w:r>
        <w:tab/>
        <w:t>manner required by the regulations,</w:t>
      </w:r>
    </w:p>
    <w:p>
      <w:pPr>
        <w:pStyle w:val="BlankClose"/>
      </w:pPr>
    </w:p>
    <w:p>
      <w:pPr>
        <w:pStyle w:val="nzSubsection"/>
      </w:pPr>
      <w:r>
        <w:tab/>
        <w:t>(11)</w:t>
      </w:r>
      <w:r>
        <w:tab/>
        <w:t>Delete section 3(5).</w:t>
      </w:r>
    </w:p>
    <w:p>
      <w:pPr>
        <w:pStyle w:val="nzSubsection"/>
      </w:pPr>
      <w:r>
        <w:tab/>
        <w:t>(12)</w:t>
      </w:r>
      <w:r>
        <w:tab/>
        <w:t>After section 3(6) insert:</w:t>
      </w:r>
    </w:p>
    <w:p>
      <w:pPr>
        <w:pStyle w:val="BlankOpen"/>
      </w:pPr>
    </w:p>
    <w:p>
      <w:pPr>
        <w:pStyle w:val="nzSubsection"/>
      </w:pPr>
      <w:r>
        <w:tab/>
        <w:t>(7)</w:t>
      </w:r>
      <w:r>
        <w:tab/>
        <w:t>An amendment of a strata titles scheme affects the common property or a lot in the scheme as follows —</w:t>
      </w:r>
    </w:p>
    <w:p>
      <w:pPr>
        <w:pStyle w:val="nzIndenta"/>
      </w:pPr>
      <w:r>
        <w:tab/>
        <w:t>(a)</w:t>
      </w:r>
      <w:r>
        <w:tab/>
        <w:t>an amendment affects the common property to the extent that it involves an amendment of the scheme plan that —</w:t>
      </w:r>
    </w:p>
    <w:p>
      <w:pPr>
        <w:pStyle w:val="nzIndenti"/>
      </w:pPr>
      <w:r>
        <w:tab/>
        <w:t>(i)</w:t>
      </w:r>
      <w:r>
        <w:tab/>
        <w:t>modifies the common property; or</w:t>
      </w:r>
    </w:p>
    <w:p>
      <w:pPr>
        <w:pStyle w:val="nzIndenti"/>
      </w:pPr>
      <w:r>
        <w:tab/>
        <w:t>(ii)</w:t>
      </w:r>
      <w:r>
        <w:tab/>
        <w:t>creates or discharges an easement or restrictive covenant that benefits or burdens the common property;</w:t>
      </w:r>
    </w:p>
    <w:p>
      <w:pPr>
        <w:pStyle w:val="nzIndenta"/>
      </w:pPr>
      <w:r>
        <w:tab/>
        <w:t>(b)</w:t>
      </w:r>
      <w:r>
        <w:tab/>
        <w:t>an amendment affects a lot to the extent that it involves an amendment of the scheme plan that —</w:t>
      </w:r>
    </w:p>
    <w:p>
      <w:pPr>
        <w:pStyle w:val="nzIndenti"/>
      </w:pPr>
      <w:r>
        <w:tab/>
        <w:t>(i)</w:t>
      </w:r>
      <w:r>
        <w:tab/>
        <w:t>modifies the definition of boundaries of the lot; or</w:t>
      </w:r>
    </w:p>
    <w:p>
      <w:pPr>
        <w:pStyle w:val="nzIndenti"/>
      </w:pPr>
      <w:r>
        <w:tab/>
        <w:t>(ii)</w:t>
      </w:r>
      <w:r>
        <w:tab/>
        <w:t>creates or discharges an easement or restrictive covenant that benefits or burdens the lot;</w:t>
      </w:r>
    </w:p>
    <w:p>
      <w:pPr>
        <w:pStyle w:val="nzIndenta"/>
      </w:pPr>
      <w:r>
        <w:tab/>
        <w:t>(c)</w:t>
      </w:r>
      <w:r>
        <w:tab/>
        <w:t>an amendment affects a lot to the extent that it involves an amendment of the schedule of unit entitlements for the scheme that modifies the unit entitlement of the lot.</w:t>
      </w:r>
    </w:p>
    <w:p>
      <w:pPr>
        <w:pStyle w:val="nzHeading5"/>
      </w:pPr>
      <w:bookmarkStart w:id="487" w:name="_Toc530474268"/>
      <w:bookmarkStart w:id="488" w:name="_Toc530474863"/>
      <w:r>
        <w:rPr>
          <w:rStyle w:val="CharSectno"/>
        </w:rPr>
        <w:t>8</w:t>
      </w:r>
      <w:r>
        <w:t>.</w:t>
      </w:r>
      <w:r>
        <w:tab/>
        <w:t>Section 3A amended</w:t>
      </w:r>
      <w:bookmarkEnd w:id="487"/>
      <w:bookmarkEnd w:id="488"/>
    </w:p>
    <w:p>
      <w:pPr>
        <w:pStyle w:val="nzSubsection"/>
      </w:pPr>
      <w:r>
        <w:tab/>
        <w:t>(1)</w:t>
      </w:r>
      <w:r>
        <w:tab/>
        <w:t>In section 3A(1):</w:t>
      </w:r>
    </w:p>
    <w:p>
      <w:pPr>
        <w:pStyle w:val="nzIndenta"/>
      </w:pPr>
      <w:r>
        <w:tab/>
        <w:t>(a)</w:t>
      </w:r>
      <w:r>
        <w:tab/>
        <w:t>delete “Section” and insert:</w:t>
      </w:r>
    </w:p>
    <w:p>
      <w:pPr>
        <w:pStyle w:val="BlankOpen"/>
      </w:pPr>
    </w:p>
    <w:p>
      <w:pPr>
        <w:pStyle w:val="nzIndenta"/>
      </w:pPr>
      <w:r>
        <w:tab/>
      </w:r>
      <w:r>
        <w:tab/>
        <w:t>Clause</w:t>
      </w:r>
    </w:p>
    <w:p>
      <w:pPr>
        <w:pStyle w:val="BlankClose"/>
      </w:pPr>
    </w:p>
    <w:p>
      <w:pPr>
        <w:pStyle w:val="nzIndenta"/>
      </w:pPr>
      <w:r>
        <w:tab/>
        <w:t>(b)</w:t>
      </w:r>
      <w:r>
        <w:tab/>
        <w:t>delete paragraphs (a) and (b) and insert:</w:t>
      </w:r>
    </w:p>
    <w:p>
      <w:pPr>
        <w:pStyle w:val="BlankOpen"/>
      </w:pPr>
    </w:p>
    <w:p>
      <w:pPr>
        <w:pStyle w:val="nz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nzIndenti"/>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nzIndenti"/>
        <w:rPr>
          <w:snapToGrid w:val="0"/>
        </w:rPr>
      </w:pPr>
      <w:r>
        <w:rPr>
          <w:snapToGrid w:val="0"/>
        </w:rPr>
        <w:tab/>
        <w:t>(ii)</w:t>
      </w:r>
      <w:r>
        <w:rPr>
          <w:snapToGrid w:val="0"/>
        </w:rPr>
        <w:tab/>
      </w:r>
      <w:r>
        <w:t>before</w:t>
      </w:r>
      <w:r>
        <w:rPr>
          <w:snapToGrid w:val="0"/>
        </w:rPr>
        <w:t xml:space="preserve"> 1 January 1998;</w:t>
      </w:r>
    </w:p>
    <w:p>
      <w:pPr>
        <w:pStyle w:val="nz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BlankClose"/>
      </w:pPr>
    </w:p>
    <w:p>
      <w:pPr>
        <w:pStyle w:val="nzIndenta"/>
      </w:pPr>
      <w:r>
        <w:tab/>
        <w:t>(c)</w:t>
      </w:r>
      <w:r>
        <w:tab/>
        <w:t>in paragraph (c) delete “where” and insert:</w:t>
      </w:r>
    </w:p>
    <w:p>
      <w:pPr>
        <w:pStyle w:val="BlankOpen"/>
      </w:pPr>
    </w:p>
    <w:p>
      <w:pPr>
        <w:pStyle w:val="nzIndenta"/>
      </w:pPr>
      <w:r>
        <w:tab/>
      </w:r>
      <w:r>
        <w:tab/>
        <w:t>if</w:t>
      </w:r>
    </w:p>
    <w:p>
      <w:pPr>
        <w:pStyle w:val="BlankClose"/>
      </w:pPr>
    </w:p>
    <w:p>
      <w:pPr>
        <w:pStyle w:val="nzSubsection"/>
      </w:pPr>
      <w:r>
        <w:tab/>
        <w:t>(2)</w:t>
      </w:r>
      <w:r>
        <w:tab/>
        <w:t>Delete section 3A(2) and insert:</w:t>
      </w:r>
    </w:p>
    <w:p>
      <w:pPr>
        <w:pStyle w:val="BlankOpen"/>
      </w:pPr>
    </w:p>
    <w:p>
      <w:pPr>
        <w:pStyle w:val="nz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BlankClose"/>
        <w:keepNext/>
      </w:pPr>
    </w:p>
    <w:p>
      <w:pPr>
        <w:pStyle w:val="nzSectAltNote"/>
      </w:pPr>
      <w:r>
        <w:tab/>
        <w:t>Note:</w:t>
      </w:r>
      <w:r>
        <w:tab/>
        <w:t>The heading to amended section 3A is to read:</w:t>
      </w:r>
    </w:p>
    <w:p>
      <w:pPr>
        <w:pStyle w:val="nzSectAltHeading"/>
      </w:pPr>
      <w:r>
        <w:rPr>
          <w:b w:val="0"/>
        </w:rPr>
        <w:tab/>
      </w:r>
      <w:r>
        <w:rPr>
          <w:b w:val="0"/>
        </w:rPr>
        <w:tab/>
      </w:r>
      <w:r>
        <w:t>Single tier strata schemes to which clause 3AB applies</w:t>
      </w:r>
    </w:p>
    <w:p>
      <w:pPr>
        <w:pStyle w:val="nzPermNoteHeading"/>
      </w:pPr>
      <w:r>
        <w:tab/>
        <w:t>Note:</w:t>
      </w:r>
    </w:p>
    <w:p>
      <w:pPr>
        <w:pStyle w:val="nzPermNoteText"/>
      </w:pPr>
      <w:r>
        <w:tab/>
      </w:r>
      <w:r>
        <w:tab/>
        <w:t>Section 3A (as amended) is redesignated as clause 3A and relocated to Schedule 2A.</w:t>
      </w:r>
    </w:p>
    <w:p>
      <w:pPr>
        <w:pStyle w:val="nzHeading5"/>
      </w:pPr>
      <w:bookmarkStart w:id="489" w:name="_Toc530474269"/>
      <w:bookmarkStart w:id="490" w:name="_Toc530474864"/>
      <w:r>
        <w:rPr>
          <w:rStyle w:val="CharSectno"/>
        </w:rPr>
        <w:t>9</w:t>
      </w:r>
      <w:r>
        <w:t>.</w:t>
      </w:r>
      <w:r>
        <w:tab/>
        <w:t>Section 3AB amended</w:t>
      </w:r>
      <w:bookmarkEnd w:id="489"/>
      <w:bookmarkEnd w:id="490"/>
    </w:p>
    <w:p>
      <w:pPr>
        <w:pStyle w:val="nzSubsection"/>
      </w:pPr>
      <w:r>
        <w:tab/>
        <w:t>(1)</w:t>
      </w:r>
      <w:r>
        <w:tab/>
        <w:t>In section 3AB(1):</w:t>
      </w:r>
    </w:p>
    <w:p>
      <w:pPr>
        <w:pStyle w:val="nzIndenta"/>
      </w:pPr>
      <w:r>
        <w:tab/>
        <w:t>(a)</w:t>
      </w:r>
      <w:r>
        <w:tab/>
        <w:t>delete “Where this section applies the boundaries of any” and insert:</w:t>
      </w:r>
    </w:p>
    <w:p>
      <w:pPr>
        <w:pStyle w:val="BlankOpen"/>
      </w:pPr>
    </w:p>
    <w:p>
      <w:pPr>
        <w:pStyle w:val="nzIndenta"/>
      </w:pPr>
      <w:r>
        <w:tab/>
      </w:r>
      <w:r>
        <w:tab/>
        <w:t>If this clause applies, the boundaries of a</w:t>
      </w:r>
    </w:p>
    <w:p>
      <w:pPr>
        <w:pStyle w:val="BlankClose"/>
      </w:pPr>
    </w:p>
    <w:p>
      <w:pPr>
        <w:pStyle w:val="nzIndenta"/>
      </w:pPr>
      <w:r>
        <w:tab/>
        <w:t>(b)</w:t>
      </w:r>
      <w:r>
        <w:tab/>
        <w:t>In paragraph (b) delete “where” and insert:</w:t>
      </w:r>
    </w:p>
    <w:p>
      <w:pPr>
        <w:pStyle w:val="BlankOpen"/>
      </w:pPr>
    </w:p>
    <w:p>
      <w:pPr>
        <w:pStyle w:val="nzIndenta"/>
      </w:pPr>
      <w:r>
        <w:tab/>
      </w:r>
      <w:r>
        <w:tab/>
        <w:t>if</w:t>
      </w:r>
    </w:p>
    <w:p>
      <w:pPr>
        <w:pStyle w:val="BlankClose"/>
      </w:pPr>
    </w:p>
    <w:p>
      <w:pPr>
        <w:pStyle w:val="nzSubsection"/>
      </w:pPr>
      <w:r>
        <w:tab/>
        <w:t>(2)</w:t>
      </w:r>
      <w:r>
        <w:tab/>
        <w:t>In section 3AB(2):</w:t>
      </w:r>
    </w:p>
    <w:p>
      <w:pPr>
        <w:pStyle w:val="nzIndenta"/>
      </w:pPr>
      <w:r>
        <w:tab/>
        <w:t>(a)</w:t>
      </w:r>
      <w:r>
        <w:tab/>
        <w:t>delete “subsection (1) —” and insert:</w:t>
      </w:r>
    </w:p>
    <w:p>
      <w:pPr>
        <w:pStyle w:val="BlankOpen"/>
      </w:pPr>
    </w:p>
    <w:p>
      <w:pPr>
        <w:pStyle w:val="nzIndenta"/>
      </w:pPr>
      <w:r>
        <w:tab/>
      </w:r>
      <w:r>
        <w:tab/>
        <w:t>subclause (1) —</w:t>
      </w:r>
    </w:p>
    <w:p>
      <w:pPr>
        <w:pStyle w:val="BlankClose"/>
      </w:pPr>
    </w:p>
    <w:p>
      <w:pPr>
        <w:pStyle w:val="nzIndenta"/>
      </w:pPr>
      <w:r>
        <w:tab/>
        <w:t>(b)</w:t>
      </w:r>
      <w:r>
        <w:tab/>
        <w:t>delete paragraph (b) and insert:</w:t>
      </w:r>
    </w:p>
    <w:p>
      <w:pPr>
        <w:pStyle w:val="BlankOpen"/>
      </w:pPr>
    </w:p>
    <w:p>
      <w:pPr>
        <w:pStyle w:val="nz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BlankClose"/>
      </w:pPr>
    </w:p>
    <w:p>
      <w:pPr>
        <w:pStyle w:val="nzSubsection"/>
      </w:pPr>
      <w:r>
        <w:tab/>
        <w:t>(3)</w:t>
      </w:r>
      <w:r>
        <w:tab/>
        <w:t>In section 3AB(3) delete “section” and insert:</w:t>
      </w:r>
    </w:p>
    <w:p>
      <w:pPr>
        <w:pStyle w:val="BlankOpen"/>
      </w:pPr>
    </w:p>
    <w:p>
      <w:pPr>
        <w:pStyle w:val="nzSubsection"/>
      </w:pPr>
      <w:r>
        <w:tab/>
      </w:r>
      <w:r>
        <w:tab/>
        <w:t>clause</w:t>
      </w:r>
    </w:p>
    <w:p>
      <w:pPr>
        <w:pStyle w:val="BlankClose"/>
      </w:pPr>
    </w:p>
    <w:p>
      <w:pPr>
        <w:pStyle w:val="nzSubsection"/>
      </w:pPr>
      <w:r>
        <w:tab/>
        <w:t>(4)</w:t>
      </w:r>
      <w:r>
        <w:tab/>
        <w:t>In section 3AB(4):</w:t>
      </w:r>
    </w:p>
    <w:p>
      <w:pPr>
        <w:pStyle w:val="nzIndenta"/>
      </w:pPr>
      <w:r>
        <w:tab/>
        <w:t>(a)</w:t>
      </w:r>
      <w:r>
        <w:tab/>
        <w:t>delete “Where this section” and insert:</w:t>
      </w:r>
    </w:p>
    <w:p>
      <w:pPr>
        <w:pStyle w:val="BlankOpen"/>
      </w:pPr>
    </w:p>
    <w:p>
      <w:pPr>
        <w:pStyle w:val="nzIndenta"/>
      </w:pPr>
      <w:r>
        <w:tab/>
      </w:r>
      <w:r>
        <w:tab/>
        <w:t>If this clause</w:t>
      </w:r>
    </w:p>
    <w:p>
      <w:pPr>
        <w:pStyle w:val="BlankClose"/>
        <w:keepNext/>
      </w:pPr>
    </w:p>
    <w:p>
      <w:pPr>
        <w:pStyle w:val="nzIndenta"/>
      </w:pPr>
      <w:r>
        <w:tab/>
        <w:t>(b)</w:t>
      </w:r>
      <w:r>
        <w:tab/>
        <w:t>in paragraph (b) delete “subsection (2)(b) of that section.” and insert:</w:t>
      </w:r>
    </w:p>
    <w:p>
      <w:pPr>
        <w:pStyle w:val="BlankOpen"/>
      </w:pPr>
    </w:p>
    <w:p>
      <w:pPr>
        <w:pStyle w:val="nzIndenta"/>
      </w:pPr>
      <w:r>
        <w:tab/>
      </w:r>
      <w:r>
        <w:tab/>
        <w:t>section 3(2)(b).</w:t>
      </w:r>
    </w:p>
    <w:p>
      <w:pPr>
        <w:pStyle w:val="BlankClose"/>
      </w:pPr>
    </w:p>
    <w:p>
      <w:pPr>
        <w:pStyle w:val="nzPermNoteHeading"/>
      </w:pPr>
      <w:r>
        <w:tab/>
        <w:t>Note:</w:t>
      </w:r>
    </w:p>
    <w:p>
      <w:pPr>
        <w:pStyle w:val="nzPermNoteText"/>
      </w:pPr>
      <w:r>
        <w:tab/>
      </w:r>
      <w:r>
        <w:tab/>
        <w:t>Section 3AB (as amended) is redesignated as clause 3AB and relocated to Schedule 2A.</w:t>
      </w:r>
    </w:p>
    <w:p>
      <w:pPr>
        <w:pStyle w:val="nzHeading5"/>
      </w:pPr>
      <w:bookmarkStart w:id="491" w:name="_Toc530474270"/>
      <w:bookmarkStart w:id="492" w:name="_Toc530474865"/>
      <w:r>
        <w:rPr>
          <w:rStyle w:val="CharSectno"/>
        </w:rPr>
        <w:t>10</w:t>
      </w:r>
      <w:r>
        <w:t>.</w:t>
      </w:r>
      <w:r>
        <w:tab/>
        <w:t>Section 7 amended</w:t>
      </w:r>
      <w:bookmarkEnd w:id="491"/>
      <w:bookmarkEnd w:id="492"/>
    </w:p>
    <w:p>
      <w:pPr>
        <w:pStyle w:val="nzSubsection"/>
      </w:pPr>
      <w:r>
        <w:tab/>
        <w:t>(1)</w:t>
      </w:r>
      <w:r>
        <w:tab/>
        <w:t>Delete section 7(1), (2) and (3) and insert:</w:t>
      </w:r>
    </w:p>
    <w:p>
      <w:pPr>
        <w:pStyle w:val="BlankOpen"/>
      </w:pPr>
    </w:p>
    <w:p>
      <w:pPr>
        <w:pStyle w:val="nzSubsection"/>
      </w:pPr>
      <w:r>
        <w:tab/>
        <w:t>(1)</w:t>
      </w:r>
      <w:r>
        <w:tab/>
        <w:t>The owner of a lot in a 2</w:t>
      </w:r>
      <w:r>
        <w:noBreakHyphen/>
        <w:t>lot scheme that is a strata scheme must not cause or permit the structural alteration of the lot except with the prior written approval of —</w:t>
      </w:r>
    </w:p>
    <w:p>
      <w:pPr>
        <w:pStyle w:val="nzIndenta"/>
      </w:pPr>
      <w:r>
        <w:tab/>
        <w:t>(a)</w:t>
      </w:r>
      <w:r>
        <w:tab/>
        <w:t>the owner of the other lot; and</w:t>
      </w:r>
    </w:p>
    <w:p>
      <w:pPr>
        <w:pStyle w:val="nzIndenta"/>
      </w:pPr>
      <w:r>
        <w:tab/>
        <w:t>(b)</w:t>
      </w:r>
      <w:r>
        <w:tab/>
        <w:t>for a leasehold scheme, the owner of the leasehold scheme.</w:t>
      </w:r>
    </w:p>
    <w:p>
      <w:pPr>
        <w:pStyle w:val="nzSubsection"/>
      </w:pPr>
      <w:r>
        <w:tab/>
        <w:t>(2)</w:t>
      </w:r>
      <w:r>
        <w:tab/>
        <w:t>The owner of a lot in a strata scheme, other than a 2</w:t>
      </w:r>
      <w:r>
        <w:noBreakHyphen/>
        <w:t>lot scheme, must not cause or permit the structural alteration of the lot except —</w:t>
      </w:r>
    </w:p>
    <w:p>
      <w:pPr>
        <w:pStyle w:val="nzIndenta"/>
      </w:pPr>
      <w:r>
        <w:tab/>
        <w:t>(a)</w:t>
      </w:r>
      <w:r>
        <w:tab/>
        <w:t>with the prior approval, expressed by resolution without dissent, of the strata company and, for a leasehold scheme, the prior written approval of the owner of the leasehold scheme; or</w:t>
      </w:r>
    </w:p>
    <w:p>
      <w:pPr>
        <w:pStyle w:val="nzIndenta"/>
      </w:pPr>
      <w:r>
        <w:tab/>
        <w:t>(b)</w:t>
      </w:r>
      <w:r>
        <w:tab/>
        <w:t>if —</w:t>
      </w:r>
    </w:p>
    <w:p>
      <w:pPr>
        <w:pStyle w:val="nzIndenti"/>
      </w:pPr>
      <w:r>
        <w:tab/>
        <w:t>(i)</w:t>
      </w:r>
      <w:r>
        <w:tab/>
        <w:t>the prior written approval to the structural alteration has been given by the owner of each lot in the scheme, and, for a leasehold scheme, the owner of the leasehold scheme; and</w:t>
      </w:r>
    </w:p>
    <w:p>
      <w:pPr>
        <w:pStyle w:val="nzIndenti"/>
      </w:pPr>
      <w:r>
        <w:tab/>
        <w:t>(ii)</w:t>
      </w:r>
      <w:r>
        <w:tab/>
        <w:t>all approvals are either unconditional or are subject to the same conditions; and</w:t>
      </w:r>
    </w:p>
    <w:p>
      <w:pPr>
        <w:pStyle w:val="nzIndenti"/>
      </w:pPr>
      <w:r>
        <w:tab/>
        <w:t>(iii)</w:t>
      </w:r>
      <w:r>
        <w:tab/>
        <w:t>a copy of each approval is served on the strata company.</w:t>
      </w:r>
    </w:p>
    <w:p>
      <w:pPr>
        <w:pStyle w:val="nz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BlankClose"/>
      </w:pPr>
    </w:p>
    <w:p>
      <w:pPr>
        <w:pStyle w:val="nzSubsection"/>
      </w:pPr>
      <w:r>
        <w:tab/>
        <w:t>(2)</w:t>
      </w:r>
      <w:r>
        <w:tab/>
        <w:t>In section 7(4):</w:t>
      </w:r>
    </w:p>
    <w:p>
      <w:pPr>
        <w:pStyle w:val="nzIndenta"/>
      </w:pPr>
      <w:r>
        <w:tab/>
        <w:t>(a)</w:t>
      </w:r>
      <w:r>
        <w:tab/>
        <w:t>delete “Where an application is made to a strata company in accordance with section 7B —” and insert:</w:t>
      </w:r>
    </w:p>
    <w:p>
      <w:pPr>
        <w:pStyle w:val="BlankOpen"/>
      </w:pPr>
    </w:p>
    <w:p>
      <w:pPr>
        <w:pStyle w:val="nzIndenta"/>
      </w:pPr>
      <w:r>
        <w:tab/>
      </w:r>
      <w:r>
        <w:tab/>
        <w:t>If an application is made to a strata company under this section —</w:t>
      </w:r>
    </w:p>
    <w:p>
      <w:pPr>
        <w:pStyle w:val="BlankClose"/>
      </w:pPr>
    </w:p>
    <w:p>
      <w:pPr>
        <w:pStyle w:val="nzIndenta"/>
      </w:pPr>
      <w:r>
        <w:tab/>
        <w:t>(b)</w:t>
      </w:r>
      <w:r>
        <w:tab/>
        <w:t>delete paragraphs (a) and (b) and insert:</w:t>
      </w:r>
    </w:p>
    <w:p>
      <w:pPr>
        <w:pStyle w:val="BlankOpen"/>
      </w:pPr>
    </w:p>
    <w:p>
      <w:pPr>
        <w:pStyle w:val="nzIndenta"/>
      </w:pPr>
      <w:r>
        <w:tab/>
        <w:t>(a)</w:t>
      </w:r>
      <w:r>
        <w:tab/>
        <w:t>notice of the proposed resolution on the application must contain or be accompanied by a statement, in the approved form, of the effect of paragraphs (c) and (d); and</w:t>
      </w:r>
    </w:p>
    <w:p>
      <w:pPr>
        <w:pStyle w:val="nzIndenta"/>
      </w:pPr>
      <w:r>
        <w:tab/>
        <w:t>(b)</w:t>
      </w:r>
      <w:r>
        <w:tab/>
        <w:t>if a vote on the resolution is taken at a general meeting, the chairperson must, before the vote is taken, read out the statement referred to in paragraph (a); and</w:t>
      </w:r>
    </w:p>
    <w:p>
      <w:pPr>
        <w:pStyle w:val="BlankClose"/>
      </w:pPr>
    </w:p>
    <w:p>
      <w:pPr>
        <w:pStyle w:val="nzIndenta"/>
      </w:pPr>
      <w:r>
        <w:tab/>
        <w:t>(c)</w:t>
      </w:r>
      <w:r>
        <w:tab/>
        <w:t>in paragraph (c) delete “a proprietor may vote —” and insert:</w:t>
      </w:r>
    </w:p>
    <w:p>
      <w:pPr>
        <w:pStyle w:val="BlankOpen"/>
      </w:pPr>
    </w:p>
    <w:p>
      <w:pPr>
        <w:pStyle w:val="nzIndenta"/>
      </w:pPr>
      <w:r>
        <w:tab/>
      </w:r>
      <w:r>
        <w:tab/>
        <w:t>the vote for a lot may be cast —</w:t>
      </w:r>
    </w:p>
    <w:p>
      <w:pPr>
        <w:pStyle w:val="BlankClose"/>
      </w:pPr>
    </w:p>
    <w:p>
      <w:pPr>
        <w:pStyle w:val="nzIndenta"/>
      </w:pPr>
      <w:r>
        <w:tab/>
        <w:t>(d)</w:t>
      </w:r>
      <w:r>
        <w:tab/>
        <w:t>in paragraph (c) delete “any ground that is” and insert:</w:t>
      </w:r>
    </w:p>
    <w:p>
      <w:pPr>
        <w:pStyle w:val="BlankOpen"/>
      </w:pPr>
    </w:p>
    <w:p>
      <w:pPr>
        <w:pStyle w:val="nzIndenta"/>
      </w:pPr>
      <w:r>
        <w:tab/>
      </w:r>
      <w:r>
        <w:tab/>
        <w:t>a ground</w:t>
      </w:r>
    </w:p>
    <w:p>
      <w:pPr>
        <w:pStyle w:val="BlankClose"/>
      </w:pPr>
    </w:p>
    <w:p>
      <w:pPr>
        <w:pStyle w:val="nzIndenta"/>
      </w:pPr>
      <w:r>
        <w:tab/>
        <w:t>(e)</w:t>
      </w:r>
      <w:r>
        <w:tab/>
        <w:t>in paragraph (d) delete “his vote one” and insert:</w:t>
      </w:r>
    </w:p>
    <w:p>
      <w:pPr>
        <w:pStyle w:val="BlankOpen"/>
      </w:pPr>
    </w:p>
    <w:p>
      <w:pPr>
        <w:pStyle w:val="nzIndenta"/>
      </w:pPr>
      <w:r>
        <w:tab/>
      </w:r>
      <w:r>
        <w:tab/>
        <w:t>the person’s vote 1</w:t>
      </w:r>
    </w:p>
    <w:p>
      <w:pPr>
        <w:pStyle w:val="BlankClose"/>
      </w:pPr>
    </w:p>
    <w:p>
      <w:pPr>
        <w:pStyle w:val="nzSubsection"/>
      </w:pPr>
      <w:r>
        <w:tab/>
        <w:t>(3)</w:t>
      </w:r>
      <w:r>
        <w:tab/>
        <w:t>In section 7(5):</w:t>
      </w:r>
    </w:p>
    <w:p>
      <w:pPr>
        <w:pStyle w:val="nzIndenta"/>
      </w:pPr>
      <w:r>
        <w:tab/>
        <w:t>(a)</w:t>
      </w:r>
      <w:r>
        <w:tab/>
        <w:t>in paragraph (a) delete “lot ascertained in accordance with section 7A(3); or” and insert:</w:t>
      </w:r>
    </w:p>
    <w:p>
      <w:pPr>
        <w:pStyle w:val="BlankOpen"/>
      </w:pPr>
    </w:p>
    <w:p>
      <w:pPr>
        <w:pStyle w:val="nzIndenta"/>
      </w:pPr>
      <w:r>
        <w:tab/>
      </w:r>
      <w:r>
        <w:tab/>
        <w:t>lot; or</w:t>
      </w:r>
    </w:p>
    <w:p>
      <w:pPr>
        <w:pStyle w:val="BlankClose"/>
      </w:pPr>
    </w:p>
    <w:p>
      <w:pPr>
        <w:pStyle w:val="nzIndenta"/>
      </w:pPr>
      <w:r>
        <w:tab/>
        <w:t>(b)</w:t>
      </w:r>
      <w:r>
        <w:tab/>
        <w:t>in paragraph (b)(iii) delete “any easement created by section 11 or 12;” and insert:</w:t>
      </w:r>
    </w:p>
    <w:p>
      <w:pPr>
        <w:pStyle w:val="BlankOpen"/>
      </w:pPr>
    </w:p>
    <w:p>
      <w:pPr>
        <w:pStyle w:val="nzIndenta"/>
      </w:pPr>
      <w:r>
        <w:tab/>
      </w:r>
      <w:r>
        <w:tab/>
        <w:t>a statutory easement;</w:t>
      </w:r>
    </w:p>
    <w:p>
      <w:pPr>
        <w:pStyle w:val="BlankClose"/>
      </w:pPr>
    </w:p>
    <w:p>
      <w:pPr>
        <w:pStyle w:val="nzIndenta"/>
      </w:pPr>
      <w:r>
        <w:tab/>
        <w:t>(c)</w:t>
      </w:r>
      <w:r>
        <w:tab/>
        <w:t>in paragraph (c) delete “that is prescribed.” and insert:</w:t>
      </w:r>
    </w:p>
    <w:p>
      <w:pPr>
        <w:pStyle w:val="BlankOpen"/>
      </w:pPr>
    </w:p>
    <w:p>
      <w:pPr>
        <w:pStyle w:val="nzIndenta"/>
      </w:pPr>
      <w:r>
        <w:tab/>
      </w:r>
      <w:r>
        <w:tab/>
        <w:t>specified in the regulations.</w:t>
      </w:r>
    </w:p>
    <w:p>
      <w:pPr>
        <w:pStyle w:val="BlankClose"/>
      </w:pPr>
    </w:p>
    <w:p>
      <w:pPr>
        <w:pStyle w:val="nzSubsection"/>
      </w:pPr>
      <w:r>
        <w:tab/>
        <w:t>(4)</w:t>
      </w:r>
      <w:r>
        <w:tab/>
        <w:t>Delete section 7(6).</w:t>
      </w:r>
    </w:p>
    <w:p>
      <w:pPr>
        <w:pStyle w:val="nzSectAltNote"/>
      </w:pPr>
      <w:r>
        <w:tab/>
        <w:t>Note:</w:t>
      </w:r>
      <w:r>
        <w:tab/>
        <w:t>The heading to amended section 7 is to read:</w:t>
      </w:r>
    </w:p>
    <w:p>
      <w:pPr>
        <w:pStyle w:val="nzSectAltHeading"/>
      </w:pPr>
      <w:r>
        <w:rPr>
          <w:b w:val="0"/>
        </w:rPr>
        <w:tab/>
      </w:r>
      <w:r>
        <w:rPr>
          <w:b w:val="0"/>
        </w:rPr>
        <w:tab/>
      </w:r>
      <w:r>
        <w:t>Structural alteration of lot in strata scheme</w:t>
      </w:r>
    </w:p>
    <w:p>
      <w:pPr>
        <w:pStyle w:val="nzPermNoteHeading"/>
      </w:pPr>
      <w:r>
        <w:tab/>
        <w:t>Note:</w:t>
      </w:r>
    </w:p>
    <w:p>
      <w:pPr>
        <w:pStyle w:val="nzPermNoteText"/>
      </w:pPr>
      <w:r>
        <w:tab/>
      </w:r>
      <w:r>
        <w:tab/>
        <w:t>Section 7 (as amended) is renumbered as section 87 and relocated to Part 7 Division 2.</w:t>
      </w:r>
    </w:p>
    <w:p>
      <w:pPr>
        <w:pStyle w:val="nzHeading5"/>
      </w:pPr>
      <w:bookmarkStart w:id="493" w:name="_Toc530474271"/>
      <w:bookmarkStart w:id="494" w:name="_Toc530474866"/>
      <w:r>
        <w:rPr>
          <w:rStyle w:val="CharSectno"/>
        </w:rPr>
        <w:t>11</w:t>
      </w:r>
      <w:r>
        <w:t>.</w:t>
      </w:r>
      <w:r>
        <w:tab/>
        <w:t>Section 7B amended</w:t>
      </w:r>
      <w:bookmarkEnd w:id="493"/>
      <w:bookmarkEnd w:id="494"/>
    </w:p>
    <w:p>
      <w:pPr>
        <w:pStyle w:val="nzSubsection"/>
      </w:pPr>
      <w:r>
        <w:tab/>
        <w:t>(1)</w:t>
      </w:r>
      <w:r>
        <w:tab/>
        <w:t>Delete section 7B(1), (2) and (3) and insert:</w:t>
      </w:r>
    </w:p>
    <w:p>
      <w:pPr>
        <w:pStyle w:val="BlankOpen"/>
      </w:pPr>
    </w:p>
    <w:p>
      <w:pPr>
        <w:pStyle w:val="nzSubsection"/>
      </w:pPr>
      <w:r>
        <w:tab/>
        <w:t>(1)</w:t>
      </w:r>
      <w:r>
        <w:tab/>
        <w:t>An application for the approval of the structural alteration of a lot must set out details of the proposal and such other information as may be prescribed.</w:t>
      </w:r>
    </w:p>
    <w:p>
      <w:pPr>
        <w:pStyle w:val="nz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nz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BlankClose"/>
      </w:pPr>
    </w:p>
    <w:p>
      <w:pPr>
        <w:pStyle w:val="nzSubsection"/>
      </w:pPr>
      <w:r>
        <w:tab/>
        <w:t>(2)</w:t>
      </w:r>
      <w:r>
        <w:tab/>
        <w:t>Delete section 7B(5), (6) and (7) and insert:</w:t>
      </w:r>
    </w:p>
    <w:p>
      <w:pPr>
        <w:pStyle w:val="BlankOpen"/>
      </w:pPr>
    </w:p>
    <w:p>
      <w:pPr>
        <w:pStyle w:val="nz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nz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nzIndenta"/>
        <w:rPr>
          <w:snapToGrid w:val="0"/>
        </w:rPr>
      </w:pPr>
      <w:r>
        <w:rPr>
          <w:snapToGrid w:val="0"/>
        </w:rPr>
        <w:tab/>
        <w:t>(b)</w:t>
      </w:r>
      <w:r>
        <w:rPr>
          <w:snapToGrid w:val="0"/>
        </w:rPr>
        <w:tab/>
        <w:t>the owner has not, at the end of 42 days after being given the application, made a written objection to the alteration; or</w:t>
      </w:r>
    </w:p>
    <w:p>
      <w:pPr>
        <w:pStyle w:val="nz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nz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nz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nzIndenta"/>
        <w:rPr>
          <w:snapToGrid w:val="0"/>
        </w:rPr>
      </w:pPr>
      <w:r>
        <w:rPr>
          <w:snapToGrid w:val="0"/>
        </w:rPr>
        <w:tab/>
        <w:t>(b)</w:t>
      </w:r>
      <w:r>
        <w:rPr>
          <w:snapToGrid w:val="0"/>
        </w:rPr>
        <w:tab/>
        <w:t>despite section 87(2) —</w:t>
      </w:r>
    </w:p>
    <w:p>
      <w:pPr>
        <w:pStyle w:val="nz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nzIndenti"/>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BlankClose"/>
      </w:pPr>
    </w:p>
    <w:p>
      <w:pPr>
        <w:pStyle w:val="nzSectAltNote"/>
      </w:pPr>
      <w:r>
        <w:tab/>
        <w:t>Note:</w:t>
      </w:r>
      <w:r>
        <w:tab/>
        <w:t>The heading to amended section 7B is to read:</w:t>
      </w:r>
    </w:p>
    <w:p>
      <w:pPr>
        <w:pStyle w:val="nzSectAltHeading"/>
      </w:pPr>
      <w:r>
        <w:rPr>
          <w:b w:val="0"/>
        </w:rPr>
        <w:tab/>
      </w:r>
      <w:r>
        <w:rPr>
          <w:b w:val="0"/>
        </w:rPr>
        <w:tab/>
      </w:r>
      <w:r>
        <w:t>Approvals and objections to structural alterations</w:t>
      </w:r>
    </w:p>
    <w:p>
      <w:pPr>
        <w:pStyle w:val="nzPermNoteHeading"/>
      </w:pPr>
      <w:r>
        <w:tab/>
        <w:t>Note:</w:t>
      </w:r>
    </w:p>
    <w:p>
      <w:pPr>
        <w:pStyle w:val="nzPermNoteText"/>
      </w:pPr>
      <w:r>
        <w:rPr>
          <w:b/>
        </w:rPr>
        <w:tab/>
      </w:r>
      <w:r>
        <w:rPr>
          <w:b/>
        </w:rPr>
        <w:tab/>
      </w:r>
      <w:r>
        <w:t>Section 7B (as amended) is renumbered as section 89 and relocated to Part 7 Division 2.</w:t>
      </w:r>
    </w:p>
    <w:p>
      <w:pPr>
        <w:pStyle w:val="nzHeading5"/>
      </w:pPr>
      <w:bookmarkStart w:id="495" w:name="_Toc530474272"/>
      <w:bookmarkStart w:id="496" w:name="_Toc530474867"/>
      <w:r>
        <w:rPr>
          <w:rStyle w:val="CharSectno"/>
        </w:rPr>
        <w:t>12</w:t>
      </w:r>
      <w:r>
        <w:t>.</w:t>
      </w:r>
      <w:r>
        <w:tab/>
        <w:t>Section 12A amended</w:t>
      </w:r>
      <w:bookmarkEnd w:id="495"/>
      <w:bookmarkEnd w:id="496"/>
    </w:p>
    <w:p>
      <w:pPr>
        <w:pStyle w:val="nzSubsection"/>
      </w:pPr>
      <w:r>
        <w:tab/>
        <w:t>(1)</w:t>
      </w:r>
      <w:r>
        <w:tab/>
        <w:t>Delete section 12A(1) and insert:</w:t>
      </w:r>
    </w:p>
    <w:p>
      <w:pPr>
        <w:pStyle w:val="BlankOpen"/>
      </w:pPr>
    </w:p>
    <w:p>
      <w:pPr>
        <w:pStyle w:val="nz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nzIndenta"/>
        <w:rPr>
          <w:snapToGrid w:val="0"/>
        </w:rPr>
      </w:pPr>
      <w:r>
        <w:rPr>
          <w:snapToGrid w:val="0"/>
        </w:rPr>
        <w:tab/>
        <w:t>(a)</w:t>
      </w:r>
      <w:r>
        <w:rPr>
          <w:snapToGrid w:val="0"/>
        </w:rPr>
        <w:tab/>
        <w:t>inspect, maintain, repair, renew or replace the part; and</w:t>
      </w:r>
    </w:p>
    <w:p>
      <w:pPr>
        <w:pStyle w:val="nzIndenta"/>
        <w:rPr>
          <w:snapToGrid w:val="0"/>
        </w:rPr>
      </w:pPr>
      <w:r>
        <w:rPr>
          <w:snapToGrid w:val="0"/>
        </w:rPr>
        <w:tab/>
        <w:t>(b)</w:t>
      </w:r>
      <w:r>
        <w:rPr>
          <w:snapToGrid w:val="0"/>
        </w:rPr>
        <w:tab/>
        <w:t>enter on the other lot, if necessary with vehicles, equipment, materials and other items, for the purpose of doing so.</w:t>
      </w:r>
    </w:p>
    <w:p>
      <w:pPr>
        <w:pStyle w:val="BlankClose"/>
      </w:pPr>
    </w:p>
    <w:p>
      <w:pPr>
        <w:pStyle w:val="nzSubsection"/>
      </w:pPr>
      <w:r>
        <w:tab/>
        <w:t>(2)</w:t>
      </w:r>
      <w:r>
        <w:tab/>
        <w:t>In section 12A(2) delete “subsection (1)” and insert:</w:t>
      </w:r>
    </w:p>
    <w:p>
      <w:pPr>
        <w:pStyle w:val="BlankOpen"/>
      </w:pPr>
    </w:p>
    <w:p>
      <w:pPr>
        <w:pStyle w:val="nzSubsection"/>
      </w:pPr>
      <w:r>
        <w:tab/>
      </w:r>
      <w:r>
        <w:tab/>
        <w:t>subclause (1)</w:t>
      </w:r>
    </w:p>
    <w:p>
      <w:pPr>
        <w:pStyle w:val="BlankClose"/>
      </w:pPr>
    </w:p>
    <w:p>
      <w:pPr>
        <w:pStyle w:val="nzSubsection"/>
      </w:pPr>
      <w:r>
        <w:tab/>
        <w:t>(3)</w:t>
      </w:r>
      <w:r>
        <w:tab/>
        <w:t>In section 12A(2) delete “to which the other lot is subject.” and insert:</w:t>
      </w:r>
    </w:p>
    <w:p>
      <w:pPr>
        <w:pStyle w:val="BlankOpen"/>
      </w:pPr>
    </w:p>
    <w:p>
      <w:pPr>
        <w:pStyle w:val="nzSubsection"/>
      </w:pPr>
      <w:r>
        <w:tab/>
      </w:r>
      <w:r>
        <w:tab/>
        <w:t>burdening the other lot.</w:t>
      </w:r>
    </w:p>
    <w:p>
      <w:pPr>
        <w:pStyle w:val="BlankClose"/>
      </w:pPr>
    </w:p>
    <w:p>
      <w:pPr>
        <w:pStyle w:val="nzSectAltNote"/>
      </w:pPr>
      <w:r>
        <w:tab/>
        <w:t>Note:</w:t>
      </w:r>
      <w:r>
        <w:tab/>
        <w:t>The heading to amended 12A is to read:</w:t>
      </w:r>
    </w:p>
    <w:p>
      <w:pPr>
        <w:pStyle w:val="nzSectAltHeading"/>
      </w:pPr>
      <w:r>
        <w:rPr>
          <w:b w:val="0"/>
        </w:rPr>
        <w:tab/>
      </w:r>
      <w:r>
        <w:rPr>
          <w:b w:val="0"/>
        </w:rPr>
        <w:tab/>
      </w:r>
      <w:r>
        <w:t>Easement for access for certain work</w:t>
      </w:r>
    </w:p>
    <w:p>
      <w:pPr>
        <w:pStyle w:val="nzPermNoteHeading"/>
      </w:pPr>
      <w:r>
        <w:tab/>
        <w:t>Note:</w:t>
      </w:r>
    </w:p>
    <w:p>
      <w:pPr>
        <w:pStyle w:val="nzPermNoteText"/>
      </w:pPr>
      <w:r>
        <w:tab/>
      </w:r>
      <w:r>
        <w:tab/>
        <w:t>Section 12A (as amended) is redesignated as clause 12A and relocated to Schedule 2A.</w:t>
      </w:r>
    </w:p>
    <w:p>
      <w:pPr>
        <w:pStyle w:val="nzHeading5"/>
      </w:pPr>
      <w:bookmarkStart w:id="497" w:name="_Toc530474273"/>
      <w:bookmarkStart w:id="498" w:name="_Toc530474868"/>
      <w:r>
        <w:rPr>
          <w:rStyle w:val="CharSectno"/>
        </w:rPr>
        <w:t>13</w:t>
      </w:r>
      <w:r>
        <w:t>.</w:t>
      </w:r>
      <w:r>
        <w:tab/>
        <w:t>Section 21A amended</w:t>
      </w:r>
      <w:bookmarkEnd w:id="497"/>
      <w:bookmarkEnd w:id="498"/>
    </w:p>
    <w:p>
      <w:pPr>
        <w:pStyle w:val="nzSubsection"/>
      </w:pPr>
      <w:r>
        <w:tab/>
      </w:r>
      <w:r>
        <w:tab/>
        <w:t xml:space="preserve">In section 21A delete the definition of </w:t>
      </w:r>
      <w:r>
        <w:rPr>
          <w:b/>
          <w:i/>
        </w:rPr>
        <w:t>existing small strata scheme</w:t>
      </w:r>
      <w:r>
        <w:t xml:space="preserve"> and insert:</w:t>
      </w:r>
    </w:p>
    <w:p>
      <w:pPr>
        <w:pStyle w:val="BlankOpen"/>
      </w:pPr>
    </w:p>
    <w:p>
      <w:pPr>
        <w:pStyle w:val="nz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BlankClose"/>
      </w:pPr>
    </w:p>
    <w:p>
      <w:pPr>
        <w:pStyle w:val="nzPermNoteHeading"/>
      </w:pPr>
      <w:r>
        <w:tab/>
        <w:t>Note:</w:t>
      </w:r>
    </w:p>
    <w:p>
      <w:pPr>
        <w:pStyle w:val="nzPermNoteText"/>
      </w:pPr>
      <w:r>
        <w:tab/>
      </w:r>
      <w:r>
        <w:tab/>
        <w:t>Section 21A (as amended) is redesignated as clause 21A and relocated to Schedule 2A.</w:t>
      </w:r>
    </w:p>
    <w:p>
      <w:pPr>
        <w:pStyle w:val="nzHeading5"/>
      </w:pPr>
      <w:bookmarkStart w:id="499" w:name="_Toc530474274"/>
      <w:bookmarkStart w:id="500" w:name="_Toc530474869"/>
      <w:r>
        <w:rPr>
          <w:rStyle w:val="CharSectno"/>
        </w:rPr>
        <w:t>14</w:t>
      </w:r>
      <w:r>
        <w:t>.</w:t>
      </w:r>
      <w:r>
        <w:tab/>
        <w:t>Section 21C amended</w:t>
      </w:r>
      <w:bookmarkEnd w:id="499"/>
      <w:bookmarkEnd w:id="500"/>
    </w:p>
    <w:p>
      <w:pPr>
        <w:pStyle w:val="nzSubsection"/>
      </w:pPr>
      <w:r>
        <w:tab/>
      </w:r>
      <w:r>
        <w:tab/>
        <w:t>In section 21C delete “section” (each occurrence) and insert:</w:t>
      </w:r>
    </w:p>
    <w:p>
      <w:pPr>
        <w:pStyle w:val="BlankOpen"/>
      </w:pPr>
    </w:p>
    <w:p>
      <w:pPr>
        <w:pStyle w:val="nzSubsection"/>
      </w:pPr>
      <w:r>
        <w:tab/>
      </w:r>
      <w:r>
        <w:tab/>
        <w:t>clause</w:t>
      </w:r>
    </w:p>
    <w:p>
      <w:pPr>
        <w:pStyle w:val="BlankClose"/>
      </w:pPr>
    </w:p>
    <w:p>
      <w:pPr>
        <w:pStyle w:val="nzPermNoteHeading"/>
      </w:pPr>
      <w:r>
        <w:tab/>
        <w:t>Note:</w:t>
      </w:r>
    </w:p>
    <w:p>
      <w:pPr>
        <w:pStyle w:val="nzPermNoteText"/>
      </w:pPr>
      <w:r>
        <w:tab/>
      </w:r>
      <w:r>
        <w:tab/>
        <w:t>Section 21C (as amended) is redesignated as clause 21C and relocated to Schedule 2A.</w:t>
      </w:r>
    </w:p>
    <w:p>
      <w:pPr>
        <w:pStyle w:val="nzHeading5"/>
      </w:pPr>
      <w:bookmarkStart w:id="501" w:name="_Toc530474275"/>
      <w:bookmarkStart w:id="502" w:name="_Toc530474870"/>
      <w:r>
        <w:rPr>
          <w:rStyle w:val="CharSectno"/>
        </w:rPr>
        <w:t>15</w:t>
      </w:r>
      <w:r>
        <w:t>.</w:t>
      </w:r>
      <w:r>
        <w:tab/>
        <w:t>Section 21D amended</w:t>
      </w:r>
      <w:bookmarkEnd w:id="501"/>
      <w:bookmarkEnd w:id="502"/>
    </w:p>
    <w:p>
      <w:pPr>
        <w:pStyle w:val="nzSubsection"/>
      </w:pPr>
      <w:r>
        <w:tab/>
        <w:t>(1)</w:t>
      </w:r>
      <w:r>
        <w:tab/>
        <w:t>In section 21D:</w:t>
      </w:r>
    </w:p>
    <w:p>
      <w:pPr>
        <w:pStyle w:val="nzIndenta"/>
      </w:pPr>
      <w:r>
        <w:tab/>
        <w:t>(a)</w:t>
      </w:r>
      <w:r>
        <w:tab/>
        <w:t>delete “re</w:t>
      </w:r>
      <w:r>
        <w:noBreakHyphen/>
        <w:t>subdivision” and insert:</w:t>
      </w:r>
    </w:p>
    <w:p>
      <w:pPr>
        <w:pStyle w:val="BlankOpen"/>
      </w:pPr>
    </w:p>
    <w:p>
      <w:pPr>
        <w:pStyle w:val="nzIndenta"/>
      </w:pPr>
      <w:r>
        <w:tab/>
      </w:r>
      <w:r>
        <w:tab/>
        <w:t>subdivision</w:t>
      </w:r>
    </w:p>
    <w:p>
      <w:pPr>
        <w:pStyle w:val="BlankClose"/>
      </w:pPr>
    </w:p>
    <w:p>
      <w:pPr>
        <w:pStyle w:val="nzIndenta"/>
      </w:pPr>
      <w:r>
        <w:tab/>
        <w:t>(b)</w:t>
      </w:r>
      <w:r>
        <w:tab/>
        <w:t>delete “a plan of re</w:t>
      </w:r>
      <w:r>
        <w:noBreakHyphen/>
        <w:t>subdivision under section 8.” and insert:</w:t>
      </w:r>
    </w:p>
    <w:p>
      <w:pPr>
        <w:pStyle w:val="BlankOpen"/>
      </w:pPr>
    </w:p>
    <w:p>
      <w:pPr>
        <w:pStyle w:val="nzIndenta"/>
      </w:pPr>
      <w:r>
        <w:tab/>
      </w:r>
      <w:r>
        <w:tab/>
        <w:t>an amendment of the strata scheme.</w:t>
      </w:r>
    </w:p>
    <w:p>
      <w:pPr>
        <w:pStyle w:val="BlankClose"/>
        <w:keepNext/>
      </w:pPr>
    </w:p>
    <w:p>
      <w:pPr>
        <w:pStyle w:val="nzPermNoteHeading"/>
      </w:pPr>
      <w:r>
        <w:tab/>
        <w:t>Note:</w:t>
      </w:r>
    </w:p>
    <w:p>
      <w:pPr>
        <w:pStyle w:val="nzPermNoteText"/>
      </w:pPr>
      <w:r>
        <w:tab/>
      </w:r>
      <w:r>
        <w:tab/>
        <w:t>Section 21D (as amended) is redesignated as clause 21D and relocated to Schedule 2A.</w:t>
      </w:r>
    </w:p>
    <w:p>
      <w:pPr>
        <w:pStyle w:val="nzHeading5"/>
      </w:pPr>
      <w:bookmarkStart w:id="503" w:name="_Toc530474276"/>
      <w:bookmarkStart w:id="504" w:name="_Toc530474871"/>
      <w:r>
        <w:rPr>
          <w:rStyle w:val="CharSectno"/>
        </w:rPr>
        <w:t>16</w:t>
      </w:r>
      <w:r>
        <w:t>.</w:t>
      </w:r>
      <w:r>
        <w:tab/>
        <w:t>Section 21F amended</w:t>
      </w:r>
      <w:bookmarkEnd w:id="503"/>
      <w:bookmarkEnd w:id="504"/>
    </w:p>
    <w:p>
      <w:pPr>
        <w:pStyle w:val="nzSubsection"/>
      </w:pPr>
      <w:r>
        <w:tab/>
        <w:t>(1)</w:t>
      </w:r>
      <w:r>
        <w:tab/>
        <w:t>In section 21F(1):</w:t>
      </w:r>
    </w:p>
    <w:p>
      <w:pPr>
        <w:pStyle w:val="nzIndenta"/>
      </w:pPr>
      <w:r>
        <w:tab/>
        <w:t>(a)</w:t>
      </w:r>
      <w:r>
        <w:tab/>
        <w:t>delete “in the prescribed form,” and insert:</w:t>
      </w:r>
    </w:p>
    <w:p>
      <w:pPr>
        <w:pStyle w:val="BlankOpen"/>
      </w:pPr>
    </w:p>
    <w:p>
      <w:pPr>
        <w:pStyle w:val="nzIndenta"/>
      </w:pPr>
      <w:r>
        <w:tab/>
      </w:r>
      <w:r>
        <w:tab/>
        <w:t>by resolution in the approved form,</w:t>
      </w:r>
    </w:p>
    <w:p>
      <w:pPr>
        <w:pStyle w:val="BlankClose"/>
      </w:pPr>
    </w:p>
    <w:p>
      <w:pPr>
        <w:pStyle w:val="nzIndenta"/>
      </w:pPr>
      <w:r>
        <w:tab/>
        <w:t>(b)</w:t>
      </w:r>
      <w:r>
        <w:tab/>
        <w:t>delete “section” and insert:</w:t>
      </w:r>
    </w:p>
    <w:p>
      <w:pPr>
        <w:pStyle w:val="BlankOpen"/>
      </w:pPr>
    </w:p>
    <w:p>
      <w:pPr>
        <w:pStyle w:val="nzIndenta"/>
      </w:pPr>
      <w:r>
        <w:tab/>
      </w:r>
      <w:r>
        <w:tab/>
        <w:t>clause</w:t>
      </w:r>
    </w:p>
    <w:p>
      <w:pPr>
        <w:pStyle w:val="BlankClose"/>
      </w:pPr>
    </w:p>
    <w:p>
      <w:pPr>
        <w:pStyle w:val="nzSubsection"/>
      </w:pPr>
      <w:r>
        <w:tab/>
        <w:t>(2)</w:t>
      </w:r>
      <w:r>
        <w:tab/>
        <w:t>Delete section 21F(2) and insert:</w:t>
      </w:r>
    </w:p>
    <w:p>
      <w:pPr>
        <w:pStyle w:val="BlankOpen"/>
      </w:pPr>
    </w:p>
    <w:p>
      <w:pPr>
        <w:pStyle w:val="nzSubsection"/>
        <w:rPr>
          <w:snapToGrid w:val="0"/>
        </w:rPr>
      </w:pPr>
      <w:r>
        <w:rPr>
          <w:snapToGrid w:val="0"/>
        </w:rPr>
        <w:tab/>
        <w:t>(2)</w:t>
      </w:r>
      <w:r>
        <w:rPr>
          <w:snapToGrid w:val="0"/>
        </w:rPr>
        <w:tab/>
        <w:t>A resolution is effective for the purposes of subclause (1) only if it is a resolution without dissent.</w:t>
      </w:r>
    </w:p>
    <w:p>
      <w:pPr>
        <w:pStyle w:val="BlankClose"/>
      </w:pPr>
    </w:p>
    <w:p>
      <w:pPr>
        <w:pStyle w:val="nzPermNoteHeading"/>
      </w:pPr>
      <w:r>
        <w:tab/>
        <w:t>Note:</w:t>
      </w:r>
    </w:p>
    <w:p>
      <w:pPr>
        <w:pStyle w:val="nzPermNoteText"/>
      </w:pPr>
      <w:r>
        <w:tab/>
      </w:r>
      <w:r>
        <w:tab/>
        <w:t>Section 21F (as amended) is redesignated as clause 21F and relocated to Schedule 2A.</w:t>
      </w:r>
    </w:p>
    <w:p>
      <w:pPr>
        <w:pStyle w:val="nzHeading5"/>
      </w:pPr>
      <w:bookmarkStart w:id="505" w:name="_Toc530474277"/>
      <w:bookmarkStart w:id="506" w:name="_Toc530474872"/>
      <w:r>
        <w:rPr>
          <w:rStyle w:val="CharSectno"/>
        </w:rPr>
        <w:t>17</w:t>
      </w:r>
      <w:r>
        <w:t>.</w:t>
      </w:r>
      <w:r>
        <w:tab/>
        <w:t>Section 21G amended</w:t>
      </w:r>
      <w:bookmarkEnd w:id="505"/>
      <w:bookmarkEnd w:id="506"/>
    </w:p>
    <w:p>
      <w:pPr>
        <w:pStyle w:val="nzSubsection"/>
      </w:pPr>
      <w:r>
        <w:tab/>
        <w:t>(1)</w:t>
      </w:r>
      <w:r>
        <w:tab/>
        <w:t>Delete section 21G(1) and insert:</w:t>
      </w:r>
    </w:p>
    <w:p>
      <w:pPr>
        <w:pStyle w:val="BlankOpen"/>
      </w:pPr>
    </w:p>
    <w:p>
      <w:pPr>
        <w:pStyle w:val="nz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nzSubsection"/>
      </w:pPr>
      <w:r>
        <w:tab/>
        <w:t>(1A)</w:t>
      </w:r>
      <w:r>
        <w:tab/>
        <w:t>The notice of resolution cannot be lodged before the end of the period of 60 days after the day on which the resolution was passed.</w:t>
      </w:r>
    </w:p>
    <w:p>
      <w:pPr>
        <w:pStyle w:val="BlankClose"/>
      </w:pPr>
    </w:p>
    <w:p>
      <w:pPr>
        <w:pStyle w:val="nzSubsection"/>
      </w:pPr>
      <w:r>
        <w:tab/>
        <w:t>(2)</w:t>
      </w:r>
      <w:r>
        <w:tab/>
        <w:t>In section 21G(2) delete the passage that begins with “</w:t>
      </w:r>
      <w:r>
        <w:rPr>
          <w:snapToGrid w:val="0"/>
        </w:rPr>
        <w:t xml:space="preserve">company or alternatively —“ and ends with “one proprietor.” </w:t>
      </w:r>
      <w:r>
        <w:t>and insert:</w:t>
      </w:r>
    </w:p>
    <w:p>
      <w:pPr>
        <w:pStyle w:val="BlankOpen"/>
      </w:pPr>
    </w:p>
    <w:p>
      <w:pPr>
        <w:pStyle w:val="nzSubsection"/>
      </w:pPr>
      <w:r>
        <w:tab/>
      </w:r>
      <w:r>
        <w:tab/>
      </w:r>
      <w:r>
        <w:rPr>
          <w:snapToGrid w:val="0"/>
        </w:rPr>
        <w:t>company or</w:t>
      </w:r>
      <w:r>
        <w:t>, in the case of an existing small strata scheme, by all of the owners of lots in the scheme.</w:t>
      </w:r>
    </w:p>
    <w:p>
      <w:pPr>
        <w:pStyle w:val="BlankClose"/>
      </w:pPr>
    </w:p>
    <w:p>
      <w:pPr>
        <w:pStyle w:val="nzSubsection"/>
      </w:pPr>
      <w:r>
        <w:tab/>
        <w:t>(3)</w:t>
      </w:r>
      <w:r>
        <w:tab/>
        <w:t>Delete section 21G(3).</w:t>
      </w:r>
    </w:p>
    <w:p>
      <w:pPr>
        <w:pStyle w:val="nzSectAltNote"/>
      </w:pPr>
      <w:r>
        <w:tab/>
        <w:t>Note:</w:t>
      </w:r>
      <w:r>
        <w:tab/>
        <w:t>The heading to amended 21G is to read:</w:t>
      </w:r>
    </w:p>
    <w:p>
      <w:pPr>
        <w:pStyle w:val="nzSectAltHeading"/>
      </w:pPr>
      <w:r>
        <w:rPr>
          <w:b w:val="0"/>
        </w:rPr>
        <w:tab/>
      </w:r>
      <w:r>
        <w:rPr>
          <w:b w:val="0"/>
        </w:rPr>
        <w:tab/>
      </w:r>
      <w:r>
        <w:rPr>
          <w:snapToGrid w:val="0"/>
        </w:rPr>
        <w:t>Notice of resolution may be lodged for registration</w:t>
      </w:r>
    </w:p>
    <w:p>
      <w:pPr>
        <w:pStyle w:val="nzPermNoteHeading"/>
      </w:pPr>
      <w:r>
        <w:tab/>
        <w:t>Note:</w:t>
      </w:r>
    </w:p>
    <w:p>
      <w:pPr>
        <w:pStyle w:val="nzPermNoteText"/>
      </w:pPr>
      <w:r>
        <w:tab/>
      </w:r>
      <w:r>
        <w:tab/>
        <w:t>Section 21G (as amended) is redesignated as clause 21G and relocated to Schedule 2A.</w:t>
      </w:r>
    </w:p>
    <w:p>
      <w:pPr>
        <w:pStyle w:val="nzHeading5"/>
      </w:pPr>
      <w:bookmarkStart w:id="507" w:name="_Toc530474278"/>
      <w:bookmarkStart w:id="508" w:name="_Toc530474873"/>
      <w:r>
        <w:rPr>
          <w:rStyle w:val="CharSectno"/>
        </w:rPr>
        <w:t>18</w:t>
      </w:r>
      <w:r>
        <w:t>.</w:t>
      </w:r>
      <w:r>
        <w:tab/>
        <w:t>Section 21I amended</w:t>
      </w:r>
      <w:bookmarkEnd w:id="507"/>
      <w:bookmarkEnd w:id="508"/>
    </w:p>
    <w:p>
      <w:pPr>
        <w:pStyle w:val="nzSubsection"/>
      </w:pPr>
      <w:r>
        <w:tab/>
        <w:t>(1)</w:t>
      </w:r>
      <w:r>
        <w:tab/>
        <w:t>In section 21I(1)(a) delete “section” and insert:</w:t>
      </w:r>
    </w:p>
    <w:p>
      <w:pPr>
        <w:pStyle w:val="BlankOpen"/>
      </w:pPr>
    </w:p>
    <w:p>
      <w:pPr>
        <w:pStyle w:val="nzSubsection"/>
      </w:pPr>
      <w:r>
        <w:tab/>
      </w:r>
      <w:r>
        <w:tab/>
        <w:t>clause</w:t>
      </w:r>
    </w:p>
    <w:p>
      <w:pPr>
        <w:pStyle w:val="BlankClose"/>
      </w:pPr>
    </w:p>
    <w:p>
      <w:pPr>
        <w:pStyle w:val="nzSubsection"/>
      </w:pPr>
      <w:r>
        <w:tab/>
        <w:t>(2)</w:t>
      </w:r>
      <w:r>
        <w:tab/>
        <w:t xml:space="preserve">In section 21I(2)  — </w:t>
      </w:r>
    </w:p>
    <w:p>
      <w:pPr>
        <w:pStyle w:val="nzIndenta"/>
      </w:pPr>
      <w:r>
        <w:tab/>
        <w:t>(a)</w:t>
      </w:r>
      <w:r>
        <w:tab/>
        <w:t>delete “subsection (1) is to be” and insert:</w:t>
      </w:r>
    </w:p>
    <w:p>
      <w:pPr>
        <w:pStyle w:val="BlankOpen"/>
      </w:pPr>
    </w:p>
    <w:p>
      <w:pPr>
        <w:pStyle w:val="nzIndenta"/>
      </w:pPr>
      <w:r>
        <w:tab/>
      </w:r>
      <w:r>
        <w:tab/>
        <w:t>subclause (1) is</w:t>
      </w:r>
    </w:p>
    <w:p>
      <w:pPr>
        <w:pStyle w:val="BlankClose"/>
      </w:pPr>
    </w:p>
    <w:p>
      <w:pPr>
        <w:pStyle w:val="nzIndenta"/>
      </w:pPr>
      <w:r>
        <w:tab/>
        <w:t>(b)</w:t>
      </w:r>
      <w:r>
        <w:tab/>
        <w:t>delete “that subsection.” and insert:</w:t>
      </w:r>
    </w:p>
    <w:p>
      <w:pPr>
        <w:pStyle w:val="BlankOpen"/>
      </w:pPr>
    </w:p>
    <w:p>
      <w:pPr>
        <w:pStyle w:val="nzIndenta"/>
      </w:pPr>
      <w:r>
        <w:tab/>
      </w:r>
      <w:r>
        <w:tab/>
        <w:t>that subclause.</w:t>
      </w:r>
    </w:p>
    <w:p>
      <w:pPr>
        <w:pStyle w:val="BlankClose"/>
      </w:pPr>
    </w:p>
    <w:p>
      <w:pPr>
        <w:pStyle w:val="nzPermNoteHeading"/>
      </w:pPr>
      <w:r>
        <w:tab/>
        <w:t>Note:</w:t>
      </w:r>
    </w:p>
    <w:p>
      <w:pPr>
        <w:pStyle w:val="nzPermNoteText"/>
      </w:pPr>
      <w:r>
        <w:tab/>
      </w:r>
      <w:r>
        <w:tab/>
        <w:t>Section 21I (as amended) is redesignated as clause 21I and relocated to Schedule 2A.</w:t>
      </w:r>
    </w:p>
    <w:p>
      <w:pPr>
        <w:pStyle w:val="nzHeading5"/>
      </w:pPr>
      <w:bookmarkStart w:id="509" w:name="_Toc530474279"/>
      <w:bookmarkStart w:id="510" w:name="_Toc530474874"/>
      <w:r>
        <w:rPr>
          <w:rStyle w:val="CharSectno"/>
        </w:rPr>
        <w:t>19</w:t>
      </w:r>
      <w:r>
        <w:t>.</w:t>
      </w:r>
      <w:r>
        <w:tab/>
        <w:t>Section 21J amended</w:t>
      </w:r>
      <w:bookmarkEnd w:id="509"/>
      <w:bookmarkEnd w:id="510"/>
    </w:p>
    <w:p>
      <w:pPr>
        <w:pStyle w:val="nzSubsection"/>
      </w:pPr>
      <w:r>
        <w:tab/>
      </w:r>
      <w:r>
        <w:tab/>
        <w:t>In section 21J delete “</w:t>
      </w:r>
      <w:r>
        <w:rPr>
          <w:snapToGrid w:val="0"/>
        </w:rPr>
        <w:t>prescribed manner to give effect to section 21I.</w:t>
      </w:r>
      <w:r>
        <w:t>” and insert:</w:t>
      </w:r>
    </w:p>
    <w:p>
      <w:pPr>
        <w:pStyle w:val="BlankOpen"/>
      </w:pPr>
    </w:p>
    <w:p>
      <w:pPr>
        <w:pStyle w:val="nzSubsection"/>
      </w:pPr>
      <w:r>
        <w:tab/>
      </w:r>
      <w:r>
        <w:tab/>
      </w:r>
      <w:r>
        <w:rPr>
          <w:snapToGrid w:val="0"/>
        </w:rPr>
        <w:t>manner specified in the regulations to give effect to clause 21I.</w:t>
      </w:r>
    </w:p>
    <w:p>
      <w:pPr>
        <w:pStyle w:val="BlankClose"/>
      </w:pPr>
    </w:p>
    <w:p>
      <w:pPr>
        <w:pStyle w:val="nzPermNoteHeading"/>
      </w:pPr>
      <w:r>
        <w:tab/>
        <w:t>Note:</w:t>
      </w:r>
    </w:p>
    <w:p>
      <w:pPr>
        <w:pStyle w:val="nzPermNoteText"/>
      </w:pPr>
      <w:r>
        <w:tab/>
      </w:r>
      <w:r>
        <w:tab/>
        <w:t>Section 21J (as amended) is redesignated as clause 21J and relocated to Schedule 2A.</w:t>
      </w:r>
    </w:p>
    <w:p>
      <w:pPr>
        <w:pStyle w:val="nzHeading5"/>
      </w:pPr>
      <w:bookmarkStart w:id="511" w:name="_Toc530474280"/>
      <w:bookmarkStart w:id="512" w:name="_Toc530474875"/>
      <w:r>
        <w:rPr>
          <w:rStyle w:val="CharSectno"/>
        </w:rPr>
        <w:t>20</w:t>
      </w:r>
      <w:r>
        <w:t>.</w:t>
      </w:r>
      <w:r>
        <w:tab/>
        <w:t>Section 21Q amended</w:t>
      </w:r>
      <w:bookmarkEnd w:id="511"/>
      <w:bookmarkEnd w:id="512"/>
    </w:p>
    <w:p>
      <w:pPr>
        <w:pStyle w:val="nzSubsection"/>
        <w:rPr>
          <w:snapToGrid w:val="0"/>
        </w:rPr>
      </w:pPr>
      <w:r>
        <w:tab/>
        <w:t>(1)</w:t>
      </w:r>
      <w:r>
        <w:tab/>
        <w:t>In section 21Q(1) delete “</w:t>
      </w:r>
      <w:r>
        <w:rPr>
          <w:snapToGrid w:val="0"/>
        </w:rPr>
        <w:t xml:space="preserve">prescribed </w:t>
      </w:r>
      <w:r>
        <w:t>form</w:t>
      </w:r>
      <w:r>
        <w:rPr>
          <w:snapToGrid w:val="0"/>
        </w:rPr>
        <w:t>, resolve that the strata plan be amended in one” and insert:</w:t>
      </w:r>
    </w:p>
    <w:p>
      <w:pPr>
        <w:pStyle w:val="BlankOpen"/>
      </w:pPr>
    </w:p>
    <w:p>
      <w:pPr>
        <w:pStyle w:val="nzSubsection"/>
      </w:pPr>
      <w:r>
        <w:tab/>
      </w:r>
      <w:r>
        <w:tab/>
      </w:r>
      <w:r>
        <w:rPr>
          <w:snapToGrid w:val="0"/>
        </w:rPr>
        <w:t xml:space="preserve">approved </w:t>
      </w:r>
      <w:r>
        <w:t>form</w:t>
      </w:r>
      <w:r>
        <w:rPr>
          <w:snapToGrid w:val="0"/>
        </w:rPr>
        <w:t>, resolve that the strata plan be amended in 1</w:t>
      </w:r>
    </w:p>
    <w:p>
      <w:pPr>
        <w:pStyle w:val="BlankClose"/>
      </w:pPr>
    </w:p>
    <w:p>
      <w:pPr>
        <w:pStyle w:val="nzSubsection"/>
      </w:pPr>
      <w:r>
        <w:tab/>
        <w:t>(2)</w:t>
      </w:r>
      <w:r>
        <w:tab/>
        <w:t>Delete section 21Q(2) and insert:</w:t>
      </w:r>
    </w:p>
    <w:p>
      <w:pPr>
        <w:pStyle w:val="BlankOpen"/>
      </w:pPr>
    </w:p>
    <w:p>
      <w:pPr>
        <w:pStyle w:val="nz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BlankClose"/>
      </w:pPr>
    </w:p>
    <w:p>
      <w:pPr>
        <w:pStyle w:val="nzSubsection"/>
      </w:pPr>
      <w:r>
        <w:tab/>
        <w:t>(3)</w:t>
      </w:r>
      <w:r>
        <w:tab/>
        <w:t>In section 21Q(3) delete “subsection” and insert:</w:t>
      </w:r>
    </w:p>
    <w:p>
      <w:pPr>
        <w:pStyle w:val="BlankOpen"/>
      </w:pPr>
    </w:p>
    <w:p>
      <w:pPr>
        <w:pStyle w:val="nzSubsection"/>
      </w:pPr>
      <w:r>
        <w:tab/>
      </w:r>
      <w:r>
        <w:tab/>
      </w:r>
      <w:r>
        <w:rPr>
          <w:snapToGrid w:val="0"/>
        </w:rPr>
        <w:t>subclause</w:t>
      </w:r>
    </w:p>
    <w:p>
      <w:pPr>
        <w:pStyle w:val="BlankClose"/>
      </w:pPr>
    </w:p>
    <w:p>
      <w:pPr>
        <w:pStyle w:val="nzSubsection"/>
      </w:pPr>
      <w:r>
        <w:tab/>
        <w:t>(4)</w:t>
      </w:r>
      <w:r>
        <w:tab/>
        <w:t>In section 21Q(3) delete “section” and insert:</w:t>
      </w:r>
    </w:p>
    <w:p>
      <w:pPr>
        <w:pStyle w:val="BlankOpen"/>
      </w:pPr>
    </w:p>
    <w:p>
      <w:pPr>
        <w:pStyle w:val="nzSubsection"/>
      </w:pPr>
      <w:r>
        <w:tab/>
      </w:r>
      <w:r>
        <w:tab/>
      </w:r>
      <w:r>
        <w:rPr>
          <w:snapToGrid w:val="0"/>
        </w:rPr>
        <w:t>clause</w:t>
      </w:r>
    </w:p>
    <w:p>
      <w:pPr>
        <w:pStyle w:val="BlankClose"/>
      </w:pPr>
    </w:p>
    <w:p>
      <w:pPr>
        <w:pStyle w:val="nzSubsection"/>
      </w:pPr>
      <w:r>
        <w:tab/>
        <w:t>(5)</w:t>
      </w:r>
      <w:r>
        <w:tab/>
        <w:t>In section 21Q(4) delete “subsection” and insert:</w:t>
      </w:r>
    </w:p>
    <w:p>
      <w:pPr>
        <w:pStyle w:val="BlankOpen"/>
      </w:pPr>
    </w:p>
    <w:p>
      <w:pPr>
        <w:pStyle w:val="nzSubsection"/>
      </w:pPr>
      <w:r>
        <w:tab/>
      </w:r>
      <w:r>
        <w:tab/>
      </w:r>
      <w:r>
        <w:rPr>
          <w:snapToGrid w:val="0"/>
        </w:rPr>
        <w:t>subclause</w:t>
      </w:r>
    </w:p>
    <w:p>
      <w:pPr>
        <w:pStyle w:val="BlankClose"/>
      </w:pPr>
    </w:p>
    <w:p>
      <w:pPr>
        <w:pStyle w:val="nzPermNoteHeading"/>
      </w:pPr>
      <w:r>
        <w:tab/>
        <w:t>Note:</w:t>
      </w:r>
    </w:p>
    <w:p>
      <w:pPr>
        <w:pStyle w:val="nzPermNoteText"/>
      </w:pPr>
      <w:r>
        <w:tab/>
      </w:r>
      <w:r>
        <w:tab/>
        <w:t>Section 21Q (as amended) is redesignated as clause 21Q and relocated to Schedule 2A.</w:t>
      </w:r>
    </w:p>
    <w:p>
      <w:pPr>
        <w:pStyle w:val="nzHeading5"/>
      </w:pPr>
      <w:bookmarkStart w:id="513" w:name="_Toc530474281"/>
      <w:bookmarkStart w:id="514" w:name="_Toc530474876"/>
      <w:r>
        <w:rPr>
          <w:rStyle w:val="CharSectno"/>
        </w:rPr>
        <w:t>21</w:t>
      </w:r>
      <w:r>
        <w:t>.</w:t>
      </w:r>
      <w:r>
        <w:tab/>
        <w:t>Section 21R amended</w:t>
      </w:r>
      <w:bookmarkEnd w:id="513"/>
      <w:bookmarkEnd w:id="514"/>
    </w:p>
    <w:p>
      <w:pPr>
        <w:pStyle w:val="nzSubsection"/>
      </w:pPr>
      <w:r>
        <w:tab/>
        <w:t>(1)</w:t>
      </w:r>
      <w:r>
        <w:tab/>
        <w:t>In section 21R(1):</w:t>
      </w:r>
    </w:p>
    <w:p>
      <w:pPr>
        <w:pStyle w:val="nzIndenta"/>
      </w:pPr>
      <w:r>
        <w:tab/>
        <w:t>(a)</w:t>
      </w:r>
      <w:r>
        <w:tab/>
        <w:t>delete “section 21Q(1)(a) or (b)” and insert:</w:t>
      </w:r>
    </w:p>
    <w:p>
      <w:pPr>
        <w:pStyle w:val="BlankOpen"/>
      </w:pPr>
    </w:p>
    <w:p>
      <w:pPr>
        <w:pStyle w:val="nzIndenta"/>
      </w:pPr>
      <w:r>
        <w:tab/>
      </w:r>
      <w:r>
        <w:tab/>
      </w:r>
      <w:r>
        <w:rPr>
          <w:snapToGrid w:val="0"/>
        </w:rPr>
        <w:t>clause</w:t>
      </w:r>
      <w:r>
        <w:t> 21Q(1)(a) or (b)</w:t>
      </w:r>
    </w:p>
    <w:p>
      <w:pPr>
        <w:pStyle w:val="BlankClose"/>
      </w:pPr>
    </w:p>
    <w:p>
      <w:pPr>
        <w:pStyle w:val="nzIndenta"/>
      </w:pPr>
      <w:r>
        <w:tab/>
        <w:t>(b)</w:t>
      </w:r>
      <w:r>
        <w:tab/>
        <w:t>in paragraph (b) delete “proprietors of lots in the scheme.” and insert:</w:t>
      </w:r>
    </w:p>
    <w:p>
      <w:pPr>
        <w:pStyle w:val="BlankOpen"/>
      </w:pPr>
    </w:p>
    <w:p>
      <w:pPr>
        <w:pStyle w:val="nzIndenta"/>
      </w:pPr>
      <w:r>
        <w:tab/>
      </w:r>
      <w:r>
        <w:tab/>
      </w:r>
      <w:r>
        <w:rPr>
          <w:snapToGrid w:val="0"/>
        </w:rPr>
        <w:t>owners of lots in the strata scheme.</w:t>
      </w:r>
    </w:p>
    <w:p>
      <w:pPr>
        <w:pStyle w:val="BlankClose"/>
      </w:pPr>
    </w:p>
    <w:p>
      <w:pPr>
        <w:pStyle w:val="nzSubsection"/>
      </w:pPr>
      <w:r>
        <w:tab/>
        <w:t>(2)</w:t>
      </w:r>
      <w:r>
        <w:tab/>
        <w:t>In section 21R(2) delete “section” (each occurrence) and insert:</w:t>
      </w:r>
    </w:p>
    <w:p>
      <w:pPr>
        <w:pStyle w:val="BlankOpen"/>
      </w:pPr>
    </w:p>
    <w:p>
      <w:pPr>
        <w:pStyle w:val="nzSubsection"/>
      </w:pPr>
      <w:r>
        <w:tab/>
      </w:r>
      <w:r>
        <w:tab/>
      </w:r>
      <w:r>
        <w:rPr>
          <w:snapToGrid w:val="0"/>
        </w:rPr>
        <w:t>clause</w:t>
      </w:r>
    </w:p>
    <w:p>
      <w:pPr>
        <w:pStyle w:val="BlankClose"/>
      </w:pPr>
    </w:p>
    <w:p>
      <w:pPr>
        <w:pStyle w:val="nzPermNoteHeading"/>
      </w:pPr>
      <w:r>
        <w:tab/>
        <w:t>Note:</w:t>
      </w:r>
    </w:p>
    <w:p>
      <w:pPr>
        <w:pStyle w:val="nzPermNoteText"/>
      </w:pPr>
      <w:r>
        <w:tab/>
      </w:r>
      <w:r>
        <w:tab/>
        <w:t>Section 21R (as amended) is redesignated as clause 21R and relocated to Schedule 2A.</w:t>
      </w:r>
    </w:p>
    <w:p>
      <w:pPr>
        <w:pStyle w:val="nzHeading5"/>
      </w:pPr>
      <w:bookmarkStart w:id="515" w:name="_Toc530474282"/>
      <w:bookmarkStart w:id="516" w:name="_Toc530474877"/>
      <w:r>
        <w:rPr>
          <w:rStyle w:val="CharSectno"/>
        </w:rPr>
        <w:t>22</w:t>
      </w:r>
      <w:r>
        <w:t>.</w:t>
      </w:r>
      <w:r>
        <w:tab/>
        <w:t>Section 21S amended</w:t>
      </w:r>
      <w:bookmarkEnd w:id="515"/>
      <w:bookmarkEnd w:id="516"/>
    </w:p>
    <w:p>
      <w:pPr>
        <w:pStyle w:val="nzSubsection"/>
      </w:pPr>
      <w:r>
        <w:tab/>
        <w:t>(1)</w:t>
      </w:r>
      <w:r>
        <w:tab/>
        <w:t>Delete section 21S(1) and insert:</w:t>
      </w:r>
    </w:p>
    <w:p>
      <w:pPr>
        <w:pStyle w:val="BlankOpen"/>
      </w:pPr>
    </w:p>
    <w:p>
      <w:pPr>
        <w:pStyle w:val="nz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nzSubsection"/>
      </w:pPr>
      <w:r>
        <w:tab/>
        <w:t>(1A)</w:t>
      </w:r>
      <w:r>
        <w:tab/>
        <w:t>The notice of resolution cannot be lodged before the end of the period of 60 days after the day on which the resolution was passed.</w:t>
      </w:r>
    </w:p>
    <w:p>
      <w:pPr>
        <w:pStyle w:val="BlankClose"/>
      </w:pPr>
    </w:p>
    <w:p>
      <w:pPr>
        <w:pStyle w:val="nzSubsection"/>
      </w:pPr>
      <w:r>
        <w:tab/>
        <w:t>(2)</w:t>
      </w:r>
      <w:r>
        <w:tab/>
        <w:t>In section 21S(2) delete the passage that begins with “</w:t>
      </w:r>
      <w:r>
        <w:rPr>
          <w:snapToGrid w:val="0"/>
        </w:rPr>
        <w:t xml:space="preserve">company or alternatively —” and ends with “one proprietor.” </w:t>
      </w:r>
      <w:r>
        <w:t>and insert:</w:t>
      </w:r>
    </w:p>
    <w:p>
      <w:pPr>
        <w:pStyle w:val="BlankOpen"/>
      </w:pPr>
    </w:p>
    <w:p>
      <w:pPr>
        <w:pStyle w:val="nzSubsection"/>
      </w:pPr>
      <w:r>
        <w:tab/>
      </w:r>
      <w:r>
        <w:tab/>
      </w:r>
      <w:r>
        <w:rPr>
          <w:snapToGrid w:val="0"/>
        </w:rPr>
        <w:t>company or</w:t>
      </w:r>
      <w:r>
        <w:t>, in the case of an existing small strata scheme, by all of the owners of lots in the scheme.</w:t>
      </w:r>
    </w:p>
    <w:p>
      <w:pPr>
        <w:pStyle w:val="BlankClose"/>
      </w:pPr>
    </w:p>
    <w:p>
      <w:pPr>
        <w:pStyle w:val="nzSubsection"/>
      </w:pPr>
      <w:r>
        <w:tab/>
        <w:t>(3)</w:t>
      </w:r>
      <w:r>
        <w:tab/>
        <w:t>Delete section 21S(3).</w:t>
      </w:r>
    </w:p>
    <w:p>
      <w:pPr>
        <w:pStyle w:val="nzPermNoteHeading"/>
      </w:pPr>
      <w:r>
        <w:tab/>
        <w:t>Note:</w:t>
      </w:r>
    </w:p>
    <w:p>
      <w:pPr>
        <w:pStyle w:val="nzPermNoteText"/>
      </w:pPr>
      <w:r>
        <w:tab/>
      </w:r>
      <w:r>
        <w:tab/>
        <w:t>Section 21S (as amended) is redesignated as clause 21S and relocated to Schedule 2A.</w:t>
      </w:r>
    </w:p>
    <w:p>
      <w:pPr>
        <w:pStyle w:val="nzHeading5"/>
      </w:pPr>
      <w:bookmarkStart w:id="517" w:name="_Toc530474283"/>
      <w:bookmarkStart w:id="518" w:name="_Toc530474878"/>
      <w:r>
        <w:rPr>
          <w:rStyle w:val="CharSectno"/>
        </w:rPr>
        <w:t>23</w:t>
      </w:r>
      <w:r>
        <w:t>.</w:t>
      </w:r>
      <w:r>
        <w:tab/>
        <w:t>Section 21T amended</w:t>
      </w:r>
      <w:bookmarkEnd w:id="517"/>
      <w:bookmarkEnd w:id="518"/>
    </w:p>
    <w:p>
      <w:pPr>
        <w:pStyle w:val="nzSubsection"/>
      </w:pPr>
      <w:r>
        <w:tab/>
        <w:t>(1)</w:t>
      </w:r>
      <w:r>
        <w:tab/>
        <w:t>In section 21T(1):</w:t>
      </w:r>
    </w:p>
    <w:p>
      <w:pPr>
        <w:pStyle w:val="nzIndenta"/>
      </w:pPr>
      <w:r>
        <w:tab/>
        <w:t>(a)</w:t>
      </w:r>
      <w:r>
        <w:tab/>
        <w:t>delete paragraph (a).</w:t>
      </w:r>
    </w:p>
    <w:p>
      <w:pPr>
        <w:pStyle w:val="nzIndenta"/>
      </w:pPr>
      <w:r>
        <w:tab/>
        <w:t>(b)</w:t>
      </w:r>
      <w:r>
        <w:tab/>
        <w:t>in paragraph (b) delete “</w:t>
      </w:r>
      <w:r>
        <w:rPr>
          <w:snapToGrid w:val="0"/>
        </w:rPr>
        <w:t>subsection (2) applies, a sketch plan (</w:t>
      </w:r>
      <w:r>
        <w:t xml:space="preserve">the </w:t>
      </w:r>
      <w:r>
        <w:rPr>
          <w:b/>
          <w:i/>
        </w:rPr>
        <w:t>sketch plan</w:t>
      </w:r>
      <w:r>
        <w:rPr>
          <w:snapToGrid w:val="0"/>
        </w:rPr>
        <w:t>) showing in the prescribed manner” and insert:</w:t>
      </w:r>
    </w:p>
    <w:p>
      <w:pPr>
        <w:pStyle w:val="BlankOpen"/>
      </w:pPr>
    </w:p>
    <w:p>
      <w:pPr>
        <w:pStyle w:val="nzIndenta"/>
      </w:pPr>
      <w:r>
        <w:rPr>
          <w:snapToGrid w:val="0"/>
        </w:rPr>
        <w:tab/>
      </w:r>
      <w:r>
        <w:rPr>
          <w:snapToGrid w:val="0"/>
        </w:rPr>
        <w:tab/>
        <w:t>subclause (2) applies, a plan (</w:t>
      </w:r>
      <w:r>
        <w:t xml:space="preserve">the </w:t>
      </w:r>
      <w:r>
        <w:rPr>
          <w:rStyle w:val="CharDefText"/>
        </w:rPr>
        <w:t>sketch plan</w:t>
      </w:r>
      <w:r>
        <w:rPr>
          <w:snapToGrid w:val="0"/>
        </w:rPr>
        <w:t>) showing in the manner specified in the regulations</w:t>
      </w:r>
    </w:p>
    <w:p>
      <w:pPr>
        <w:pStyle w:val="BlankClose"/>
      </w:pPr>
    </w:p>
    <w:p>
      <w:pPr>
        <w:pStyle w:val="nzIndenta"/>
      </w:pPr>
      <w:r>
        <w:tab/>
        <w:t>(c)</w:t>
      </w:r>
      <w:r>
        <w:tab/>
        <w:t>in paragraph (b)(iv) delete “section” and insert:</w:t>
      </w:r>
    </w:p>
    <w:p>
      <w:pPr>
        <w:pStyle w:val="BlankOpen"/>
      </w:pPr>
    </w:p>
    <w:p>
      <w:pPr>
        <w:pStyle w:val="nzIndenta"/>
      </w:pPr>
      <w:r>
        <w:rPr>
          <w:snapToGrid w:val="0"/>
        </w:rPr>
        <w:tab/>
      </w:r>
      <w:r>
        <w:rPr>
          <w:snapToGrid w:val="0"/>
        </w:rPr>
        <w:tab/>
        <w:t>clause</w:t>
      </w:r>
    </w:p>
    <w:p>
      <w:pPr>
        <w:pStyle w:val="BlankClose"/>
      </w:pPr>
    </w:p>
    <w:p>
      <w:pPr>
        <w:pStyle w:val="nzIndenta"/>
      </w:pPr>
      <w:r>
        <w:tab/>
        <w:t>(d)</w:t>
      </w:r>
      <w:r>
        <w:tab/>
        <w:t>delete paragraphs (c) and (d) and insert:</w:t>
      </w:r>
    </w:p>
    <w:p>
      <w:pPr>
        <w:pStyle w:val="BlankOpen"/>
      </w:pPr>
    </w:p>
    <w:p>
      <w:pPr>
        <w:pStyle w:val="nzIndenta"/>
        <w:rPr>
          <w:snapToGrid w:val="0"/>
        </w:rPr>
      </w:pPr>
      <w:r>
        <w:rPr>
          <w:snapToGrid w:val="0"/>
        </w:rPr>
        <w:tab/>
      </w:r>
      <w:r>
        <w:rPr>
          <w:snapToGrid w:val="0"/>
        </w:rPr>
        <w:tab/>
        <w:t>and</w:t>
      </w:r>
    </w:p>
    <w:p>
      <w:pPr>
        <w:pStyle w:val="nzIndenta"/>
        <w:rPr>
          <w:snapToGrid w:val="0"/>
        </w:rPr>
      </w:pPr>
      <w:r>
        <w:tab/>
        <w:t>(c)</w:t>
      </w:r>
      <w:r>
        <w:tab/>
      </w:r>
      <w:r>
        <w:rPr>
          <w:snapToGrid w:val="0"/>
        </w:rPr>
        <w:t>unless subclause (2) applies, a certificate given by a licensed surveyor in accordance with clause 21U; and</w:t>
      </w:r>
    </w:p>
    <w:p>
      <w:pPr>
        <w:pStyle w:val="nzIndenta"/>
        <w:rPr>
          <w:snapToGrid w:val="0"/>
        </w:rPr>
      </w:pPr>
      <w:r>
        <w:rPr>
          <w:snapToGrid w:val="0"/>
        </w:rPr>
        <w:tab/>
        <w:t>(d)</w:t>
      </w:r>
      <w:r>
        <w:rPr>
          <w:snapToGrid w:val="0"/>
        </w:rPr>
        <w:tab/>
        <w:t>if any unit entitlement is to be changed, an amended schedule of unit entitlements; and</w:t>
      </w:r>
    </w:p>
    <w:p>
      <w:pPr>
        <w:pStyle w:val="BlankClose"/>
      </w:pPr>
    </w:p>
    <w:p>
      <w:pPr>
        <w:pStyle w:val="nzIndenta"/>
      </w:pPr>
      <w:r>
        <w:tab/>
        <w:t>(e)</w:t>
      </w:r>
      <w:r>
        <w:tab/>
        <w:t>in paragraph (e) delete “</w:t>
      </w:r>
      <w:r>
        <w:rPr>
          <w:i/>
        </w:rPr>
        <w:t>pro rata</w:t>
      </w:r>
      <w:r>
        <w:t>”.</w:t>
      </w:r>
    </w:p>
    <w:p>
      <w:pPr>
        <w:pStyle w:val="nzIndenta"/>
      </w:pPr>
      <w:r>
        <w:tab/>
        <w:t>(f)</w:t>
      </w:r>
      <w:r>
        <w:tab/>
        <w:t>in paragraph (e) delete “his” and insert:</w:t>
      </w:r>
    </w:p>
    <w:p>
      <w:pPr>
        <w:pStyle w:val="BlankOpen"/>
      </w:pPr>
    </w:p>
    <w:p>
      <w:pPr>
        <w:pStyle w:val="nzIndenta"/>
      </w:pPr>
      <w:r>
        <w:rPr>
          <w:snapToGrid w:val="0"/>
        </w:rPr>
        <w:tab/>
      </w:r>
      <w:r>
        <w:rPr>
          <w:snapToGrid w:val="0"/>
        </w:rPr>
        <w:tab/>
        <w:t>the person’s</w:t>
      </w:r>
    </w:p>
    <w:p>
      <w:pPr>
        <w:pStyle w:val="BlankClose"/>
      </w:pPr>
    </w:p>
    <w:p>
      <w:pPr>
        <w:pStyle w:val="nzSubsection"/>
      </w:pPr>
      <w:r>
        <w:tab/>
        <w:t>(2)</w:t>
      </w:r>
      <w:r>
        <w:tab/>
        <w:t>In section 21T(2) delete “he” and insert:</w:t>
      </w:r>
    </w:p>
    <w:p>
      <w:pPr>
        <w:pStyle w:val="BlankOpen"/>
      </w:pPr>
    </w:p>
    <w:p>
      <w:pPr>
        <w:pStyle w:val="nzSubsection"/>
      </w:pPr>
      <w:r>
        <w:rPr>
          <w:snapToGrid w:val="0"/>
        </w:rPr>
        <w:tab/>
      </w:r>
      <w:r>
        <w:rPr>
          <w:snapToGrid w:val="0"/>
        </w:rPr>
        <w:tab/>
        <w:t>the Registrar</w:t>
      </w:r>
    </w:p>
    <w:p>
      <w:pPr>
        <w:pStyle w:val="BlankClose"/>
      </w:pPr>
    </w:p>
    <w:p>
      <w:pPr>
        <w:pStyle w:val="nzPermNoteHeading"/>
      </w:pPr>
      <w:r>
        <w:tab/>
        <w:t>Note:</w:t>
      </w:r>
    </w:p>
    <w:p>
      <w:pPr>
        <w:pStyle w:val="nzPermNoteText"/>
      </w:pPr>
      <w:r>
        <w:tab/>
      </w:r>
      <w:r>
        <w:tab/>
        <w:t>Section 21T (as amended) is redesignated as clause 21T and relocated to Schedule 2A.</w:t>
      </w:r>
    </w:p>
    <w:p>
      <w:pPr>
        <w:pStyle w:val="nzHeading5"/>
      </w:pPr>
      <w:bookmarkStart w:id="519" w:name="_Toc530474284"/>
      <w:bookmarkStart w:id="520" w:name="_Toc530474879"/>
      <w:r>
        <w:rPr>
          <w:rStyle w:val="CharSectno"/>
        </w:rPr>
        <w:t>24</w:t>
      </w:r>
      <w:r>
        <w:t>.</w:t>
      </w:r>
      <w:r>
        <w:tab/>
        <w:t>Section 21U amended</w:t>
      </w:r>
      <w:bookmarkEnd w:id="519"/>
      <w:bookmarkEnd w:id="520"/>
    </w:p>
    <w:p>
      <w:pPr>
        <w:pStyle w:val="nzSubsection"/>
      </w:pPr>
      <w:r>
        <w:tab/>
        <w:t>(1)</w:t>
      </w:r>
      <w:r>
        <w:tab/>
        <w:t>Delete section 21U(1) and insert:</w:t>
      </w:r>
    </w:p>
    <w:p>
      <w:pPr>
        <w:pStyle w:val="BlankOpen"/>
      </w:pPr>
    </w:p>
    <w:p>
      <w:pPr>
        <w:pStyle w:val="nzSubsection"/>
        <w:rPr>
          <w:snapToGrid w:val="0"/>
        </w:rPr>
      </w:pPr>
      <w:r>
        <w:rPr>
          <w:snapToGrid w:val="0"/>
        </w:rPr>
        <w:tab/>
        <w:t>(1)</w:t>
      </w:r>
      <w:r>
        <w:rPr>
          <w:snapToGrid w:val="0"/>
        </w:rPr>
        <w:tab/>
        <w:t>The certificate of a licensed surveyor referred to in clause 21T(1)(c) is to comply with —</w:t>
      </w:r>
    </w:p>
    <w:p>
      <w:pPr>
        <w:pStyle w:val="nzIndenta"/>
        <w:rPr>
          <w:snapToGrid w:val="0"/>
        </w:rPr>
      </w:pPr>
      <w:r>
        <w:rPr>
          <w:snapToGrid w:val="0"/>
        </w:rPr>
        <w:tab/>
        <w:t>(a)</w:t>
      </w:r>
      <w:r>
        <w:rPr>
          <w:snapToGrid w:val="0"/>
        </w:rPr>
        <w:tab/>
        <w:t>this clause; and</w:t>
      </w:r>
    </w:p>
    <w:p>
      <w:pPr>
        <w:pStyle w:val="nzIndenta"/>
      </w:pPr>
      <w:r>
        <w:rPr>
          <w:snapToGrid w:val="0"/>
        </w:rPr>
        <w:tab/>
        <w:t>(b)</w:t>
      </w:r>
      <w:r>
        <w:rPr>
          <w:snapToGrid w:val="0"/>
        </w:rPr>
        <w:tab/>
      </w:r>
      <w:r>
        <w:t>the regulations and Transfer of Land Act requirements for certification of amendments of scheme plans.</w:t>
      </w:r>
    </w:p>
    <w:p>
      <w:pPr>
        <w:pStyle w:val="BlankClose"/>
      </w:pPr>
    </w:p>
    <w:p>
      <w:pPr>
        <w:pStyle w:val="nzSubsection"/>
      </w:pPr>
      <w:r>
        <w:tab/>
        <w:t>(2)</w:t>
      </w:r>
      <w:r>
        <w:tab/>
        <w:t>In section 21U(2):</w:t>
      </w:r>
    </w:p>
    <w:p>
      <w:pPr>
        <w:pStyle w:val="nzIndenta"/>
      </w:pPr>
      <w:r>
        <w:tab/>
        <w:t>(a)</w:t>
      </w:r>
      <w:r>
        <w:tab/>
        <w:t>in paragraph (b)(ii) delete “proprietors of lots in the” and insert:</w:t>
      </w:r>
    </w:p>
    <w:p>
      <w:pPr>
        <w:pStyle w:val="BlankOpen"/>
      </w:pPr>
    </w:p>
    <w:p>
      <w:pPr>
        <w:pStyle w:val="nzIndenta"/>
      </w:pPr>
      <w:r>
        <w:rPr>
          <w:snapToGrid w:val="0"/>
        </w:rPr>
        <w:tab/>
      </w:r>
      <w:r>
        <w:rPr>
          <w:snapToGrid w:val="0"/>
        </w:rPr>
        <w:tab/>
        <w:t>owners of lots in the strata</w:t>
      </w:r>
    </w:p>
    <w:p>
      <w:pPr>
        <w:pStyle w:val="BlankClose"/>
      </w:pPr>
    </w:p>
    <w:p>
      <w:pPr>
        <w:pStyle w:val="nzIndenta"/>
      </w:pPr>
      <w:r>
        <w:tab/>
        <w:t>(b)</w:t>
      </w:r>
      <w:r>
        <w:tab/>
        <w:t>delete paragraph (d)(ii) and insert:</w:t>
      </w:r>
    </w:p>
    <w:p>
      <w:pPr>
        <w:pStyle w:val="BlankOpen"/>
      </w:pPr>
    </w:p>
    <w:p>
      <w:pPr>
        <w:pStyle w:val="nzIndenti"/>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BlankClose"/>
      </w:pPr>
    </w:p>
    <w:p>
      <w:pPr>
        <w:pStyle w:val="nzSubsection"/>
      </w:pPr>
      <w:r>
        <w:tab/>
        <w:t>(3)</w:t>
      </w:r>
      <w:r>
        <w:tab/>
        <w:t>In section 21U(3):</w:t>
      </w:r>
    </w:p>
    <w:p>
      <w:pPr>
        <w:pStyle w:val="nzIndenta"/>
      </w:pPr>
      <w:r>
        <w:tab/>
        <w:t>(a)</w:t>
      </w:r>
      <w:r>
        <w:tab/>
        <w:t>delete “subsection” and insert:</w:t>
      </w:r>
    </w:p>
    <w:p>
      <w:pPr>
        <w:pStyle w:val="BlankOpen"/>
      </w:pPr>
    </w:p>
    <w:p>
      <w:pPr>
        <w:pStyle w:val="nzIndenta"/>
      </w:pPr>
      <w:r>
        <w:rPr>
          <w:snapToGrid w:val="0"/>
        </w:rPr>
        <w:tab/>
      </w:r>
      <w:r>
        <w:rPr>
          <w:snapToGrid w:val="0"/>
        </w:rPr>
        <w:tab/>
        <w:t>subclause</w:t>
      </w:r>
    </w:p>
    <w:p>
      <w:pPr>
        <w:pStyle w:val="BlankClose"/>
      </w:pPr>
    </w:p>
    <w:p>
      <w:pPr>
        <w:pStyle w:val="nzIndenta"/>
      </w:pPr>
      <w:r>
        <w:tab/>
        <w:t>(b)</w:t>
      </w:r>
      <w:r>
        <w:tab/>
        <w:t>in paragraph (b) delete “section” and insert:</w:t>
      </w:r>
    </w:p>
    <w:p>
      <w:pPr>
        <w:pStyle w:val="BlankOpen"/>
      </w:pPr>
    </w:p>
    <w:p>
      <w:pPr>
        <w:pStyle w:val="nzIndenta"/>
      </w:pPr>
      <w:r>
        <w:rPr>
          <w:snapToGrid w:val="0"/>
        </w:rPr>
        <w:tab/>
      </w:r>
      <w:r>
        <w:rPr>
          <w:snapToGrid w:val="0"/>
        </w:rPr>
        <w:tab/>
        <w:t>clause</w:t>
      </w:r>
    </w:p>
    <w:p>
      <w:pPr>
        <w:pStyle w:val="BlankClose"/>
      </w:pPr>
    </w:p>
    <w:p>
      <w:pPr>
        <w:pStyle w:val="nzSubsection"/>
      </w:pPr>
      <w:r>
        <w:tab/>
        <w:t>(4)</w:t>
      </w:r>
      <w:r>
        <w:tab/>
        <w:t>In section 21U(4)(a) delete “subsection” and insert:</w:t>
      </w:r>
    </w:p>
    <w:p>
      <w:pPr>
        <w:pStyle w:val="BlankOpen"/>
      </w:pPr>
    </w:p>
    <w:p>
      <w:pPr>
        <w:pStyle w:val="nzSubsection"/>
      </w:pPr>
      <w:r>
        <w:rPr>
          <w:snapToGrid w:val="0"/>
        </w:rPr>
        <w:tab/>
      </w:r>
      <w:r>
        <w:rPr>
          <w:snapToGrid w:val="0"/>
        </w:rPr>
        <w:tab/>
        <w:t>subclause</w:t>
      </w:r>
    </w:p>
    <w:p>
      <w:pPr>
        <w:pStyle w:val="BlankClose"/>
      </w:pPr>
    </w:p>
    <w:p>
      <w:pPr>
        <w:pStyle w:val="nzSubsection"/>
      </w:pPr>
      <w:r>
        <w:tab/>
        <w:t>(5)</w:t>
      </w:r>
      <w:r>
        <w:tab/>
        <w:t>In section 21U(5) delete “</w:t>
      </w:r>
      <w:r>
        <w:rPr>
          <w:snapToGrid w:val="0"/>
        </w:rPr>
        <w:t>subsection (3) is to relate to matters prescribed for the purposes of subsection</w:t>
      </w:r>
      <w:r>
        <w:t>” and insert:</w:t>
      </w:r>
    </w:p>
    <w:p>
      <w:pPr>
        <w:pStyle w:val="BlankOpen"/>
      </w:pPr>
    </w:p>
    <w:p>
      <w:pPr>
        <w:pStyle w:val="nzSubsection"/>
      </w:pPr>
      <w:r>
        <w:rPr>
          <w:snapToGrid w:val="0"/>
        </w:rPr>
        <w:tab/>
      </w:r>
      <w:r>
        <w:rPr>
          <w:snapToGrid w:val="0"/>
        </w:rPr>
        <w:tab/>
        <w:t>subclause (3) is to relate to matters prescribed under subclause</w:t>
      </w:r>
    </w:p>
    <w:p>
      <w:pPr>
        <w:pStyle w:val="BlankClose"/>
      </w:pPr>
    </w:p>
    <w:p>
      <w:pPr>
        <w:pStyle w:val="nzPermNoteHeading"/>
      </w:pPr>
      <w:r>
        <w:tab/>
        <w:t>Note:</w:t>
      </w:r>
    </w:p>
    <w:p>
      <w:pPr>
        <w:pStyle w:val="nzPermNoteText"/>
      </w:pPr>
      <w:r>
        <w:tab/>
      </w:r>
      <w:r>
        <w:tab/>
        <w:t>Section 21U (as amended) is redesignated as clause 21U and relocated to Schedule 2A.</w:t>
      </w:r>
    </w:p>
    <w:p>
      <w:pPr>
        <w:pStyle w:val="nzHeading5"/>
      </w:pPr>
      <w:bookmarkStart w:id="521" w:name="_Toc530474285"/>
      <w:bookmarkStart w:id="522" w:name="_Toc530474880"/>
      <w:r>
        <w:rPr>
          <w:rStyle w:val="CharSectno"/>
        </w:rPr>
        <w:t>25</w:t>
      </w:r>
      <w:r>
        <w:t>.</w:t>
      </w:r>
      <w:r>
        <w:tab/>
        <w:t>Section 21V amended</w:t>
      </w:r>
      <w:bookmarkEnd w:id="521"/>
      <w:bookmarkEnd w:id="522"/>
    </w:p>
    <w:p>
      <w:pPr>
        <w:pStyle w:val="nzSubsection"/>
      </w:pPr>
      <w:r>
        <w:tab/>
        <w:t>(1)</w:t>
      </w:r>
      <w:r>
        <w:tab/>
        <w:t>In section 21V(1) delete “subsection (2),” and insert:</w:t>
      </w:r>
    </w:p>
    <w:p>
      <w:pPr>
        <w:pStyle w:val="BlankOpen"/>
      </w:pPr>
    </w:p>
    <w:p>
      <w:pPr>
        <w:pStyle w:val="nzSubsection"/>
      </w:pPr>
      <w:r>
        <w:rPr>
          <w:snapToGrid w:val="0"/>
        </w:rPr>
        <w:tab/>
      </w:r>
      <w:r>
        <w:rPr>
          <w:snapToGrid w:val="0"/>
        </w:rPr>
        <w:tab/>
        <w:t>subclause (2A),</w:t>
      </w:r>
    </w:p>
    <w:p>
      <w:pPr>
        <w:pStyle w:val="BlankClose"/>
      </w:pPr>
    </w:p>
    <w:p>
      <w:pPr>
        <w:pStyle w:val="nzSubsection"/>
      </w:pPr>
      <w:r>
        <w:tab/>
        <w:t>(2)</w:t>
      </w:r>
      <w:r>
        <w:tab/>
        <w:t>Delete section 21V(2)(c) and the words following that paragraph and insert:</w:t>
      </w:r>
    </w:p>
    <w:p>
      <w:pPr>
        <w:pStyle w:val="BlankOpen"/>
      </w:pPr>
    </w:p>
    <w:p>
      <w:pPr>
        <w:pStyle w:val="nzIndenta"/>
        <w:rPr>
          <w:snapToGrid w:val="0"/>
        </w:rPr>
      </w:pPr>
      <w:r>
        <w:rPr>
          <w:snapToGrid w:val="0"/>
        </w:rPr>
        <w:tab/>
        <w:t>(c)</w:t>
      </w:r>
      <w:r>
        <w:rPr>
          <w:snapToGrid w:val="0"/>
        </w:rPr>
        <w:tab/>
        <w:t>in which any certificate required by clause 21T(1)(e) is set out.</w:t>
      </w:r>
    </w:p>
    <w:p>
      <w:pPr>
        <w:pStyle w:val="BlankClose"/>
      </w:pPr>
    </w:p>
    <w:p>
      <w:pPr>
        <w:pStyle w:val="nzSubsection"/>
      </w:pPr>
      <w:r>
        <w:tab/>
        <w:t>(3)</w:t>
      </w:r>
      <w:r>
        <w:tab/>
        <w:t>After section 21V(2) insert:</w:t>
      </w:r>
    </w:p>
    <w:p>
      <w:pPr>
        <w:pStyle w:val="BlankOpen"/>
      </w:pPr>
    </w:p>
    <w:p>
      <w:pPr>
        <w:pStyle w:val="nz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BlankClose"/>
      </w:pPr>
    </w:p>
    <w:p>
      <w:pPr>
        <w:pStyle w:val="nzPermNoteHeading"/>
      </w:pPr>
      <w:r>
        <w:tab/>
        <w:t>Note:</w:t>
      </w:r>
    </w:p>
    <w:p>
      <w:pPr>
        <w:pStyle w:val="nzPermNoteText"/>
      </w:pPr>
      <w:r>
        <w:tab/>
      </w:r>
      <w:r>
        <w:tab/>
        <w:t>Section 21V (as amended) is redesignated as clause 21V and relocated to Schedule 2A.</w:t>
      </w:r>
    </w:p>
    <w:p>
      <w:pPr>
        <w:pStyle w:val="nzHeading5"/>
      </w:pPr>
      <w:bookmarkStart w:id="523" w:name="_Toc530474286"/>
      <w:bookmarkStart w:id="524" w:name="_Toc530474881"/>
      <w:r>
        <w:rPr>
          <w:rStyle w:val="CharSectno"/>
        </w:rPr>
        <w:t>26</w:t>
      </w:r>
      <w:r>
        <w:t>.</w:t>
      </w:r>
      <w:r>
        <w:tab/>
        <w:t>Section 21W amended</w:t>
      </w:r>
      <w:bookmarkEnd w:id="523"/>
      <w:bookmarkEnd w:id="524"/>
    </w:p>
    <w:p>
      <w:pPr>
        <w:pStyle w:val="nzSubsection"/>
      </w:pPr>
      <w:r>
        <w:tab/>
        <w:t>(1)</w:t>
      </w:r>
      <w:r>
        <w:tab/>
        <w:t>In section 21W(1):</w:t>
      </w:r>
    </w:p>
    <w:p>
      <w:pPr>
        <w:pStyle w:val="nzIndenta"/>
      </w:pPr>
      <w:r>
        <w:tab/>
        <w:t>(a)</w:t>
      </w:r>
      <w:r>
        <w:tab/>
        <w:t>delete “section </w:t>
      </w:r>
      <w:r>
        <w:rPr>
          <w:snapToGrid w:val="0"/>
        </w:rPr>
        <w:t>21T(1)(b)</w:t>
      </w:r>
      <w:r>
        <w:t>” and insert:</w:t>
      </w:r>
    </w:p>
    <w:p>
      <w:pPr>
        <w:pStyle w:val="BlankOpen"/>
      </w:pPr>
    </w:p>
    <w:p>
      <w:pPr>
        <w:pStyle w:val="nzIndenta"/>
      </w:pPr>
      <w:r>
        <w:rPr>
          <w:snapToGrid w:val="0"/>
        </w:rPr>
        <w:tab/>
      </w:r>
      <w:r>
        <w:rPr>
          <w:snapToGrid w:val="0"/>
        </w:rPr>
        <w:tab/>
        <w:t>clause 21T(1)(b)</w:t>
      </w:r>
    </w:p>
    <w:p>
      <w:pPr>
        <w:pStyle w:val="BlankClose"/>
      </w:pPr>
    </w:p>
    <w:p>
      <w:pPr>
        <w:pStyle w:val="nzIndenta"/>
      </w:pPr>
      <w:r>
        <w:tab/>
        <w:t>(b)</w:t>
      </w:r>
      <w:r>
        <w:tab/>
        <w:t>delete “under section 5D” and insert:</w:t>
      </w:r>
    </w:p>
    <w:p>
      <w:pPr>
        <w:pStyle w:val="BlankOpen"/>
      </w:pPr>
    </w:p>
    <w:p>
      <w:pPr>
        <w:pStyle w:val="nzIndenta"/>
      </w:pPr>
      <w:r>
        <w:rPr>
          <w:snapToGrid w:val="0"/>
        </w:rPr>
        <w:tab/>
      </w:r>
      <w:r>
        <w:rPr>
          <w:snapToGrid w:val="0"/>
        </w:rPr>
        <w:tab/>
        <w:t>as a short form easement or restrictive covenant</w:t>
      </w:r>
    </w:p>
    <w:p>
      <w:pPr>
        <w:pStyle w:val="BlankClose"/>
      </w:pPr>
    </w:p>
    <w:p>
      <w:pPr>
        <w:pStyle w:val="nzSubsection"/>
      </w:pPr>
      <w:r>
        <w:tab/>
        <w:t>(2)</w:t>
      </w:r>
      <w:r>
        <w:tab/>
        <w:t>Delete section 21W(2) and (3) and insert:</w:t>
      </w:r>
    </w:p>
    <w:p>
      <w:pPr>
        <w:pStyle w:val="BlankOpen"/>
      </w:pPr>
    </w:p>
    <w:p>
      <w:pPr>
        <w:pStyle w:val="nzSubsection"/>
        <w:rPr>
          <w:snapToGrid w:val="0"/>
        </w:rPr>
      </w:pPr>
      <w:r>
        <w:rPr>
          <w:snapToGrid w:val="0"/>
        </w:rPr>
        <w:tab/>
        <w:t>(2)</w:t>
      </w:r>
      <w:r>
        <w:rPr>
          <w:snapToGrid w:val="0"/>
        </w:rPr>
        <w:tab/>
        <w:t>Section 33 also applies to the discharge of an easement that is created under subclause (1).</w:t>
      </w:r>
    </w:p>
    <w:p>
      <w:pPr>
        <w:pStyle w:val="nzSubsection"/>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nzIndenta"/>
        <w:rPr>
          <w:snapToGrid w:val="0"/>
        </w:rPr>
      </w:pPr>
      <w:r>
        <w:rPr>
          <w:snapToGrid w:val="0"/>
        </w:rPr>
        <w:tab/>
        <w:t>(a)</w:t>
      </w:r>
      <w:r>
        <w:rPr>
          <w:snapToGrid w:val="0"/>
        </w:rPr>
        <w:tab/>
        <w:t>any easement provided for is created on the registration of the notice of resolution; and</w:t>
      </w:r>
    </w:p>
    <w:p>
      <w:pPr>
        <w:pStyle w:val="nz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BlankClose"/>
      </w:pPr>
    </w:p>
    <w:p>
      <w:pPr>
        <w:pStyle w:val="nzPermNoteHeading"/>
      </w:pPr>
      <w:r>
        <w:tab/>
        <w:t>Note:</w:t>
      </w:r>
    </w:p>
    <w:p>
      <w:pPr>
        <w:pStyle w:val="nzPermNoteText"/>
      </w:pPr>
      <w:r>
        <w:tab/>
      </w:r>
      <w:r>
        <w:tab/>
        <w:t>Section 21W (as amended) is redesignated as clause 21W and relocated to Schedule 2A.</w:t>
      </w:r>
    </w:p>
    <w:p>
      <w:pPr>
        <w:pStyle w:val="nzHeading5"/>
      </w:pPr>
      <w:bookmarkStart w:id="525" w:name="_Toc530474287"/>
      <w:bookmarkStart w:id="526" w:name="_Toc530474882"/>
      <w:r>
        <w:rPr>
          <w:rStyle w:val="CharSectno"/>
        </w:rPr>
        <w:t>27</w:t>
      </w:r>
      <w:r>
        <w:t>.</w:t>
      </w:r>
      <w:r>
        <w:tab/>
        <w:t>Section 21Y amended</w:t>
      </w:r>
      <w:bookmarkEnd w:id="525"/>
      <w:bookmarkEnd w:id="526"/>
    </w:p>
    <w:p>
      <w:pPr>
        <w:pStyle w:val="nzSubsection"/>
      </w:pPr>
      <w:r>
        <w:tab/>
        <w:t>(1)</w:t>
      </w:r>
      <w:r>
        <w:tab/>
        <w:t>In section 21Y(1):</w:t>
      </w:r>
    </w:p>
    <w:p>
      <w:pPr>
        <w:pStyle w:val="nzIndenta"/>
      </w:pPr>
      <w:r>
        <w:tab/>
        <w:t>(a)</w:t>
      </w:r>
      <w:r>
        <w:tab/>
        <w:t>delete paragraphs (a) and (b) and insert:</w:t>
      </w:r>
    </w:p>
    <w:p>
      <w:pPr>
        <w:pStyle w:val="BlankOpen"/>
      </w:pPr>
    </w:p>
    <w:p>
      <w:pPr>
        <w:pStyle w:val="nz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nzIndenta"/>
        <w:rPr>
          <w:snapToGrid w:val="0"/>
        </w:rPr>
      </w:pPr>
      <w:r>
        <w:rPr>
          <w:snapToGrid w:val="0"/>
        </w:rPr>
        <w:tab/>
        <w:t>(b)</w:t>
      </w:r>
      <w:r>
        <w:rPr>
          <w:snapToGrid w:val="0"/>
        </w:rPr>
        <w:tab/>
        <w:t>the creation of a short form easement or restrictive covenant under section 33 as read with clause 21W,</w:t>
      </w:r>
    </w:p>
    <w:p>
      <w:pPr>
        <w:pStyle w:val="BlankClose"/>
      </w:pPr>
    </w:p>
    <w:p>
      <w:pPr>
        <w:pStyle w:val="nzIndenta"/>
      </w:pPr>
      <w:r>
        <w:tab/>
        <w:t>(b)</w:t>
      </w:r>
      <w:r>
        <w:tab/>
        <w:t>delete “subsections” and insert:</w:t>
      </w:r>
    </w:p>
    <w:p>
      <w:pPr>
        <w:pStyle w:val="BlankOpen"/>
      </w:pPr>
    </w:p>
    <w:p>
      <w:pPr>
        <w:pStyle w:val="nzIndenta"/>
      </w:pPr>
      <w:r>
        <w:rPr>
          <w:snapToGrid w:val="0"/>
        </w:rPr>
        <w:tab/>
      </w:r>
      <w:r>
        <w:rPr>
          <w:snapToGrid w:val="0"/>
        </w:rPr>
        <w:tab/>
        <w:t>subclauses</w:t>
      </w:r>
    </w:p>
    <w:p>
      <w:pPr>
        <w:pStyle w:val="BlankClose"/>
      </w:pPr>
    </w:p>
    <w:p>
      <w:pPr>
        <w:pStyle w:val="nzSubsection"/>
      </w:pPr>
      <w:r>
        <w:tab/>
        <w:t>(2)</w:t>
      </w:r>
      <w:r>
        <w:tab/>
        <w:t>Delete section 21Y(2)(b) and insert:</w:t>
      </w:r>
    </w:p>
    <w:p>
      <w:pPr>
        <w:pStyle w:val="BlankOpen"/>
      </w:pPr>
    </w:p>
    <w:p>
      <w:pPr>
        <w:pStyle w:val="nzIndenta"/>
      </w:pPr>
      <w:r>
        <w:rPr>
          <w:snapToGrid w:val="0"/>
        </w:rPr>
        <w:tab/>
        <w:t>(b)</w:t>
      </w:r>
      <w:r>
        <w:rPr>
          <w:snapToGrid w:val="0"/>
        </w:rPr>
        <w:tab/>
        <w:t>exclusive use by</w:t>
      </w:r>
      <w:r>
        <w:rPr>
          <w:snapToGrid w:val="0"/>
        </w:rPr>
        <w:noBreakHyphen/>
        <w:t>laws,</w:t>
      </w:r>
    </w:p>
    <w:p>
      <w:pPr>
        <w:pStyle w:val="BlankClose"/>
      </w:pPr>
    </w:p>
    <w:p>
      <w:pPr>
        <w:pStyle w:val="nzSubsection"/>
      </w:pPr>
      <w:r>
        <w:tab/>
        <w:t>(3)</w:t>
      </w:r>
      <w:r>
        <w:tab/>
        <w:t>In section 21Y(4) delete “proprietors” and insert:</w:t>
      </w:r>
    </w:p>
    <w:p>
      <w:pPr>
        <w:pStyle w:val="BlankOpen"/>
      </w:pPr>
    </w:p>
    <w:p>
      <w:pPr>
        <w:pStyle w:val="nzSubsection"/>
      </w:pPr>
      <w:r>
        <w:rPr>
          <w:snapToGrid w:val="0"/>
        </w:rPr>
        <w:tab/>
      </w:r>
      <w:r>
        <w:rPr>
          <w:snapToGrid w:val="0"/>
        </w:rPr>
        <w:tab/>
        <w:t>owners of the lots</w:t>
      </w:r>
    </w:p>
    <w:p>
      <w:pPr>
        <w:pStyle w:val="BlankClose"/>
      </w:pPr>
    </w:p>
    <w:p>
      <w:pPr>
        <w:pStyle w:val="nzSubsection"/>
      </w:pPr>
      <w:r>
        <w:tab/>
        <w:t>(4)</w:t>
      </w:r>
      <w:r>
        <w:tab/>
        <w:t>In section 21Y(5) delete “a proprietor” and insert:</w:t>
      </w:r>
    </w:p>
    <w:p>
      <w:pPr>
        <w:pStyle w:val="BlankOpen"/>
      </w:pPr>
    </w:p>
    <w:p>
      <w:pPr>
        <w:pStyle w:val="nzSubsection"/>
      </w:pPr>
      <w:r>
        <w:rPr>
          <w:snapToGrid w:val="0"/>
        </w:rPr>
        <w:tab/>
      </w:r>
      <w:r>
        <w:rPr>
          <w:snapToGrid w:val="0"/>
        </w:rPr>
        <w:tab/>
        <w:t>the owner of a lot</w:t>
      </w:r>
    </w:p>
    <w:p>
      <w:pPr>
        <w:pStyle w:val="BlankClose"/>
      </w:pPr>
    </w:p>
    <w:p>
      <w:pPr>
        <w:pStyle w:val="nzSubsection"/>
      </w:pPr>
      <w:r>
        <w:tab/>
        <w:t>(5)</w:t>
      </w:r>
      <w:r>
        <w:tab/>
        <w:t>In section 21Y(5) delete “his” and insert:</w:t>
      </w:r>
    </w:p>
    <w:p>
      <w:pPr>
        <w:pStyle w:val="BlankOpen"/>
      </w:pPr>
    </w:p>
    <w:p>
      <w:pPr>
        <w:pStyle w:val="nzSubsection"/>
      </w:pPr>
      <w:r>
        <w:rPr>
          <w:snapToGrid w:val="0"/>
        </w:rPr>
        <w:tab/>
      </w:r>
      <w:r>
        <w:rPr>
          <w:snapToGrid w:val="0"/>
        </w:rPr>
        <w:tab/>
        <w:t>the</w:t>
      </w:r>
    </w:p>
    <w:p>
      <w:pPr>
        <w:pStyle w:val="BlankClose"/>
      </w:pPr>
    </w:p>
    <w:p>
      <w:pPr>
        <w:pStyle w:val="nzSubsection"/>
      </w:pPr>
      <w:r>
        <w:tab/>
        <w:t>(6)</w:t>
      </w:r>
      <w:r>
        <w:tab/>
        <w:t>Delete section 21Y(6) and insert:</w:t>
      </w:r>
    </w:p>
    <w:p>
      <w:pPr>
        <w:pStyle w:val="BlankOpen"/>
      </w:pPr>
    </w:p>
    <w:p>
      <w:pPr>
        <w:pStyle w:val="nz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BlankClose"/>
      </w:pPr>
    </w:p>
    <w:p>
      <w:pPr>
        <w:pStyle w:val="nzPermNoteHeading"/>
      </w:pPr>
      <w:r>
        <w:tab/>
        <w:t>Note:</w:t>
      </w:r>
    </w:p>
    <w:p>
      <w:pPr>
        <w:pStyle w:val="nzPermNoteText"/>
      </w:pPr>
      <w:r>
        <w:tab/>
      </w:r>
      <w:r>
        <w:tab/>
        <w:t>Section 21Y (as amended) is redesignated as clause 21Y and relocated to Schedule 2A.</w:t>
      </w:r>
    </w:p>
    <w:p>
      <w:pPr>
        <w:pStyle w:val="nzHeading5"/>
      </w:pPr>
      <w:bookmarkStart w:id="527" w:name="_Toc530474288"/>
      <w:bookmarkStart w:id="528" w:name="_Toc530474883"/>
      <w:r>
        <w:rPr>
          <w:rStyle w:val="CharSectno"/>
        </w:rPr>
        <w:t>28</w:t>
      </w:r>
      <w:r>
        <w:t>.</w:t>
      </w:r>
      <w:r>
        <w:tab/>
        <w:t>Section 21Z amended</w:t>
      </w:r>
      <w:bookmarkEnd w:id="527"/>
      <w:bookmarkEnd w:id="528"/>
    </w:p>
    <w:p>
      <w:pPr>
        <w:pStyle w:val="nzSubsection"/>
      </w:pPr>
      <w:r>
        <w:tab/>
        <w:t>(1)</w:t>
      </w:r>
      <w:r>
        <w:tab/>
        <w:t>Delete section 21Z(1)(a) and insert:</w:t>
      </w:r>
    </w:p>
    <w:p>
      <w:pPr>
        <w:pStyle w:val="BlankOpen"/>
      </w:pPr>
    </w:p>
    <w:p>
      <w:pPr>
        <w:pStyle w:val="nzIndenta"/>
        <w:rPr>
          <w:snapToGrid w:val="0"/>
        </w:rPr>
      </w:pPr>
      <w:r>
        <w:rPr>
          <w:snapToGrid w:val="0"/>
        </w:rPr>
        <w:tab/>
        <w:t>(a)</w:t>
      </w:r>
      <w:r>
        <w:rPr>
          <w:snapToGrid w:val="0"/>
        </w:rPr>
        <w:tab/>
        <w:t>the strata plan in the manner specified in the regulations to give effect to clauses 21V, 21W and 21Y; and</w:t>
      </w:r>
    </w:p>
    <w:p>
      <w:pPr>
        <w:pStyle w:val="BlankClose"/>
      </w:pPr>
    </w:p>
    <w:p>
      <w:pPr>
        <w:pStyle w:val="nzSubsection"/>
      </w:pPr>
      <w:r>
        <w:tab/>
        <w:t>(2)</w:t>
      </w:r>
      <w:r>
        <w:tab/>
        <w:t>In section 21Z(2) delete “subsection” and insert:</w:t>
      </w:r>
    </w:p>
    <w:p>
      <w:pPr>
        <w:pStyle w:val="BlankOpen"/>
      </w:pPr>
    </w:p>
    <w:p>
      <w:pPr>
        <w:pStyle w:val="nzSubsection"/>
      </w:pPr>
      <w:r>
        <w:rPr>
          <w:snapToGrid w:val="0"/>
        </w:rPr>
        <w:tab/>
      </w:r>
      <w:r>
        <w:rPr>
          <w:snapToGrid w:val="0"/>
        </w:rPr>
        <w:tab/>
        <w:t>subclause</w:t>
      </w:r>
    </w:p>
    <w:p>
      <w:pPr>
        <w:pStyle w:val="BlankClose"/>
      </w:pPr>
    </w:p>
    <w:p>
      <w:pPr>
        <w:pStyle w:val="nzPermNoteHeading"/>
      </w:pPr>
      <w:r>
        <w:tab/>
        <w:t>Note:</w:t>
      </w:r>
    </w:p>
    <w:p>
      <w:pPr>
        <w:pStyle w:val="nzPermNoteText"/>
      </w:pPr>
      <w:r>
        <w:tab/>
      </w:r>
      <w:r>
        <w:tab/>
        <w:t>Section 21Z (as amended) is redesignated as clause 21Z and relocated to Schedule 2A.</w:t>
      </w:r>
    </w:p>
    <w:p>
      <w:pPr>
        <w:pStyle w:val="nzHeading5"/>
      </w:pPr>
      <w:bookmarkStart w:id="529" w:name="_Toc530474289"/>
      <w:bookmarkStart w:id="530" w:name="_Toc530474884"/>
      <w:r>
        <w:rPr>
          <w:rStyle w:val="CharSectno"/>
        </w:rPr>
        <w:t>29</w:t>
      </w:r>
      <w:r>
        <w:t>.</w:t>
      </w:r>
      <w:r>
        <w:tab/>
        <w:t>Section 24 amended</w:t>
      </w:r>
      <w:bookmarkEnd w:id="529"/>
      <w:bookmarkEnd w:id="530"/>
    </w:p>
    <w:p>
      <w:pPr>
        <w:pStyle w:val="nzSubsection"/>
      </w:pPr>
      <w:r>
        <w:tab/>
        <w:t>(1)</w:t>
      </w:r>
      <w:r>
        <w:tab/>
        <w:t>In section 24(2):</w:t>
      </w:r>
    </w:p>
    <w:p>
      <w:pPr>
        <w:pStyle w:val="nzIndenta"/>
      </w:pPr>
      <w:r>
        <w:tab/>
        <w:t>(a)</w:t>
      </w:r>
      <w:r>
        <w:tab/>
        <w:t xml:space="preserve">delete “Upon </w:t>
      </w:r>
      <w:r>
        <w:rPr>
          <w:snapToGrid w:val="0"/>
        </w:rPr>
        <w:t>or at any time after</w:t>
      </w:r>
      <w:r>
        <w:t>” and insert:</w:t>
      </w:r>
    </w:p>
    <w:p>
      <w:pPr>
        <w:pStyle w:val="BlankOpen"/>
      </w:pPr>
    </w:p>
    <w:p>
      <w:pPr>
        <w:pStyle w:val="nzIndenta"/>
        <w:rPr>
          <w:snapToGrid w:val="0"/>
        </w:rPr>
      </w:pPr>
      <w:r>
        <w:tab/>
      </w:r>
      <w:r>
        <w:tab/>
        <w:t xml:space="preserve">On, </w:t>
      </w:r>
      <w:r>
        <w:rPr>
          <w:snapToGrid w:val="0"/>
        </w:rPr>
        <w:t>or at any time after,</w:t>
      </w:r>
    </w:p>
    <w:p>
      <w:pPr>
        <w:pStyle w:val="BlankClose"/>
      </w:pPr>
    </w:p>
    <w:p>
      <w:pPr>
        <w:pStyle w:val="nzIndenta"/>
      </w:pPr>
      <w:r>
        <w:tab/>
        <w:t>(b)</w:t>
      </w:r>
      <w:r>
        <w:tab/>
        <w:t>in paragraph (a) delete “in force” and insert:</w:t>
      </w:r>
    </w:p>
    <w:p>
      <w:pPr>
        <w:pStyle w:val="BlankOpen"/>
      </w:pPr>
    </w:p>
    <w:p>
      <w:pPr>
        <w:pStyle w:val="nzIndenta"/>
      </w:pPr>
      <w:r>
        <w:tab/>
      </w:r>
      <w:r>
        <w:tab/>
        <w:t>or interim development order</w:t>
      </w:r>
    </w:p>
    <w:p>
      <w:pPr>
        <w:pStyle w:val="BlankClose"/>
      </w:pPr>
    </w:p>
    <w:p>
      <w:pPr>
        <w:pStyle w:val="nzIndenta"/>
      </w:pPr>
      <w:r>
        <w:tab/>
        <w:t>(c)</w:t>
      </w:r>
      <w:r>
        <w:tab/>
        <w:t>in paragraph (b) delete “under the provisions of the last</w:t>
      </w:r>
      <w:r>
        <w:noBreakHyphen/>
        <w:t>mentioned Act relating to any”</w:t>
      </w:r>
    </w:p>
    <w:p>
      <w:pPr>
        <w:pStyle w:val="BlankClose"/>
      </w:pPr>
    </w:p>
    <w:p>
      <w:pPr>
        <w:pStyle w:val="nzSubsection"/>
      </w:pPr>
      <w:r>
        <w:tab/>
        <w:t>(2)</w:t>
      </w:r>
      <w:r>
        <w:tab/>
        <w:t>Delete section 24(2a) and insert:</w:t>
      </w:r>
    </w:p>
    <w:p>
      <w:pPr>
        <w:pStyle w:val="BlankOpen"/>
      </w:pPr>
    </w:p>
    <w:p>
      <w:pPr>
        <w:pStyle w:val="nzSubsection"/>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BlankClose"/>
      </w:pPr>
    </w:p>
    <w:p>
      <w:pPr>
        <w:pStyle w:val="nzSubsection"/>
      </w:pPr>
      <w:r>
        <w:tab/>
        <w:t>(3)</w:t>
      </w:r>
      <w:r>
        <w:tab/>
        <w:t>In section 24(4) and (5) delete “shall” and insert:</w:t>
      </w:r>
    </w:p>
    <w:p>
      <w:pPr>
        <w:pStyle w:val="BlankOpen"/>
      </w:pPr>
    </w:p>
    <w:p>
      <w:pPr>
        <w:pStyle w:val="nzSubsection"/>
      </w:pPr>
      <w:r>
        <w:tab/>
      </w:r>
      <w:r>
        <w:tab/>
        <w:t>must</w:t>
      </w:r>
    </w:p>
    <w:p>
      <w:pPr>
        <w:pStyle w:val="BlankClose"/>
      </w:pPr>
    </w:p>
    <w:p>
      <w:pPr>
        <w:pStyle w:val="nzSubsection"/>
      </w:pPr>
      <w:r>
        <w:tab/>
        <w:t>(4)</w:t>
      </w:r>
      <w:r>
        <w:tab/>
        <w:t>In section 24(6) delete “shall be” (each occurrence) and insert:</w:t>
      </w:r>
    </w:p>
    <w:p>
      <w:pPr>
        <w:pStyle w:val="BlankOpen"/>
      </w:pPr>
    </w:p>
    <w:p>
      <w:pPr>
        <w:pStyle w:val="nzSubsection"/>
      </w:pPr>
      <w:r>
        <w:tab/>
      </w:r>
      <w:r>
        <w:tab/>
        <w:t>is</w:t>
      </w:r>
    </w:p>
    <w:p>
      <w:pPr>
        <w:pStyle w:val="BlankClose"/>
      </w:pPr>
    </w:p>
    <w:p>
      <w:pPr>
        <w:pStyle w:val="nzPermNoteHeading"/>
      </w:pPr>
      <w:r>
        <w:tab/>
        <w:t>Note:</w:t>
      </w:r>
    </w:p>
    <w:p>
      <w:pPr>
        <w:pStyle w:val="nzPermNoteText"/>
      </w:pPr>
      <w:r>
        <w:tab/>
      </w:r>
      <w:r>
        <w:tab/>
        <w:t>Section 24 (as amended) is relocated to Part 3 Division 2.</w:t>
      </w:r>
    </w:p>
    <w:p>
      <w:pPr>
        <w:pStyle w:val="nzHeading5"/>
      </w:pPr>
      <w:bookmarkStart w:id="531" w:name="_Toc530474290"/>
      <w:bookmarkStart w:id="532" w:name="_Toc530474885"/>
      <w:r>
        <w:rPr>
          <w:rStyle w:val="CharSectno"/>
        </w:rPr>
        <w:t>30</w:t>
      </w:r>
      <w:r>
        <w:t>.</w:t>
      </w:r>
      <w:r>
        <w:tab/>
        <w:t>Section 26 amended</w:t>
      </w:r>
      <w:bookmarkEnd w:id="531"/>
      <w:bookmarkEnd w:id="532"/>
    </w:p>
    <w:p>
      <w:pPr>
        <w:pStyle w:val="nzSubsection"/>
      </w:pPr>
      <w:r>
        <w:tab/>
        <w:t>(1)</w:t>
      </w:r>
      <w:r>
        <w:tab/>
        <w:t>Delete section 26(1) and (2) and insert:</w:t>
      </w:r>
    </w:p>
    <w:p>
      <w:pPr>
        <w:pStyle w:val="BlankOpen"/>
      </w:pPr>
    </w:p>
    <w:p>
      <w:pPr>
        <w:pStyle w:val="nz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BlankClose"/>
      </w:pPr>
    </w:p>
    <w:p>
      <w:pPr>
        <w:pStyle w:val="nzSubsection"/>
      </w:pPr>
      <w:r>
        <w:tab/>
        <w:t>(2)</w:t>
      </w:r>
      <w:r>
        <w:tab/>
        <w:t>In section 26(3) delete “shall —” and insert:</w:t>
      </w:r>
    </w:p>
    <w:p>
      <w:pPr>
        <w:pStyle w:val="BlankOpen"/>
      </w:pPr>
    </w:p>
    <w:p>
      <w:pPr>
        <w:pStyle w:val="nzSubsection"/>
      </w:pPr>
      <w:r>
        <w:tab/>
      </w:r>
      <w:r>
        <w:tab/>
        <w:t>made to it under this Part must —</w:t>
      </w:r>
    </w:p>
    <w:p>
      <w:pPr>
        <w:pStyle w:val="BlankClose"/>
      </w:pPr>
    </w:p>
    <w:p>
      <w:pPr>
        <w:pStyle w:val="nzSubsection"/>
      </w:pPr>
      <w:r>
        <w:tab/>
        <w:t>(3)</w:t>
      </w:r>
      <w:r>
        <w:tab/>
        <w:t>Delete section 26(4) and (5) and insert:</w:t>
      </w:r>
    </w:p>
    <w:p>
      <w:pPr>
        <w:pStyle w:val="BlankOpen"/>
      </w:pPr>
    </w:p>
    <w:p>
      <w:pPr>
        <w:pStyle w:val="nz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nz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nzIndenta"/>
        <w:rPr>
          <w:snapToGrid w:val="0"/>
        </w:rPr>
      </w:pPr>
      <w:r>
        <w:rPr>
          <w:snapToGrid w:val="0"/>
        </w:rPr>
        <w:tab/>
        <w:t>(b)</w:t>
      </w:r>
      <w:r>
        <w:rPr>
          <w:snapToGrid w:val="0"/>
        </w:rPr>
        <w:tab/>
        <w:t>a refusal by a local government to approve an application under section 23 or 24; or</w:t>
      </w:r>
    </w:p>
    <w:p>
      <w:pPr>
        <w:pStyle w:val="nzIndenta"/>
        <w:rPr>
          <w:snapToGrid w:val="0"/>
        </w:rPr>
      </w:pPr>
      <w:r>
        <w:rPr>
          <w:snapToGrid w:val="0"/>
        </w:rPr>
        <w:tab/>
        <w:t>(c)</w:t>
      </w:r>
      <w:r>
        <w:rPr>
          <w:snapToGrid w:val="0"/>
        </w:rPr>
        <w:tab/>
        <w:t>the attachment of a condition to the approval of an application under section 23 or 24; or</w:t>
      </w:r>
    </w:p>
    <w:p>
      <w:pPr>
        <w:pStyle w:val="nzIndenta"/>
        <w:rPr>
          <w:snapToGrid w:val="0"/>
        </w:rPr>
      </w:pPr>
      <w:r>
        <w:rPr>
          <w:snapToGrid w:val="0"/>
        </w:rPr>
        <w:tab/>
        <w:t>(d)</w:t>
      </w:r>
      <w:r>
        <w:rPr>
          <w:snapToGrid w:val="0"/>
        </w:rPr>
        <w:tab/>
        <w:t>to refuse to approve acceptance of a lease under section 25; or</w:t>
      </w:r>
    </w:p>
    <w:p>
      <w:pPr>
        <w:pStyle w:val="nzIndenta"/>
        <w:rPr>
          <w:snapToGrid w:val="0"/>
        </w:rPr>
      </w:pPr>
      <w:r>
        <w:rPr>
          <w:snapToGrid w:val="0"/>
        </w:rPr>
        <w:tab/>
        <w:t>(e)</w:t>
      </w:r>
      <w:r>
        <w:rPr>
          <w:snapToGrid w:val="0"/>
        </w:rPr>
        <w:tab/>
        <w:t>a decision to refuse to approve a lease or licence under section 26.</w:t>
      </w:r>
    </w:p>
    <w:p>
      <w:pPr>
        <w:pStyle w:val="nzSubsection"/>
      </w:pPr>
      <w:r>
        <w:tab/>
        <w:t>(5)</w:t>
      </w:r>
      <w:r>
        <w:tab/>
        <w:t xml:space="preserve">Part 13 does not apply to a proceeding under this section (which is a </w:t>
      </w:r>
      <w:r>
        <w:rPr>
          <w:snapToGrid w:val="0"/>
        </w:rPr>
        <w:t>proceeding</w:t>
      </w:r>
      <w:r>
        <w:t xml:space="preserve"> within the Tribunal’s review jurisdiction).</w:t>
      </w:r>
    </w:p>
    <w:p>
      <w:pPr>
        <w:pStyle w:val="BlankClose"/>
      </w:pPr>
    </w:p>
    <w:p>
      <w:pPr>
        <w:pStyle w:val="nzSubsection"/>
      </w:pPr>
      <w:r>
        <w:tab/>
        <w:t>(4)</w:t>
      </w:r>
      <w:r>
        <w:tab/>
        <w:t>In section 26(6):</w:t>
      </w:r>
    </w:p>
    <w:p>
      <w:pPr>
        <w:pStyle w:val="nzIndenta"/>
      </w:pPr>
      <w:r>
        <w:tab/>
        <w:t>(a)</w:t>
      </w:r>
      <w:r>
        <w:tab/>
        <w:t>delete “subsections (4) and (5),” and insert:</w:t>
      </w:r>
    </w:p>
    <w:p>
      <w:pPr>
        <w:pStyle w:val="BlankOpen"/>
      </w:pPr>
    </w:p>
    <w:p>
      <w:pPr>
        <w:pStyle w:val="nzIndenta"/>
      </w:pPr>
      <w:r>
        <w:tab/>
      </w:r>
      <w:r>
        <w:tab/>
        <w:t>subsection (4),</w:t>
      </w:r>
    </w:p>
    <w:p>
      <w:pPr>
        <w:pStyle w:val="BlankClose"/>
      </w:pPr>
    </w:p>
    <w:p>
      <w:pPr>
        <w:pStyle w:val="nzIndenta"/>
      </w:pPr>
      <w:r>
        <w:tab/>
        <w:t>(b)</w:t>
      </w:r>
      <w:r>
        <w:tab/>
        <w:t>after “application” (1</w:t>
      </w:r>
      <w:r>
        <w:rPr>
          <w:vertAlign w:val="superscript"/>
        </w:rPr>
        <w:t>st</w:t>
      </w:r>
      <w:r>
        <w:t xml:space="preserve"> occurrence) insert:</w:t>
      </w:r>
    </w:p>
    <w:p>
      <w:pPr>
        <w:pStyle w:val="BlankOpen"/>
      </w:pPr>
    </w:p>
    <w:p>
      <w:pPr>
        <w:pStyle w:val="nzIndenta"/>
      </w:pPr>
      <w:r>
        <w:tab/>
      </w:r>
      <w:r>
        <w:tab/>
        <w:t>under this Part</w:t>
      </w:r>
    </w:p>
    <w:p>
      <w:pPr>
        <w:pStyle w:val="BlankClose"/>
      </w:pPr>
    </w:p>
    <w:p>
      <w:pPr>
        <w:pStyle w:val="nzIndenta"/>
      </w:pPr>
      <w:r>
        <w:tab/>
        <w:t>(c)</w:t>
      </w:r>
      <w:r>
        <w:tab/>
        <w:t>delete “40 days of receiving” and insert:</w:t>
      </w:r>
    </w:p>
    <w:p>
      <w:pPr>
        <w:pStyle w:val="BlankOpen"/>
      </w:pPr>
    </w:p>
    <w:p>
      <w:pPr>
        <w:pStyle w:val="nzIndenta"/>
      </w:pPr>
      <w:r>
        <w:tab/>
      </w:r>
      <w:r>
        <w:tab/>
        <w:t>the prescribed period after being given</w:t>
      </w:r>
    </w:p>
    <w:p>
      <w:pPr>
        <w:pStyle w:val="BlankClose"/>
      </w:pPr>
    </w:p>
    <w:p>
      <w:pPr>
        <w:pStyle w:val="nzSubsection"/>
      </w:pPr>
      <w:r>
        <w:tab/>
        <w:t>(5)</w:t>
      </w:r>
      <w:r>
        <w:tab/>
        <w:t>In section 26(7):</w:t>
      </w:r>
    </w:p>
    <w:p>
      <w:pPr>
        <w:pStyle w:val="nzIndenta"/>
      </w:pPr>
      <w:r>
        <w:tab/>
        <w:t>(a)</w:t>
      </w:r>
      <w:r>
        <w:tab/>
        <w:t>delete “of the day on which the applicant received” and insert:</w:t>
      </w:r>
    </w:p>
    <w:p>
      <w:pPr>
        <w:pStyle w:val="BlankOpen"/>
      </w:pPr>
    </w:p>
    <w:p>
      <w:pPr>
        <w:pStyle w:val="nzIndenta"/>
      </w:pPr>
      <w:r>
        <w:tab/>
      </w:r>
      <w:r>
        <w:tab/>
        <w:t>after the day on which the applicant is given</w:t>
      </w:r>
    </w:p>
    <w:p>
      <w:pPr>
        <w:pStyle w:val="BlankClose"/>
      </w:pPr>
    </w:p>
    <w:p>
      <w:pPr>
        <w:pStyle w:val="nzIndenta"/>
        <w:rPr>
          <w:snapToGrid w:val="0"/>
        </w:rPr>
      </w:pPr>
      <w:r>
        <w:tab/>
        <w:t>(b)</w:t>
      </w:r>
      <w:r>
        <w:tab/>
        <w:t xml:space="preserve">delete “of </w:t>
      </w:r>
      <w:r>
        <w:rPr>
          <w:snapToGrid w:val="0"/>
        </w:rPr>
        <w:t>the expiration of the period of 40 days” and insert:</w:t>
      </w:r>
    </w:p>
    <w:p>
      <w:pPr>
        <w:pStyle w:val="BlankOpen"/>
      </w:pPr>
    </w:p>
    <w:p>
      <w:pPr>
        <w:pStyle w:val="nzIndenta"/>
      </w:pPr>
      <w:r>
        <w:tab/>
      </w:r>
      <w:r>
        <w:tab/>
        <w:t>after</w:t>
      </w:r>
      <w:r>
        <w:rPr>
          <w:snapToGrid w:val="0"/>
        </w:rPr>
        <w:t xml:space="preserve"> the expiration of the </w:t>
      </w:r>
      <w:r>
        <w:t xml:space="preserve">prescribed </w:t>
      </w:r>
      <w:r>
        <w:rPr>
          <w:snapToGrid w:val="0"/>
        </w:rPr>
        <w:t>period</w:t>
      </w:r>
    </w:p>
    <w:p>
      <w:pPr>
        <w:pStyle w:val="BlankClose"/>
      </w:pPr>
    </w:p>
    <w:p>
      <w:pPr>
        <w:pStyle w:val="nzSubsection"/>
      </w:pPr>
      <w:r>
        <w:tab/>
        <w:t>(6)</w:t>
      </w:r>
      <w:r>
        <w:tab/>
        <w:t>After section 26(7) insert:</w:t>
      </w:r>
    </w:p>
    <w:p>
      <w:pPr>
        <w:pStyle w:val="BlankOpen"/>
      </w:pPr>
    </w:p>
    <w:p>
      <w:pPr>
        <w:pStyle w:val="nzSubsection"/>
      </w:pPr>
      <w:r>
        <w:tab/>
        <w:t>(8)</w:t>
      </w:r>
      <w:r>
        <w:tab/>
        <w:t>In this section —</w:t>
      </w:r>
    </w:p>
    <w:p>
      <w:pPr>
        <w:pStyle w:val="nzSubsection"/>
      </w:pPr>
      <w:r>
        <w:tab/>
      </w:r>
      <w:r>
        <w:tab/>
      </w:r>
      <w:r>
        <w:rPr>
          <w:rStyle w:val="CharDefText"/>
        </w:rPr>
        <w:t>prescribed period</w:t>
      </w:r>
      <w:r>
        <w:t xml:space="preserve"> means 40 days or, if some other period is specified in the regulations, that period.</w:t>
      </w:r>
    </w:p>
    <w:p>
      <w:pPr>
        <w:pStyle w:val="BlankClose"/>
      </w:pPr>
    </w:p>
    <w:p>
      <w:pPr>
        <w:pStyle w:val="nzPermNoteHeading"/>
      </w:pPr>
      <w:r>
        <w:tab/>
        <w:t>Note:</w:t>
      </w:r>
    </w:p>
    <w:p>
      <w:pPr>
        <w:pStyle w:val="nzPermNoteText"/>
      </w:pPr>
      <w:r>
        <w:tab/>
      </w:r>
      <w:r>
        <w:tab/>
        <w:t>Section 26 (as amended) is renumbered as section 28 and relocated to Part 3 Division 4.</w:t>
      </w:r>
    </w:p>
    <w:p>
      <w:pPr>
        <w:pStyle w:val="nzHeading5"/>
      </w:pPr>
      <w:bookmarkStart w:id="533" w:name="_Toc530474291"/>
      <w:bookmarkStart w:id="534" w:name="_Toc530474886"/>
      <w:r>
        <w:rPr>
          <w:rStyle w:val="CharSectno"/>
        </w:rPr>
        <w:t>31</w:t>
      </w:r>
      <w:r>
        <w:t>.</w:t>
      </w:r>
      <w:r>
        <w:tab/>
        <w:t>Section 28 amended</w:t>
      </w:r>
      <w:bookmarkEnd w:id="533"/>
      <w:bookmarkEnd w:id="534"/>
    </w:p>
    <w:p>
      <w:pPr>
        <w:pStyle w:val="nzSubsection"/>
      </w:pPr>
      <w:r>
        <w:tab/>
        <w:t>(1)</w:t>
      </w:r>
      <w:r>
        <w:tab/>
        <w:t>Delete section 28(1) and insert:</w:t>
      </w:r>
    </w:p>
    <w:p>
      <w:pPr>
        <w:pStyle w:val="BlankOpen"/>
      </w:pPr>
    </w:p>
    <w:p>
      <w:pPr>
        <w:pStyle w:val="nzSubsection"/>
      </w:pPr>
      <w:r>
        <w:tab/>
        <w:t>(1A)</w:t>
      </w:r>
      <w:r>
        <w:tab/>
        <w:t>An application for an order under this section for a strata scheme can be made by —</w:t>
      </w:r>
    </w:p>
    <w:p>
      <w:pPr>
        <w:pStyle w:val="nzIndenta"/>
      </w:pPr>
      <w:r>
        <w:tab/>
        <w:t>(a)</w:t>
      </w:r>
      <w:r>
        <w:tab/>
        <w:t>the strata company; or</w:t>
      </w:r>
    </w:p>
    <w:p>
      <w:pPr>
        <w:pStyle w:val="nzIndenta"/>
      </w:pPr>
      <w:r>
        <w:tab/>
        <w:t>(b)</w:t>
      </w:r>
      <w:r>
        <w:tab/>
        <w:t>the owner of a lot in the scheme; or</w:t>
      </w:r>
    </w:p>
    <w:p>
      <w:pPr>
        <w:pStyle w:val="nzIndenta"/>
      </w:pPr>
      <w:r>
        <w:tab/>
        <w:t>(c)</w:t>
      </w:r>
      <w:r>
        <w:tab/>
        <w:t>a registered mortgagee of a lot in the scheme; or</w:t>
      </w:r>
    </w:p>
    <w:p>
      <w:pPr>
        <w:pStyle w:val="nzIndenta"/>
      </w:pPr>
      <w:r>
        <w:tab/>
        <w:t>(d)</w:t>
      </w:r>
      <w:r>
        <w:tab/>
        <w:t>for a leasehold scheme, the owner of the leasehold scheme.</w:t>
      </w:r>
    </w:p>
    <w:p>
      <w:pPr>
        <w:pStyle w:val="nz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BlankClose"/>
      </w:pPr>
    </w:p>
    <w:p>
      <w:pPr>
        <w:pStyle w:val="nzSubsection"/>
      </w:pPr>
      <w:r>
        <w:tab/>
        <w:t>(2)</w:t>
      </w:r>
      <w:r>
        <w:tab/>
        <w:t>In section 28(2):</w:t>
      </w:r>
    </w:p>
    <w:p>
      <w:pPr>
        <w:pStyle w:val="nzIndenta"/>
      </w:pPr>
      <w:r>
        <w:tab/>
        <w:t>(a)</w:t>
      </w:r>
      <w:r>
        <w:tab/>
        <w:t>after “on the” insert:</w:t>
      </w:r>
    </w:p>
    <w:p>
      <w:pPr>
        <w:pStyle w:val="BlankOpen"/>
        <w:keepNext w:val="0"/>
      </w:pPr>
    </w:p>
    <w:p>
      <w:pPr>
        <w:pStyle w:val="nzIndenta"/>
      </w:pPr>
      <w:r>
        <w:tab/>
      </w:r>
      <w:r>
        <w:tab/>
        <w:t>scheme</w:t>
      </w:r>
    </w:p>
    <w:p>
      <w:pPr>
        <w:pStyle w:val="BlankClose"/>
      </w:pPr>
    </w:p>
    <w:p>
      <w:pPr>
        <w:pStyle w:val="nzIndenta"/>
      </w:pPr>
      <w:r>
        <w:tab/>
        <w:t>(b)</w:t>
      </w:r>
      <w:r>
        <w:tab/>
        <w:t>delete “District Court” and insert:</w:t>
      </w:r>
    </w:p>
    <w:p>
      <w:pPr>
        <w:pStyle w:val="BlankOpen"/>
      </w:pPr>
    </w:p>
    <w:p>
      <w:pPr>
        <w:pStyle w:val="nzIndenta"/>
      </w:pPr>
      <w:r>
        <w:tab/>
      </w:r>
      <w:r>
        <w:tab/>
        <w:t>Tribunal</w:t>
      </w:r>
    </w:p>
    <w:p>
      <w:pPr>
        <w:pStyle w:val="BlankClose"/>
      </w:pPr>
    </w:p>
    <w:p>
      <w:pPr>
        <w:pStyle w:val="nzSubsection"/>
      </w:pPr>
      <w:r>
        <w:tab/>
        <w:t>(3)</w:t>
      </w:r>
      <w:r>
        <w:tab/>
        <w:t>In section 28(3):</w:t>
      </w:r>
    </w:p>
    <w:p>
      <w:pPr>
        <w:pStyle w:val="nzIndenta"/>
      </w:pPr>
      <w:r>
        <w:tab/>
        <w:t>(a)</w:t>
      </w:r>
      <w:r>
        <w:tab/>
        <w:t>delete “the generality o</w:t>
      </w:r>
      <w:r>
        <w:rPr>
          <w:spacing w:val="40"/>
        </w:rPr>
        <w:t>f</w:t>
      </w:r>
      <w:r>
        <w:t>”;</w:t>
      </w:r>
    </w:p>
    <w:p>
      <w:pPr>
        <w:pStyle w:val="nzIndenta"/>
      </w:pPr>
      <w:r>
        <w:tab/>
        <w:t>(b)</w:t>
      </w:r>
      <w:r>
        <w:tab/>
        <w:t>delete “such directions for or with respect to any one” and insert:</w:t>
      </w:r>
    </w:p>
    <w:p>
      <w:pPr>
        <w:pStyle w:val="BlankOpen"/>
        <w:rPr>
          <w:snapToGrid w:val="0"/>
        </w:rPr>
      </w:pPr>
    </w:p>
    <w:p>
      <w:pPr>
        <w:pStyle w:val="nzIndenta"/>
        <w:rPr>
          <w:snapToGrid w:val="0"/>
        </w:rPr>
      </w:pPr>
      <w:r>
        <w:rPr>
          <w:snapToGrid w:val="0"/>
        </w:rPr>
        <w:tab/>
      </w:r>
      <w:r>
        <w:rPr>
          <w:snapToGrid w:val="0"/>
        </w:rPr>
        <w:tab/>
        <w:t>directions for any 1</w:t>
      </w:r>
    </w:p>
    <w:p>
      <w:pPr>
        <w:pStyle w:val="BlankClose"/>
      </w:pPr>
    </w:p>
    <w:p>
      <w:pPr>
        <w:pStyle w:val="nzIndenta"/>
      </w:pPr>
      <w:r>
        <w:tab/>
        <w:t>(c)</w:t>
      </w:r>
      <w:r>
        <w:tab/>
        <w:t>delete “matters as the District Court considers necessary or expedient —” and insert:</w:t>
      </w:r>
    </w:p>
    <w:p>
      <w:pPr>
        <w:pStyle w:val="BlankOpen"/>
      </w:pPr>
    </w:p>
    <w:p>
      <w:pPr>
        <w:pStyle w:val="nzIndenta"/>
      </w:pPr>
      <w:r>
        <w:tab/>
      </w:r>
      <w:r>
        <w:tab/>
        <w:t>matters —</w:t>
      </w:r>
    </w:p>
    <w:p>
      <w:pPr>
        <w:pStyle w:val="BlankClose"/>
      </w:pPr>
    </w:p>
    <w:p>
      <w:pPr>
        <w:pStyle w:val="nzIndenta"/>
      </w:pPr>
      <w:r>
        <w:tab/>
        <w:t>(d)</w:t>
      </w:r>
      <w:r>
        <w:tab/>
        <w:t>in paragraph (b) delete “proprietors” (1</w:t>
      </w:r>
      <w:r>
        <w:rPr>
          <w:vertAlign w:val="superscript"/>
        </w:rPr>
        <w:t>st</w:t>
      </w:r>
      <w:r>
        <w:t xml:space="preserve"> occurrence) and insert:</w:t>
      </w:r>
    </w:p>
    <w:p>
      <w:pPr>
        <w:pStyle w:val="BlankOpen"/>
      </w:pPr>
    </w:p>
    <w:p>
      <w:pPr>
        <w:pStyle w:val="nzIndenta"/>
      </w:pPr>
      <w:r>
        <w:tab/>
      </w:r>
      <w:r>
        <w:tab/>
        <w:t>owners</w:t>
      </w:r>
    </w:p>
    <w:p>
      <w:pPr>
        <w:pStyle w:val="BlankClose"/>
      </w:pPr>
    </w:p>
    <w:p>
      <w:pPr>
        <w:pStyle w:val="nzIndenta"/>
      </w:pPr>
      <w:r>
        <w:tab/>
        <w:t>(e)</w:t>
      </w:r>
      <w:r>
        <w:tab/>
        <w:t>in paragraph (b) delete “proprietors” (2</w:t>
      </w:r>
      <w:r>
        <w:rPr>
          <w:vertAlign w:val="superscript"/>
        </w:rPr>
        <w:t>nd</w:t>
      </w:r>
      <w:r>
        <w:t xml:space="preserve"> occurrence) and insert:</w:t>
      </w:r>
    </w:p>
    <w:p>
      <w:pPr>
        <w:pStyle w:val="BlankOpen"/>
      </w:pPr>
    </w:p>
    <w:p>
      <w:pPr>
        <w:pStyle w:val="nzIndenta"/>
      </w:pPr>
      <w:r>
        <w:tab/>
      </w:r>
      <w:r>
        <w:tab/>
        <w:t>owners of lots</w:t>
      </w:r>
    </w:p>
    <w:p>
      <w:pPr>
        <w:pStyle w:val="BlankClose"/>
      </w:pPr>
    </w:p>
    <w:p>
      <w:pPr>
        <w:pStyle w:val="nzIndenta"/>
      </w:pPr>
      <w:r>
        <w:tab/>
        <w:t>(f)</w:t>
      </w:r>
      <w:r>
        <w:tab/>
        <w:t>in paragraph (c) delete “entitlement o</w:t>
      </w:r>
      <w:r>
        <w:rPr>
          <w:spacing w:val="40"/>
        </w:rPr>
        <w:t>f</w:t>
      </w:r>
      <w:r>
        <w:t>” and insert:</w:t>
      </w:r>
    </w:p>
    <w:p>
      <w:pPr>
        <w:pStyle w:val="BlankOpen"/>
      </w:pPr>
    </w:p>
    <w:p>
      <w:pPr>
        <w:pStyle w:val="nzIndenta"/>
      </w:pPr>
      <w:r>
        <w:tab/>
      </w:r>
      <w:r>
        <w:tab/>
        <w:t>entitlements of</w:t>
      </w:r>
    </w:p>
    <w:p>
      <w:pPr>
        <w:pStyle w:val="BlankClose"/>
      </w:pPr>
    </w:p>
    <w:p>
      <w:pPr>
        <w:pStyle w:val="nzIndenta"/>
      </w:pPr>
      <w:r>
        <w:tab/>
        <w:t>(g)</w:t>
      </w:r>
      <w:r>
        <w:tab/>
        <w:t>in paragraph (c) delete “entitlement;” and insert:</w:t>
      </w:r>
    </w:p>
    <w:p>
      <w:pPr>
        <w:pStyle w:val="BlankOpen"/>
      </w:pPr>
    </w:p>
    <w:p>
      <w:pPr>
        <w:pStyle w:val="nzIndenta"/>
      </w:pPr>
      <w:r>
        <w:tab/>
      </w:r>
      <w:r>
        <w:tab/>
        <w:t>entitlements;</w:t>
      </w:r>
    </w:p>
    <w:p>
      <w:pPr>
        <w:pStyle w:val="BlankClose"/>
      </w:pPr>
    </w:p>
    <w:p>
      <w:pPr>
        <w:pStyle w:val="nzIndenta"/>
      </w:pPr>
      <w:r>
        <w:tab/>
        <w:t>(h)</w:t>
      </w:r>
      <w:r>
        <w:tab/>
        <w:t xml:space="preserve">in paragraph (d) delete “moneys” and insert </w:t>
      </w:r>
    </w:p>
    <w:p>
      <w:pPr>
        <w:pStyle w:val="BlankOpen"/>
      </w:pPr>
    </w:p>
    <w:p>
      <w:pPr>
        <w:pStyle w:val="nzIndenta"/>
      </w:pPr>
      <w:r>
        <w:tab/>
      </w:r>
      <w:r>
        <w:tab/>
        <w:t>money</w:t>
      </w:r>
    </w:p>
    <w:p>
      <w:pPr>
        <w:pStyle w:val="BlankClose"/>
      </w:pPr>
    </w:p>
    <w:p>
      <w:pPr>
        <w:pStyle w:val="nzIndenta"/>
      </w:pPr>
      <w:r>
        <w:tab/>
        <w:t>(i)</w:t>
      </w:r>
      <w:r>
        <w:tab/>
        <w:t>in paragraph (d) after “destruction of the” insert:</w:t>
      </w:r>
    </w:p>
    <w:p>
      <w:pPr>
        <w:pStyle w:val="BlankOpen"/>
      </w:pPr>
    </w:p>
    <w:p>
      <w:pPr>
        <w:pStyle w:val="nzIndenta"/>
      </w:pPr>
      <w:r>
        <w:tab/>
      </w:r>
      <w:r>
        <w:tab/>
        <w:t>scheme</w:t>
      </w:r>
    </w:p>
    <w:p>
      <w:pPr>
        <w:pStyle w:val="BlankClose"/>
      </w:pPr>
    </w:p>
    <w:p>
      <w:pPr>
        <w:pStyle w:val="nzIndenta"/>
      </w:pPr>
      <w:r>
        <w:tab/>
        <w:t>(j)</w:t>
      </w:r>
      <w:r>
        <w:tab/>
        <w:t>delete paragraph (e) and insert:</w:t>
      </w:r>
    </w:p>
    <w:p>
      <w:pPr>
        <w:pStyle w:val="BlankOpen"/>
      </w:pPr>
    </w:p>
    <w:p>
      <w:pPr>
        <w:pStyle w:val="nzIndenta"/>
      </w:pPr>
      <w:r>
        <w:tab/>
        <w:t>(e)</w:t>
      </w:r>
      <w:r>
        <w:tab/>
        <w:t>the payment of money to or by the strata company, the owner of a lot or, for a leasehold scheme, the owner of the leasehold scheme;</w:t>
      </w:r>
    </w:p>
    <w:p>
      <w:pPr>
        <w:pStyle w:val="BlankClose"/>
      </w:pPr>
    </w:p>
    <w:p>
      <w:pPr>
        <w:pStyle w:val="nzIndenta"/>
      </w:pPr>
      <w:r>
        <w:tab/>
        <w:t>(k)</w:t>
      </w:r>
      <w:r>
        <w:tab/>
        <w:t>in paragraph (f) delete “registered”;</w:t>
      </w:r>
    </w:p>
    <w:p>
      <w:pPr>
        <w:pStyle w:val="nzIndenta"/>
      </w:pPr>
      <w:r>
        <w:tab/>
        <w:t>(l)</w:t>
      </w:r>
      <w:r>
        <w:tab/>
        <w:t>in paragraph (f) delete “District Court” and insert:</w:t>
      </w:r>
    </w:p>
    <w:p>
      <w:pPr>
        <w:pStyle w:val="BlankOpen"/>
      </w:pPr>
    </w:p>
    <w:p>
      <w:pPr>
        <w:pStyle w:val="nzIndenta"/>
      </w:pPr>
      <w:r>
        <w:tab/>
      </w:r>
      <w:r>
        <w:tab/>
        <w:t>Tribunal</w:t>
      </w:r>
    </w:p>
    <w:p>
      <w:pPr>
        <w:pStyle w:val="BlankClose"/>
      </w:pPr>
    </w:p>
    <w:p>
      <w:pPr>
        <w:pStyle w:val="nzIndenta"/>
      </w:pPr>
      <w:r>
        <w:tab/>
        <w:t>(m)</w:t>
      </w:r>
      <w:r>
        <w:tab/>
        <w:t>in paragraph (g) after “insurer of the” insert:</w:t>
      </w:r>
    </w:p>
    <w:p>
      <w:pPr>
        <w:pStyle w:val="BlankOpen"/>
      </w:pPr>
    </w:p>
    <w:p>
      <w:pPr>
        <w:pStyle w:val="nzIndenta"/>
      </w:pPr>
      <w:r>
        <w:tab/>
      </w:r>
      <w:r>
        <w:tab/>
        <w:t>scheme</w:t>
      </w:r>
    </w:p>
    <w:p>
      <w:pPr>
        <w:pStyle w:val="BlankClose"/>
      </w:pPr>
    </w:p>
    <w:p>
      <w:pPr>
        <w:pStyle w:val="nzIndenta"/>
      </w:pPr>
      <w:r>
        <w:tab/>
        <w:t>(n)</w:t>
      </w:r>
      <w:r>
        <w:tab/>
        <w:t>in paragraph (h) delete “District Court,” and insert:</w:t>
      </w:r>
    </w:p>
    <w:p>
      <w:pPr>
        <w:pStyle w:val="BlankOpen"/>
      </w:pPr>
    </w:p>
    <w:p>
      <w:pPr>
        <w:pStyle w:val="nzIndenta"/>
      </w:pPr>
      <w:r>
        <w:tab/>
      </w:r>
      <w:r>
        <w:tab/>
        <w:t>Tribunal,</w:t>
      </w:r>
    </w:p>
    <w:p>
      <w:pPr>
        <w:pStyle w:val="BlankClose"/>
      </w:pPr>
    </w:p>
    <w:p>
      <w:pPr>
        <w:pStyle w:val="nzIndenta"/>
      </w:pPr>
      <w:r>
        <w:tab/>
        <w:t>(o)</w:t>
      </w:r>
      <w:r>
        <w:tab/>
        <w:t>in paragraph (i) delete “District Court” and insert:</w:t>
      </w:r>
    </w:p>
    <w:p>
      <w:pPr>
        <w:pStyle w:val="BlankOpen"/>
      </w:pPr>
    </w:p>
    <w:p>
      <w:pPr>
        <w:pStyle w:val="nzIndenta"/>
      </w:pPr>
      <w:r>
        <w:tab/>
      </w:r>
      <w:r>
        <w:tab/>
        <w:t>Tribunal</w:t>
      </w:r>
    </w:p>
    <w:p>
      <w:pPr>
        <w:pStyle w:val="BlankClose"/>
      </w:pPr>
    </w:p>
    <w:p>
      <w:pPr>
        <w:pStyle w:val="nzSubsection"/>
      </w:pPr>
      <w:r>
        <w:tab/>
        <w:t>(4)</w:t>
      </w:r>
      <w:r>
        <w:tab/>
        <w:t>In section 28(4) delete “District Court may from time to time amend any” and insert:</w:t>
      </w:r>
    </w:p>
    <w:p>
      <w:pPr>
        <w:pStyle w:val="BlankOpen"/>
      </w:pPr>
    </w:p>
    <w:p>
      <w:pPr>
        <w:pStyle w:val="nzSubsection"/>
      </w:pPr>
      <w:r>
        <w:tab/>
      </w:r>
      <w:r>
        <w:tab/>
        <w:t>Tribunal may amend an</w:t>
      </w:r>
    </w:p>
    <w:p>
      <w:pPr>
        <w:pStyle w:val="BlankClose"/>
      </w:pPr>
    </w:p>
    <w:p>
      <w:pPr>
        <w:pStyle w:val="nzSubsection"/>
      </w:pPr>
      <w:r>
        <w:tab/>
        <w:t>(5)</w:t>
      </w:r>
      <w:r>
        <w:tab/>
        <w:t>In section 28(5):</w:t>
      </w:r>
    </w:p>
    <w:p>
      <w:pPr>
        <w:pStyle w:val="nzIndenta"/>
      </w:pPr>
      <w:r>
        <w:tab/>
        <w:t>(a)</w:t>
      </w:r>
      <w:r>
        <w:tab/>
        <w:t>delete “shall take effect —” and insert:</w:t>
      </w:r>
    </w:p>
    <w:p>
      <w:pPr>
        <w:pStyle w:val="BlankOpen"/>
      </w:pPr>
    </w:p>
    <w:p>
      <w:pPr>
        <w:pStyle w:val="nzIndenta"/>
      </w:pPr>
      <w:r>
        <w:tab/>
      </w:r>
      <w:r>
        <w:tab/>
        <w:t xml:space="preserve">takes </w:t>
      </w:r>
      <w:r>
        <w:rPr>
          <w:snapToGrid w:val="0"/>
        </w:rPr>
        <w:t>effect as follows —</w:t>
      </w:r>
    </w:p>
    <w:p>
      <w:pPr>
        <w:pStyle w:val="BlankClose"/>
      </w:pPr>
    </w:p>
    <w:p>
      <w:pPr>
        <w:pStyle w:val="nzIndenta"/>
      </w:pPr>
      <w:r>
        <w:tab/>
        <w:t>(b)</w:t>
      </w:r>
      <w:r>
        <w:tab/>
        <w:t>in paragraph (b) delete “section 29,” and insert:</w:t>
      </w:r>
    </w:p>
    <w:p>
      <w:pPr>
        <w:pStyle w:val="BlankOpen"/>
      </w:pPr>
    </w:p>
    <w:p>
      <w:pPr>
        <w:pStyle w:val="nzIndenta"/>
      </w:pPr>
      <w:r>
        <w:tab/>
      </w:r>
      <w:r>
        <w:tab/>
        <w:t>section 167,</w:t>
      </w:r>
    </w:p>
    <w:p>
      <w:pPr>
        <w:pStyle w:val="BlankClose"/>
      </w:pPr>
    </w:p>
    <w:p>
      <w:pPr>
        <w:pStyle w:val="nzSubsection"/>
      </w:pPr>
      <w:r>
        <w:tab/>
        <w:t>(6)</w:t>
      </w:r>
      <w:r>
        <w:tab/>
        <w:t>Delete section 28(6) and (7).</w:t>
      </w:r>
    </w:p>
    <w:p>
      <w:pPr>
        <w:pStyle w:val="nzSectAltNote"/>
      </w:pPr>
      <w:r>
        <w:tab/>
        <w:t>Note:</w:t>
      </w:r>
      <w:r>
        <w:tab/>
        <w:t>The heading to amended section 28 is to read:</w:t>
      </w:r>
    </w:p>
    <w:p>
      <w:pPr>
        <w:pStyle w:val="nzSectAltHeading"/>
      </w:pPr>
      <w:r>
        <w:rPr>
          <w:b w:val="0"/>
        </w:rPr>
        <w:tab/>
      </w:r>
      <w:r>
        <w:rPr>
          <w:b w:val="0"/>
        </w:rPr>
        <w:tab/>
      </w:r>
      <w:r>
        <w:t>Variation of strata scheme on damage or destruction of building</w:t>
      </w:r>
    </w:p>
    <w:p>
      <w:pPr>
        <w:pStyle w:val="nzPermNoteHeading"/>
      </w:pPr>
      <w:r>
        <w:tab/>
        <w:t>Note:</w:t>
      </w:r>
    </w:p>
    <w:p>
      <w:pPr>
        <w:pStyle w:val="nzPermNoteText"/>
      </w:pPr>
      <w:r>
        <w:tab/>
      </w:r>
      <w:r>
        <w:tab/>
        <w:t>Section 28 (as amended) is renumbered as section 166 and relocated to Part 11 Division 1.</w:t>
      </w:r>
    </w:p>
    <w:p>
      <w:pPr>
        <w:pStyle w:val="nzHeading5"/>
      </w:pPr>
      <w:bookmarkStart w:id="535" w:name="_Toc530474292"/>
      <w:bookmarkStart w:id="536" w:name="_Toc530474887"/>
      <w:r>
        <w:rPr>
          <w:rStyle w:val="CharSectno"/>
        </w:rPr>
        <w:t>32</w:t>
      </w:r>
      <w:r>
        <w:t>.</w:t>
      </w:r>
      <w:r>
        <w:tab/>
        <w:t>Section 29 amended</w:t>
      </w:r>
      <w:bookmarkEnd w:id="535"/>
      <w:bookmarkEnd w:id="536"/>
    </w:p>
    <w:p>
      <w:pPr>
        <w:pStyle w:val="nzSubsection"/>
      </w:pPr>
      <w:r>
        <w:tab/>
      </w:r>
      <w:r>
        <w:tab/>
        <w:t>In section 29:</w:t>
      </w:r>
    </w:p>
    <w:p>
      <w:pPr>
        <w:pStyle w:val="nzIndenta"/>
      </w:pPr>
      <w:r>
        <w:tab/>
        <w:t>(a)</w:t>
      </w:r>
      <w:r>
        <w:tab/>
        <w:t>delete “28 shall apply and the District Court shall have” and insert:</w:t>
      </w:r>
    </w:p>
    <w:p>
      <w:pPr>
        <w:pStyle w:val="BlankOpen"/>
      </w:pPr>
    </w:p>
    <w:p>
      <w:pPr>
        <w:pStyle w:val="nzIndenta"/>
      </w:pPr>
      <w:r>
        <w:tab/>
      </w:r>
      <w:r>
        <w:tab/>
        <w:t>166 applies and the Tribunal has</w:t>
      </w:r>
    </w:p>
    <w:p>
      <w:pPr>
        <w:pStyle w:val="BlankClose"/>
      </w:pPr>
    </w:p>
    <w:p>
      <w:pPr>
        <w:pStyle w:val="nzIndenta"/>
      </w:pPr>
      <w:r>
        <w:tab/>
        <w:t>(b)</w:t>
      </w:r>
      <w:r>
        <w:tab/>
        <w:t>delete “that section applies and the District Court” and insert:</w:t>
      </w:r>
    </w:p>
    <w:p>
      <w:pPr>
        <w:pStyle w:val="BlankOpen"/>
      </w:pPr>
    </w:p>
    <w:p>
      <w:pPr>
        <w:pStyle w:val="nzIndenta"/>
      </w:pPr>
      <w:r>
        <w:tab/>
      </w:r>
      <w:r>
        <w:tab/>
        <w:t>section 166 applies and the Tribunal</w:t>
      </w:r>
    </w:p>
    <w:p>
      <w:pPr>
        <w:pStyle w:val="BlankClose"/>
      </w:pPr>
    </w:p>
    <w:p>
      <w:pPr>
        <w:pStyle w:val="nzIndenta"/>
      </w:pPr>
      <w:r>
        <w:tab/>
        <w:t>(c)</w:t>
      </w:r>
      <w:r>
        <w:tab/>
        <w:t>after “destruction of a” insert:</w:t>
      </w:r>
    </w:p>
    <w:p>
      <w:pPr>
        <w:pStyle w:val="BlankOpen"/>
      </w:pPr>
    </w:p>
    <w:p>
      <w:pPr>
        <w:pStyle w:val="nzIndenta"/>
      </w:pPr>
      <w:r>
        <w:tab/>
      </w:r>
      <w:r>
        <w:tab/>
        <w:t>scheme</w:t>
      </w:r>
    </w:p>
    <w:p>
      <w:pPr>
        <w:pStyle w:val="BlankClose"/>
      </w:pPr>
    </w:p>
    <w:p>
      <w:pPr>
        <w:pStyle w:val="nzSectAltNote"/>
      </w:pPr>
      <w:r>
        <w:tab/>
        <w:t>Note:</w:t>
      </w:r>
      <w:r>
        <w:tab/>
        <w:t>The heading to amended section 29 is to read:</w:t>
      </w:r>
    </w:p>
    <w:p>
      <w:pPr>
        <w:pStyle w:val="nzSectAltHeading"/>
      </w:pPr>
      <w:r>
        <w:rPr>
          <w:b w:val="0"/>
        </w:rPr>
        <w:tab/>
      </w:r>
      <w:r>
        <w:rPr>
          <w:b w:val="0"/>
        </w:rPr>
        <w:tab/>
      </w:r>
      <w:r>
        <w:t>Variation of strata scheme on taking</w:t>
      </w:r>
    </w:p>
    <w:p>
      <w:pPr>
        <w:pStyle w:val="nzPermNoteHeading"/>
      </w:pPr>
      <w:r>
        <w:tab/>
        <w:t>Note:</w:t>
      </w:r>
    </w:p>
    <w:p>
      <w:pPr>
        <w:pStyle w:val="nzPermNoteText"/>
      </w:pPr>
      <w:r>
        <w:tab/>
      </w:r>
      <w:r>
        <w:tab/>
        <w:t>Section 29 (as amended) is renumbered as section 167 and relocated to Part 11 Division 2.</w:t>
      </w:r>
    </w:p>
    <w:p>
      <w:pPr>
        <w:pStyle w:val="nzHeading5"/>
      </w:pPr>
      <w:bookmarkStart w:id="537" w:name="_Toc530474293"/>
      <w:bookmarkStart w:id="538" w:name="_Toc530474888"/>
      <w:r>
        <w:rPr>
          <w:rStyle w:val="CharSectno"/>
        </w:rPr>
        <w:t>33</w:t>
      </w:r>
      <w:r>
        <w:t>.</w:t>
      </w:r>
      <w:r>
        <w:tab/>
        <w:t>Section 29A amended</w:t>
      </w:r>
      <w:bookmarkEnd w:id="537"/>
      <w:bookmarkEnd w:id="538"/>
    </w:p>
    <w:p>
      <w:pPr>
        <w:pStyle w:val="nzSubsection"/>
      </w:pPr>
      <w:r>
        <w:tab/>
        <w:t>(1)</w:t>
      </w:r>
      <w:r>
        <w:tab/>
        <w:t>Before section 29A(1) insert:</w:t>
      </w:r>
    </w:p>
    <w:p>
      <w:pPr>
        <w:pStyle w:val="BlankOpen"/>
      </w:pPr>
    </w:p>
    <w:p>
      <w:pPr>
        <w:pStyle w:val="nzSubsection"/>
      </w:pPr>
      <w:r>
        <w:tab/>
        <w:t>(1A)</w:t>
      </w:r>
      <w:r>
        <w:tab/>
        <w:t>An application for an order under this section for a survey</w:t>
      </w:r>
      <w:r>
        <w:noBreakHyphen/>
        <w:t>strata scheme can be made by any of the following —</w:t>
      </w:r>
    </w:p>
    <w:p>
      <w:pPr>
        <w:pStyle w:val="nzIndenta"/>
      </w:pPr>
      <w:r>
        <w:tab/>
        <w:t>(a)</w:t>
      </w:r>
      <w:r>
        <w:tab/>
        <w:t>the strata company;</w:t>
      </w:r>
    </w:p>
    <w:p>
      <w:pPr>
        <w:pStyle w:val="nzIndenta"/>
      </w:pPr>
      <w:r>
        <w:tab/>
        <w:t>(b)</w:t>
      </w:r>
      <w:r>
        <w:tab/>
        <w:t>the owner of a lot in the scheme;</w:t>
      </w:r>
    </w:p>
    <w:p>
      <w:pPr>
        <w:pStyle w:val="nzIndenta"/>
      </w:pPr>
      <w:r>
        <w:tab/>
        <w:t>(c)</w:t>
      </w:r>
      <w:r>
        <w:tab/>
        <w:t>a registered mortgagee of a lot in the scheme;</w:t>
      </w:r>
    </w:p>
    <w:p>
      <w:pPr>
        <w:pStyle w:val="nzIndenta"/>
      </w:pPr>
      <w:r>
        <w:tab/>
        <w:t>(d)</w:t>
      </w:r>
      <w:r>
        <w:tab/>
        <w:t>for a leasehold scheme, the owner of the leasehold scheme.</w:t>
      </w:r>
    </w:p>
    <w:p>
      <w:pPr>
        <w:pStyle w:val="BlankClose"/>
      </w:pPr>
    </w:p>
    <w:p>
      <w:pPr>
        <w:pStyle w:val="nzSubsection"/>
      </w:pPr>
      <w:r>
        <w:tab/>
        <w:t>(2)</w:t>
      </w:r>
      <w:r>
        <w:tab/>
        <w:t>In section 29A(1) delete “Where part of the land in a parcel in a survey</w:t>
      </w:r>
      <w:r>
        <w:noBreakHyphen/>
        <w:t xml:space="preserve">strata scheme is taken, the District Court may, on an </w:t>
      </w:r>
      <w:r>
        <w:rPr>
          <w:snapToGrid w:val="0"/>
        </w:rPr>
        <w:t>application by the strata company or by a proprietor or a registered mortgagee of a lot within the scheme,</w:t>
      </w:r>
      <w:r>
        <w:t>” and insert:</w:t>
      </w:r>
    </w:p>
    <w:p>
      <w:pPr>
        <w:pStyle w:val="BlankOpen"/>
      </w:pPr>
    </w:p>
    <w:p>
      <w:pPr>
        <w:pStyle w:val="nzSubsection"/>
      </w:pPr>
      <w:r>
        <w:tab/>
      </w:r>
      <w:r>
        <w:tab/>
        <w:t>If part of a parcel subdivided by a survey</w:t>
      </w:r>
      <w:r>
        <w:noBreakHyphen/>
        <w:t>strata scheme is taken, the Tribunal may</w:t>
      </w:r>
    </w:p>
    <w:p>
      <w:pPr>
        <w:pStyle w:val="BlankClose"/>
      </w:pPr>
    </w:p>
    <w:p>
      <w:pPr>
        <w:pStyle w:val="nzSubsection"/>
      </w:pPr>
      <w:r>
        <w:tab/>
        <w:t>(3)</w:t>
      </w:r>
      <w:r>
        <w:tab/>
        <w:t>In section 29A(2):</w:t>
      </w:r>
    </w:p>
    <w:p>
      <w:pPr>
        <w:pStyle w:val="nzIndenta"/>
      </w:pPr>
      <w:r>
        <w:tab/>
        <w:t>(a)</w:t>
      </w:r>
      <w:r>
        <w:tab/>
        <w:t>delete “the generality o</w:t>
      </w:r>
      <w:r>
        <w:rPr>
          <w:spacing w:val="40"/>
        </w:rPr>
        <w:t>f</w:t>
      </w:r>
      <w:r>
        <w:t>”;</w:t>
      </w:r>
    </w:p>
    <w:p>
      <w:pPr>
        <w:pStyle w:val="nzIndenta"/>
      </w:pPr>
      <w:r>
        <w:tab/>
        <w:t>(b)</w:t>
      </w:r>
      <w:r>
        <w:tab/>
        <w:t>delete “such directions for or with respect to any one” and insert:</w:t>
      </w:r>
    </w:p>
    <w:p>
      <w:pPr>
        <w:pStyle w:val="BlankOpen"/>
        <w:rPr>
          <w:snapToGrid w:val="0"/>
        </w:rPr>
      </w:pPr>
    </w:p>
    <w:p>
      <w:pPr>
        <w:pStyle w:val="nzIndenta"/>
        <w:rPr>
          <w:snapToGrid w:val="0"/>
        </w:rPr>
      </w:pPr>
      <w:r>
        <w:rPr>
          <w:snapToGrid w:val="0"/>
        </w:rPr>
        <w:tab/>
      </w:r>
      <w:r>
        <w:rPr>
          <w:snapToGrid w:val="0"/>
        </w:rPr>
        <w:tab/>
        <w:t>directions for any 1</w:t>
      </w:r>
    </w:p>
    <w:p>
      <w:pPr>
        <w:pStyle w:val="BlankClose"/>
      </w:pPr>
    </w:p>
    <w:p>
      <w:pPr>
        <w:pStyle w:val="nzIndenta"/>
      </w:pPr>
      <w:r>
        <w:tab/>
        <w:t>(c)</w:t>
      </w:r>
      <w:r>
        <w:tab/>
        <w:t>delete “matters as the District Court considers necessary or expedient —” and insert:</w:t>
      </w:r>
    </w:p>
    <w:p>
      <w:pPr>
        <w:pStyle w:val="BlankOpen"/>
      </w:pPr>
    </w:p>
    <w:p>
      <w:pPr>
        <w:pStyle w:val="nzIndenta"/>
      </w:pPr>
      <w:r>
        <w:tab/>
      </w:r>
      <w:r>
        <w:tab/>
        <w:t>matters —</w:t>
      </w:r>
    </w:p>
    <w:p>
      <w:pPr>
        <w:pStyle w:val="BlankClose"/>
      </w:pPr>
    </w:p>
    <w:p>
      <w:pPr>
        <w:pStyle w:val="nzIndenta"/>
      </w:pPr>
      <w:r>
        <w:tab/>
        <w:t>(d)</w:t>
      </w:r>
      <w:r>
        <w:tab/>
        <w:t>in paragraph (a) delete “entitlement o</w:t>
      </w:r>
      <w:r>
        <w:rPr>
          <w:spacing w:val="40"/>
        </w:rPr>
        <w:t>f</w:t>
      </w:r>
      <w:r>
        <w:t>” and insert:</w:t>
      </w:r>
    </w:p>
    <w:p>
      <w:pPr>
        <w:pStyle w:val="BlankOpen"/>
      </w:pPr>
    </w:p>
    <w:p>
      <w:pPr>
        <w:pStyle w:val="nzIndenta"/>
      </w:pPr>
      <w:r>
        <w:tab/>
      </w:r>
      <w:r>
        <w:tab/>
        <w:t>entitlements of</w:t>
      </w:r>
    </w:p>
    <w:p>
      <w:pPr>
        <w:pStyle w:val="BlankClose"/>
      </w:pPr>
    </w:p>
    <w:p>
      <w:pPr>
        <w:pStyle w:val="nzIndenta"/>
      </w:pPr>
      <w:r>
        <w:tab/>
        <w:t>(e)</w:t>
      </w:r>
      <w:r>
        <w:tab/>
        <w:t>in paragraph (a) delete “entitlement; and” and insert:</w:t>
      </w:r>
    </w:p>
    <w:p>
      <w:pPr>
        <w:pStyle w:val="BlankOpen"/>
      </w:pPr>
    </w:p>
    <w:p>
      <w:pPr>
        <w:pStyle w:val="nzIndenta"/>
      </w:pPr>
      <w:r>
        <w:tab/>
      </w:r>
      <w:r>
        <w:tab/>
        <w:t>entitlements; and</w:t>
      </w:r>
    </w:p>
    <w:p>
      <w:pPr>
        <w:pStyle w:val="BlankClose"/>
      </w:pPr>
    </w:p>
    <w:p>
      <w:pPr>
        <w:pStyle w:val="nzIndenta"/>
      </w:pPr>
      <w:r>
        <w:tab/>
        <w:t>(f)</w:t>
      </w:r>
      <w:r>
        <w:tab/>
        <w:t xml:space="preserve">in paragraph (b) delete “moneys” and insert </w:t>
      </w:r>
    </w:p>
    <w:p>
      <w:pPr>
        <w:pStyle w:val="BlankOpen"/>
      </w:pPr>
    </w:p>
    <w:p>
      <w:pPr>
        <w:pStyle w:val="nzIndenta"/>
      </w:pPr>
      <w:r>
        <w:tab/>
      </w:r>
      <w:r>
        <w:tab/>
        <w:t>money</w:t>
      </w:r>
    </w:p>
    <w:p>
      <w:pPr>
        <w:pStyle w:val="BlankClose"/>
      </w:pPr>
    </w:p>
    <w:p>
      <w:pPr>
        <w:pStyle w:val="nzIndenta"/>
      </w:pPr>
      <w:r>
        <w:tab/>
        <w:t>(g)</w:t>
      </w:r>
      <w:r>
        <w:tab/>
        <w:t>in paragraph (b) delete “</w:t>
      </w:r>
      <w:r>
        <w:rPr>
          <w:snapToGrid w:val="0"/>
        </w:rPr>
        <w:t>any one or more of the proprietors; and</w:t>
      </w:r>
      <w:r>
        <w:t>” and insert:</w:t>
      </w:r>
    </w:p>
    <w:p>
      <w:pPr>
        <w:pStyle w:val="BlankOpen"/>
      </w:pPr>
    </w:p>
    <w:p>
      <w:pPr>
        <w:pStyle w:val="nzIndenta"/>
      </w:pPr>
      <w:r>
        <w:tab/>
      </w:r>
      <w:r>
        <w:tab/>
        <w:t>the owner of a lot or, in the case of a leasehold scheme, the owner of the leasehold scheme; and</w:t>
      </w:r>
    </w:p>
    <w:p>
      <w:pPr>
        <w:pStyle w:val="BlankClose"/>
      </w:pPr>
    </w:p>
    <w:p>
      <w:pPr>
        <w:pStyle w:val="nzIndenta"/>
      </w:pPr>
      <w:r>
        <w:tab/>
        <w:t>(h)</w:t>
      </w:r>
      <w:r>
        <w:tab/>
        <w:t>in paragraph (c) delete “registered”;</w:t>
      </w:r>
    </w:p>
    <w:p>
      <w:pPr>
        <w:pStyle w:val="nzIndenta"/>
      </w:pPr>
      <w:r>
        <w:tab/>
        <w:t>(i)</w:t>
      </w:r>
      <w:r>
        <w:tab/>
        <w:t>in paragraphs (c), (d) and (e) delete “District Court” (each occurrence) and insert:</w:t>
      </w:r>
    </w:p>
    <w:p>
      <w:pPr>
        <w:pStyle w:val="BlankOpen"/>
      </w:pPr>
    </w:p>
    <w:p>
      <w:pPr>
        <w:pStyle w:val="nzIndenta"/>
      </w:pPr>
      <w:r>
        <w:tab/>
      </w:r>
      <w:r>
        <w:tab/>
        <w:t>Tribunal</w:t>
      </w:r>
    </w:p>
    <w:p>
      <w:pPr>
        <w:pStyle w:val="BlankClose"/>
      </w:pPr>
    </w:p>
    <w:p>
      <w:pPr>
        <w:pStyle w:val="nzSubsection"/>
        <w:rPr>
          <w:snapToGrid w:val="0"/>
        </w:rPr>
      </w:pPr>
      <w:r>
        <w:tab/>
        <w:t>(4)</w:t>
      </w:r>
      <w:r>
        <w:tab/>
        <w:t>In section 29A(3) delete “</w:t>
      </w:r>
      <w:r>
        <w:rPr>
          <w:snapToGrid w:val="0"/>
        </w:rPr>
        <w:t>District Court may from time to time amend any” and insert:</w:t>
      </w:r>
    </w:p>
    <w:p>
      <w:pPr>
        <w:pStyle w:val="BlankOpen"/>
      </w:pPr>
    </w:p>
    <w:p>
      <w:pPr>
        <w:pStyle w:val="nzSubsection"/>
      </w:pPr>
      <w:r>
        <w:tab/>
      </w:r>
      <w:r>
        <w:tab/>
        <w:t xml:space="preserve">Tribunal </w:t>
      </w:r>
      <w:r>
        <w:rPr>
          <w:snapToGrid w:val="0"/>
        </w:rPr>
        <w:t>may amend an</w:t>
      </w:r>
    </w:p>
    <w:p>
      <w:pPr>
        <w:pStyle w:val="BlankClose"/>
      </w:pPr>
    </w:p>
    <w:p>
      <w:pPr>
        <w:pStyle w:val="nzSubsection"/>
      </w:pPr>
      <w:r>
        <w:tab/>
        <w:t>(5)</w:t>
      </w:r>
      <w:r>
        <w:tab/>
        <w:t>Delete section 29A(4) and (5).</w:t>
      </w:r>
    </w:p>
    <w:p>
      <w:pPr>
        <w:pStyle w:val="nzSectAltNote"/>
      </w:pPr>
      <w:r>
        <w:tab/>
        <w:t>Note:</w:t>
      </w:r>
      <w:r>
        <w:tab/>
        <w:t>The heading to amended 29A is to read:</w:t>
      </w:r>
    </w:p>
    <w:p>
      <w:pPr>
        <w:pStyle w:val="nzSectAltHeading"/>
      </w:pPr>
      <w:r>
        <w:rPr>
          <w:b w:val="0"/>
        </w:rPr>
        <w:tab/>
      </w:r>
      <w:r>
        <w:rPr>
          <w:b w:val="0"/>
        </w:rPr>
        <w:tab/>
      </w:r>
      <w:r>
        <w:t>Variation of survey</w:t>
      </w:r>
      <w:r>
        <w:noBreakHyphen/>
        <w:t>strata scheme on taking</w:t>
      </w:r>
    </w:p>
    <w:p>
      <w:pPr>
        <w:pStyle w:val="nzPermNoteHeading"/>
      </w:pPr>
      <w:r>
        <w:tab/>
        <w:t>Note:</w:t>
      </w:r>
    </w:p>
    <w:p>
      <w:pPr>
        <w:pStyle w:val="nzPermNoteText"/>
      </w:pPr>
      <w:r>
        <w:tab/>
      </w:r>
      <w:r>
        <w:tab/>
        <w:t>Section 29A (as amended) is renumbered as section 168 and relocated to Part 11 Division 2.</w:t>
      </w:r>
    </w:p>
    <w:p>
      <w:pPr>
        <w:pStyle w:val="nzHeading5"/>
      </w:pPr>
      <w:bookmarkStart w:id="539" w:name="_Toc530474294"/>
      <w:bookmarkStart w:id="540" w:name="_Toc530474889"/>
      <w:r>
        <w:rPr>
          <w:rStyle w:val="CharSectno"/>
        </w:rPr>
        <w:t>34</w:t>
      </w:r>
      <w:r>
        <w:t>.</w:t>
      </w:r>
      <w:r>
        <w:tab/>
        <w:t>Section 29B amended</w:t>
      </w:r>
      <w:bookmarkEnd w:id="539"/>
      <w:bookmarkEnd w:id="540"/>
    </w:p>
    <w:p>
      <w:pPr>
        <w:pStyle w:val="nzSubsection"/>
      </w:pPr>
      <w:r>
        <w:tab/>
        <w:t>(1)</w:t>
      </w:r>
      <w:r>
        <w:tab/>
        <w:t>In section 29B(1):</w:t>
      </w:r>
    </w:p>
    <w:p>
      <w:pPr>
        <w:pStyle w:val="nzIndenta"/>
        <w:rPr>
          <w:snapToGrid w:val="0"/>
        </w:rPr>
      </w:pPr>
      <w:r>
        <w:tab/>
        <w:t>(a)</w:t>
      </w:r>
      <w:r>
        <w:tab/>
        <w:t xml:space="preserve"> delete “</w:t>
      </w:r>
      <w:r>
        <w:rPr>
          <w:snapToGrid w:val="0"/>
        </w:rPr>
        <w:t>Where part of the land in a strata plan is taken and the taking includes part but not the whole of any lot in the scheme,” and insert:</w:t>
      </w:r>
    </w:p>
    <w:p>
      <w:pPr>
        <w:pStyle w:val="BlankOpen"/>
      </w:pPr>
    </w:p>
    <w:p>
      <w:pPr>
        <w:pStyle w:val="nzIndenta"/>
      </w:pPr>
      <w:r>
        <w:tab/>
      </w:r>
      <w:r>
        <w:tab/>
        <w:t xml:space="preserve">If </w:t>
      </w:r>
      <w:r>
        <w:rPr>
          <w:snapToGrid w:val="0"/>
          <w:spacing w:val="-4"/>
        </w:rPr>
        <w:t xml:space="preserve">part of </w:t>
      </w:r>
      <w:r>
        <w:t>a parcel subdivided by a strata titles scheme is taken,</w:t>
      </w:r>
    </w:p>
    <w:p>
      <w:pPr>
        <w:pStyle w:val="BlankClose"/>
      </w:pPr>
    </w:p>
    <w:p>
      <w:pPr>
        <w:pStyle w:val="nzIndenta"/>
      </w:pPr>
      <w:r>
        <w:tab/>
        <w:t>(b)</w:t>
      </w:r>
      <w:r>
        <w:tab/>
        <w:t xml:space="preserve">delete “shall,” and insert: </w:t>
      </w:r>
    </w:p>
    <w:p>
      <w:pPr>
        <w:pStyle w:val="BlankOpen"/>
      </w:pPr>
    </w:p>
    <w:p>
      <w:pPr>
        <w:pStyle w:val="nzIndenta"/>
      </w:pPr>
      <w:r>
        <w:tab/>
      </w:r>
      <w:r>
        <w:tab/>
        <w:t>must,</w:t>
      </w:r>
    </w:p>
    <w:p>
      <w:pPr>
        <w:pStyle w:val="BlankClose"/>
      </w:pPr>
    </w:p>
    <w:p>
      <w:pPr>
        <w:pStyle w:val="nzIndenta"/>
      </w:pPr>
      <w:r>
        <w:tab/>
        <w:t>(c)</w:t>
      </w:r>
      <w:r>
        <w:tab/>
        <w:t>delete “subsection (2).” and insert:</w:t>
      </w:r>
    </w:p>
    <w:p>
      <w:pPr>
        <w:pStyle w:val="BlankOpen"/>
      </w:pPr>
    </w:p>
    <w:p>
      <w:pPr>
        <w:pStyle w:val="nzIndenta"/>
        <w:rPr>
          <w:rStyle w:val="CharDefText"/>
          <w:b w:val="0"/>
          <w:i w:val="0"/>
        </w:rPr>
      </w:pPr>
      <w:r>
        <w:tab/>
      </w:r>
      <w:r>
        <w:tab/>
        <w:t xml:space="preserve">requirements specified in the regulations (the </w:t>
      </w:r>
      <w:r>
        <w:rPr>
          <w:rStyle w:val="CharDefText"/>
        </w:rPr>
        <w:t>redefining plan</w:t>
      </w:r>
      <w:r>
        <w:t>).</w:t>
      </w:r>
    </w:p>
    <w:p>
      <w:pPr>
        <w:pStyle w:val="BlankClose"/>
        <w:rPr>
          <w:rStyle w:val="CharDefText"/>
          <w:b w:val="0"/>
          <w:i w:val="0"/>
        </w:rPr>
      </w:pPr>
    </w:p>
    <w:p>
      <w:pPr>
        <w:pStyle w:val="nzSubsection"/>
      </w:pPr>
      <w:r>
        <w:tab/>
        <w:t>(2)</w:t>
      </w:r>
      <w:r>
        <w:tab/>
        <w:t>Delete section 29B(2) and (3) and insert:</w:t>
      </w:r>
    </w:p>
    <w:p>
      <w:pPr>
        <w:pStyle w:val="BlankOpen"/>
      </w:pPr>
    </w:p>
    <w:p>
      <w:pPr>
        <w:pStyle w:val="nzSubsection"/>
      </w:pPr>
      <w:r>
        <w:tab/>
        <w:t>(2)</w:t>
      </w:r>
      <w:r>
        <w:tab/>
        <w:t>On registration of the redefining plan —</w:t>
      </w:r>
    </w:p>
    <w:p>
      <w:pPr>
        <w:pStyle w:val="nzIndenta"/>
      </w:pPr>
      <w:r>
        <w:tab/>
        <w:t>(a)</w:t>
      </w:r>
      <w:r>
        <w:tab/>
        <w:t>the redefining plan is taken to be part of the scheme plan as previously registered; and</w:t>
      </w:r>
    </w:p>
    <w:p>
      <w:pPr>
        <w:pStyle w:val="nzIndenta"/>
      </w:pPr>
      <w:r>
        <w:tab/>
        <w:t>(b)</w:t>
      </w:r>
      <w:r>
        <w:tab/>
        <w:t>the Registrar of Titles must amend the registered scheme plan in the manner specified in the regulations.</w:t>
      </w:r>
    </w:p>
    <w:p>
      <w:pPr>
        <w:pStyle w:val="BlankClose"/>
      </w:pPr>
    </w:p>
    <w:p>
      <w:pPr>
        <w:pStyle w:val="nzSubsection"/>
      </w:pPr>
      <w:r>
        <w:tab/>
        <w:t>(3)</w:t>
      </w:r>
      <w:r>
        <w:tab/>
        <w:t xml:space="preserve">In section 29B(4) in the definition of </w:t>
      </w:r>
      <w:r>
        <w:rPr>
          <w:b/>
          <w:i/>
        </w:rPr>
        <w:t>acquiring authority</w:t>
      </w:r>
      <w:r>
        <w:t xml:space="preserve"> paragraph (b) delete “where” and insert:</w:t>
      </w:r>
    </w:p>
    <w:p>
      <w:pPr>
        <w:pStyle w:val="BlankOpen"/>
      </w:pPr>
    </w:p>
    <w:p>
      <w:pPr>
        <w:pStyle w:val="nzSubsection"/>
      </w:pPr>
      <w:r>
        <w:tab/>
      </w:r>
      <w:r>
        <w:tab/>
        <w:t>if</w:t>
      </w:r>
    </w:p>
    <w:p>
      <w:pPr>
        <w:pStyle w:val="BlankClose"/>
        <w:keepNext/>
      </w:pPr>
    </w:p>
    <w:p>
      <w:pPr>
        <w:pStyle w:val="nzSectAltNote"/>
      </w:pPr>
      <w:r>
        <w:tab/>
        <w:t>Note:</w:t>
      </w:r>
      <w:r>
        <w:tab/>
        <w:t>The heading to amended 29B is to read:</w:t>
      </w:r>
    </w:p>
    <w:p>
      <w:pPr>
        <w:pStyle w:val="nzSectAltHeading"/>
      </w:pPr>
      <w:r>
        <w:rPr>
          <w:b w:val="0"/>
        </w:rPr>
        <w:tab/>
      </w:r>
      <w:r>
        <w:rPr>
          <w:b w:val="0"/>
        </w:rPr>
        <w:tab/>
      </w:r>
      <w:r>
        <w:t>Acquiring authority to lodge redefining plan after partial taking</w:t>
      </w:r>
    </w:p>
    <w:p>
      <w:pPr>
        <w:pStyle w:val="nzPermNoteHeading"/>
      </w:pPr>
      <w:r>
        <w:tab/>
        <w:t>Note:</w:t>
      </w:r>
    </w:p>
    <w:p>
      <w:pPr>
        <w:pStyle w:val="nzPermNoteText"/>
      </w:pPr>
      <w:r>
        <w:tab/>
      </w:r>
      <w:r>
        <w:tab/>
        <w:t>Section 29B (as amended) is renumbered as section 169 and relocated to Part 11 Division 2.</w:t>
      </w:r>
    </w:p>
    <w:p>
      <w:pPr>
        <w:pStyle w:val="nzHeading5"/>
      </w:pPr>
      <w:bookmarkStart w:id="541" w:name="_Toc530474295"/>
      <w:bookmarkStart w:id="542" w:name="_Toc530474890"/>
      <w:r>
        <w:rPr>
          <w:rStyle w:val="CharSectno"/>
        </w:rPr>
        <w:t>35</w:t>
      </w:r>
      <w:r>
        <w:t>.</w:t>
      </w:r>
      <w:r>
        <w:tab/>
        <w:t>Section 29C amended</w:t>
      </w:r>
      <w:bookmarkEnd w:id="541"/>
      <w:bookmarkEnd w:id="542"/>
    </w:p>
    <w:p>
      <w:pPr>
        <w:pStyle w:val="nzSubsection"/>
      </w:pPr>
      <w:r>
        <w:tab/>
        <w:t>(1)</w:t>
      </w:r>
      <w:r>
        <w:tab/>
        <w:t>In section 29C(1) after “that a” insert:</w:t>
      </w:r>
    </w:p>
    <w:p>
      <w:pPr>
        <w:pStyle w:val="BlankOpen"/>
      </w:pPr>
    </w:p>
    <w:p>
      <w:pPr>
        <w:pStyle w:val="nzSubsection"/>
      </w:pPr>
      <w:r>
        <w:tab/>
      </w:r>
      <w:r>
        <w:tab/>
        <w:t>strata titles</w:t>
      </w:r>
    </w:p>
    <w:p>
      <w:pPr>
        <w:pStyle w:val="BlankClose"/>
      </w:pPr>
    </w:p>
    <w:p>
      <w:pPr>
        <w:pStyle w:val="nzSubsection"/>
      </w:pPr>
      <w:r>
        <w:tab/>
        <w:t>(2)</w:t>
      </w:r>
      <w:r>
        <w:tab/>
        <w:t>In section 29C(2):</w:t>
      </w:r>
    </w:p>
    <w:p>
      <w:pPr>
        <w:pStyle w:val="nzIndenta"/>
      </w:pPr>
      <w:r>
        <w:tab/>
        <w:t>(a)</w:t>
      </w:r>
      <w:r>
        <w:tab/>
        <w:t>delete “Where” and insert:</w:t>
      </w:r>
    </w:p>
    <w:p>
      <w:pPr>
        <w:pStyle w:val="BlankOpen"/>
      </w:pPr>
    </w:p>
    <w:p>
      <w:pPr>
        <w:pStyle w:val="nzIndenta"/>
      </w:pPr>
      <w:r>
        <w:tab/>
      </w:r>
      <w:r>
        <w:tab/>
        <w:t>If</w:t>
      </w:r>
    </w:p>
    <w:p>
      <w:pPr>
        <w:pStyle w:val="BlankClose"/>
      </w:pPr>
    </w:p>
    <w:p>
      <w:pPr>
        <w:pStyle w:val="nzIndenta"/>
      </w:pPr>
      <w:r>
        <w:tab/>
        <w:t>(b)</w:t>
      </w:r>
      <w:r>
        <w:tab/>
        <w:t>delete “shall” and insert:</w:t>
      </w:r>
    </w:p>
    <w:p>
      <w:pPr>
        <w:pStyle w:val="BlankOpen"/>
      </w:pPr>
    </w:p>
    <w:p>
      <w:pPr>
        <w:pStyle w:val="nzIndenta"/>
      </w:pPr>
      <w:r>
        <w:tab/>
      </w:r>
      <w:r>
        <w:tab/>
        <w:t>must</w:t>
      </w:r>
    </w:p>
    <w:p>
      <w:pPr>
        <w:pStyle w:val="BlankClose"/>
      </w:pPr>
    </w:p>
    <w:p>
      <w:pPr>
        <w:pStyle w:val="nzSectAltNote"/>
      </w:pPr>
      <w:r>
        <w:tab/>
        <w:t>Note:</w:t>
      </w:r>
      <w:r>
        <w:tab/>
        <w:t>The heading to amended section 29C is to read:</w:t>
      </w:r>
    </w:p>
    <w:p>
      <w:pPr>
        <w:pStyle w:val="nzSectAltHeading"/>
      </w:pPr>
      <w:r>
        <w:rPr>
          <w:b w:val="0"/>
        </w:rPr>
        <w:tab/>
      </w:r>
      <w:r>
        <w:rPr>
          <w:b w:val="0"/>
        </w:rPr>
        <w:tab/>
      </w:r>
      <w:r>
        <w:t>Termination on compulsory acquisition</w:t>
      </w:r>
    </w:p>
    <w:p>
      <w:pPr>
        <w:pStyle w:val="nzPermNoteHeading"/>
      </w:pPr>
      <w:r>
        <w:tab/>
        <w:t>Note:</w:t>
      </w:r>
    </w:p>
    <w:p>
      <w:pPr>
        <w:pStyle w:val="nzPermNoteText"/>
      </w:pPr>
      <w:r>
        <w:tab/>
      </w:r>
      <w:r>
        <w:tab/>
        <w:t>Section 29C (as amended) is renumbered as section 196 and relocated to Part 12 Division 7.</w:t>
      </w:r>
    </w:p>
    <w:p>
      <w:pPr>
        <w:pStyle w:val="nzHeading5"/>
      </w:pPr>
      <w:bookmarkStart w:id="543" w:name="_Toc530474296"/>
      <w:bookmarkStart w:id="544" w:name="_Toc530474891"/>
      <w:r>
        <w:rPr>
          <w:rStyle w:val="CharSectno"/>
        </w:rPr>
        <w:t>36</w:t>
      </w:r>
      <w:r>
        <w:t>.</w:t>
      </w:r>
      <w:r>
        <w:tab/>
        <w:t>Section 31B amended</w:t>
      </w:r>
      <w:bookmarkEnd w:id="543"/>
      <w:bookmarkEnd w:id="544"/>
    </w:p>
    <w:p>
      <w:pPr>
        <w:pStyle w:val="nzSubsection"/>
      </w:pPr>
      <w:r>
        <w:tab/>
      </w:r>
      <w:r>
        <w:tab/>
        <w:t>In section 31B delete “</w:t>
      </w:r>
      <w:r>
        <w:rPr>
          <w:snapToGrid w:val="0"/>
        </w:rPr>
        <w:t>in respect of any land under Division 2 and the subsequent registration of a survey</w:t>
      </w:r>
      <w:r>
        <w:rPr>
          <w:snapToGrid w:val="0"/>
        </w:rPr>
        <w:noBreakHyphen/>
        <w:t>strata plan relating to the land under Part II.</w:t>
      </w:r>
      <w:r>
        <w:t>” and insert:</w:t>
      </w:r>
    </w:p>
    <w:p>
      <w:pPr>
        <w:pStyle w:val="BlankOpen"/>
      </w:pPr>
    </w:p>
    <w:p>
      <w:pPr>
        <w:pStyle w:val="nzSubsection"/>
      </w:pPr>
      <w:r>
        <w:tab/>
      </w:r>
      <w:r>
        <w:tab/>
      </w:r>
      <w:r>
        <w:rPr>
          <w:snapToGrid w:val="0"/>
        </w:rPr>
        <w:t>and the subsequent subdivision of the land by a strata titles scheme.</w:t>
      </w:r>
    </w:p>
    <w:p>
      <w:pPr>
        <w:pStyle w:val="BlankClose"/>
      </w:pPr>
    </w:p>
    <w:p>
      <w:pPr>
        <w:pStyle w:val="nzPermNoteHeading"/>
      </w:pPr>
      <w:r>
        <w:tab/>
        <w:t>Note:</w:t>
      </w:r>
    </w:p>
    <w:p>
      <w:pPr>
        <w:pStyle w:val="nzPermNoteText"/>
      </w:pPr>
      <w:r>
        <w:tab/>
      </w:r>
      <w:r>
        <w:tab/>
        <w:t>Section 31B (as amended) is redesignated as clause 31B and relocated to Schedule 2A.</w:t>
      </w:r>
    </w:p>
    <w:p>
      <w:pPr>
        <w:pStyle w:val="nzHeading5"/>
      </w:pPr>
      <w:bookmarkStart w:id="545" w:name="_Toc530474297"/>
      <w:bookmarkStart w:id="546" w:name="_Toc530474892"/>
      <w:r>
        <w:rPr>
          <w:rStyle w:val="CharSectno"/>
        </w:rPr>
        <w:t>37</w:t>
      </w:r>
      <w:r>
        <w:t>.</w:t>
      </w:r>
      <w:r>
        <w:tab/>
        <w:t>Section 31C amended</w:t>
      </w:r>
      <w:bookmarkEnd w:id="545"/>
      <w:bookmarkEnd w:id="546"/>
    </w:p>
    <w:p>
      <w:pPr>
        <w:pStyle w:val="nzSubsection"/>
      </w:pPr>
      <w:r>
        <w:tab/>
        <w:t>(1)</w:t>
      </w:r>
      <w:r>
        <w:tab/>
        <w:t>In section 31C(1) delete “prescribed form” and insert:</w:t>
      </w:r>
    </w:p>
    <w:p>
      <w:pPr>
        <w:pStyle w:val="BlankOpen"/>
      </w:pPr>
    </w:p>
    <w:p>
      <w:pPr>
        <w:pStyle w:val="nzSubsection"/>
      </w:pPr>
      <w:r>
        <w:tab/>
      </w:r>
      <w:r>
        <w:tab/>
      </w:r>
      <w:r>
        <w:rPr>
          <w:snapToGrid w:val="0"/>
        </w:rPr>
        <w:t>approved form</w:t>
      </w:r>
    </w:p>
    <w:p>
      <w:pPr>
        <w:pStyle w:val="BlankClose"/>
      </w:pPr>
    </w:p>
    <w:p>
      <w:pPr>
        <w:pStyle w:val="nzSubsection"/>
      </w:pPr>
      <w:r>
        <w:tab/>
        <w:t>(2)</w:t>
      </w:r>
      <w:r>
        <w:tab/>
        <w:t>In section 31C(2) delete “section” and insert:</w:t>
      </w:r>
    </w:p>
    <w:p>
      <w:pPr>
        <w:pStyle w:val="BlankOpen"/>
      </w:pPr>
    </w:p>
    <w:p>
      <w:pPr>
        <w:pStyle w:val="nzSubsection"/>
      </w:pPr>
      <w:r>
        <w:tab/>
      </w:r>
      <w:r>
        <w:tab/>
      </w:r>
      <w:r>
        <w:rPr>
          <w:snapToGrid w:val="0"/>
        </w:rPr>
        <w:t>clause</w:t>
      </w:r>
    </w:p>
    <w:p>
      <w:pPr>
        <w:pStyle w:val="BlankClose"/>
      </w:pPr>
    </w:p>
    <w:p>
      <w:pPr>
        <w:pStyle w:val="nzSubsection"/>
      </w:pPr>
      <w:r>
        <w:tab/>
        <w:t>(3)</w:t>
      </w:r>
      <w:r>
        <w:tab/>
        <w:t>In section 31C(3):</w:t>
      </w:r>
    </w:p>
    <w:p>
      <w:pPr>
        <w:pStyle w:val="nzIndenta"/>
      </w:pPr>
      <w:r>
        <w:tab/>
        <w:t>(a)</w:t>
      </w:r>
      <w:r>
        <w:tab/>
        <w:t>delete “subsection” and insert:</w:t>
      </w:r>
    </w:p>
    <w:p>
      <w:pPr>
        <w:pStyle w:val="BlankOpen"/>
      </w:pPr>
    </w:p>
    <w:p>
      <w:pPr>
        <w:pStyle w:val="nzIndenta"/>
      </w:pPr>
      <w:r>
        <w:tab/>
      </w:r>
      <w:r>
        <w:tab/>
        <w:t>sub</w:t>
      </w:r>
      <w:r>
        <w:rPr>
          <w:snapToGrid w:val="0"/>
        </w:rPr>
        <w:t>clause</w:t>
      </w:r>
    </w:p>
    <w:p>
      <w:pPr>
        <w:pStyle w:val="BlankClose"/>
      </w:pPr>
    </w:p>
    <w:p>
      <w:pPr>
        <w:pStyle w:val="nzIndenta"/>
      </w:pPr>
      <w:r>
        <w:tab/>
        <w:t>(b)</w:t>
      </w:r>
      <w:r>
        <w:tab/>
        <w:t>delete “section” and insert:</w:t>
      </w:r>
    </w:p>
    <w:p>
      <w:pPr>
        <w:pStyle w:val="BlankOpen"/>
      </w:pPr>
    </w:p>
    <w:p>
      <w:pPr>
        <w:pStyle w:val="nzIndenta"/>
      </w:pPr>
      <w:r>
        <w:tab/>
      </w:r>
      <w:r>
        <w:tab/>
      </w:r>
      <w:r>
        <w:rPr>
          <w:snapToGrid w:val="0"/>
        </w:rPr>
        <w:t>clause</w:t>
      </w:r>
    </w:p>
    <w:p>
      <w:pPr>
        <w:pStyle w:val="BlankClose"/>
      </w:pPr>
    </w:p>
    <w:p>
      <w:pPr>
        <w:pStyle w:val="nzSubsection"/>
      </w:pPr>
      <w:r>
        <w:tab/>
        <w:t>(4)</w:t>
      </w:r>
      <w:r>
        <w:tab/>
        <w:t>Delete section 31C(4).</w:t>
      </w:r>
    </w:p>
    <w:p>
      <w:pPr>
        <w:pStyle w:val="nzPermNoteHeading"/>
      </w:pPr>
      <w:r>
        <w:tab/>
        <w:t>Note:</w:t>
      </w:r>
    </w:p>
    <w:p>
      <w:pPr>
        <w:pStyle w:val="nzPermNoteText"/>
      </w:pPr>
      <w:r>
        <w:tab/>
      </w:r>
      <w:r>
        <w:tab/>
        <w:t>Section 31C (as amended) is redesignated as clause 31C and relocated to Schedule 2A.</w:t>
      </w:r>
    </w:p>
    <w:p>
      <w:pPr>
        <w:pStyle w:val="nzHeading5"/>
      </w:pPr>
      <w:bookmarkStart w:id="547" w:name="_Toc530474298"/>
      <w:bookmarkStart w:id="548" w:name="_Toc530474893"/>
      <w:r>
        <w:rPr>
          <w:rStyle w:val="CharSectno"/>
        </w:rPr>
        <w:t>38</w:t>
      </w:r>
      <w:r>
        <w:t>.</w:t>
      </w:r>
      <w:r>
        <w:tab/>
        <w:t>Section 31D amended</w:t>
      </w:r>
      <w:bookmarkEnd w:id="547"/>
      <w:bookmarkEnd w:id="548"/>
    </w:p>
    <w:p>
      <w:pPr>
        <w:pStyle w:val="nzSubsection"/>
      </w:pPr>
      <w:r>
        <w:tab/>
        <w:t>(1)</w:t>
      </w:r>
      <w:r>
        <w:tab/>
        <w:t>Delete section 31D(1) and insert:</w:t>
      </w:r>
    </w:p>
    <w:p>
      <w:pPr>
        <w:pStyle w:val="BlankOpen"/>
      </w:pPr>
    </w:p>
    <w:p>
      <w:pPr>
        <w:pStyle w:val="nz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BlankClose"/>
      </w:pPr>
    </w:p>
    <w:p>
      <w:pPr>
        <w:pStyle w:val="nzSubsection"/>
      </w:pPr>
      <w:r>
        <w:tab/>
        <w:t>(2)</w:t>
      </w:r>
      <w:r>
        <w:tab/>
        <w:t>In section 31D(2) delete “proprietors” and insert:</w:t>
      </w:r>
    </w:p>
    <w:p>
      <w:pPr>
        <w:pStyle w:val="BlankOpen"/>
      </w:pPr>
    </w:p>
    <w:p>
      <w:pPr>
        <w:pStyle w:val="nzSubsection"/>
      </w:pPr>
      <w:r>
        <w:tab/>
      </w:r>
      <w:r>
        <w:tab/>
        <w:t>owners</w:t>
      </w:r>
    </w:p>
    <w:p>
      <w:pPr>
        <w:pStyle w:val="BlankClose"/>
      </w:pPr>
    </w:p>
    <w:p>
      <w:pPr>
        <w:pStyle w:val="nzSubsection"/>
      </w:pPr>
      <w:r>
        <w:tab/>
        <w:t>(3)</w:t>
      </w:r>
      <w:r>
        <w:tab/>
        <w:t>Delete section 31D(3) and insert:</w:t>
      </w:r>
    </w:p>
    <w:p>
      <w:pPr>
        <w:pStyle w:val="BlankOpen"/>
      </w:pPr>
    </w:p>
    <w:p>
      <w:pPr>
        <w:pStyle w:val="nzSubsection"/>
        <w:rPr>
          <w:snapToGrid w:val="0"/>
        </w:rPr>
      </w:pPr>
      <w:r>
        <w:rPr>
          <w:snapToGrid w:val="0"/>
        </w:rPr>
        <w:tab/>
        <w:t>(3)</w:t>
      </w:r>
      <w:r>
        <w:rPr>
          <w:snapToGrid w:val="0"/>
        </w:rPr>
        <w:tab/>
        <w:t>The notice of resolution —</w:t>
      </w:r>
    </w:p>
    <w:p>
      <w:pPr>
        <w:pStyle w:val="nzIndenta"/>
        <w:rPr>
          <w:snapToGrid w:val="0"/>
        </w:rPr>
      </w:pPr>
      <w:r>
        <w:rPr>
          <w:snapToGrid w:val="0"/>
        </w:rPr>
        <w:tab/>
        <w:t>(a)</w:t>
      </w:r>
      <w:r>
        <w:rPr>
          <w:snapToGrid w:val="0"/>
        </w:rPr>
        <w:tab/>
        <w:t>if it is lodged by the strata company, is to be executed by the strata company; or</w:t>
      </w:r>
    </w:p>
    <w:p>
      <w:pPr>
        <w:pStyle w:val="nzIndenta"/>
        <w:rPr>
          <w:snapToGrid w:val="0"/>
        </w:rPr>
      </w:pPr>
      <w:r>
        <w:rPr>
          <w:snapToGrid w:val="0"/>
        </w:rPr>
        <w:tab/>
        <w:t>(b)</w:t>
      </w:r>
      <w:r>
        <w:rPr>
          <w:snapToGrid w:val="0"/>
        </w:rPr>
        <w:tab/>
        <w:t>if it is lodged by the owners of lots, is to be signed by each owner.</w:t>
      </w:r>
    </w:p>
    <w:p>
      <w:pPr>
        <w:pStyle w:val="BlankClose"/>
      </w:pPr>
    </w:p>
    <w:p>
      <w:pPr>
        <w:pStyle w:val="nzPermNoteHeading"/>
      </w:pPr>
      <w:r>
        <w:tab/>
        <w:t>Note:</w:t>
      </w:r>
    </w:p>
    <w:p>
      <w:pPr>
        <w:pStyle w:val="nzPermNoteText"/>
      </w:pPr>
      <w:r>
        <w:tab/>
      </w:r>
      <w:r>
        <w:tab/>
        <w:t>Section 31D (as amended) is redesignated as clause 31D and relocated to Schedule 2A.</w:t>
      </w:r>
    </w:p>
    <w:p>
      <w:pPr>
        <w:pStyle w:val="nzHeading5"/>
      </w:pPr>
      <w:bookmarkStart w:id="549" w:name="_Toc530474299"/>
      <w:bookmarkStart w:id="550" w:name="_Toc530474894"/>
      <w:r>
        <w:rPr>
          <w:rStyle w:val="CharSectno"/>
        </w:rPr>
        <w:t>39</w:t>
      </w:r>
      <w:r>
        <w:t>.</w:t>
      </w:r>
      <w:r>
        <w:tab/>
        <w:t>Section 31E amended</w:t>
      </w:r>
      <w:bookmarkEnd w:id="549"/>
      <w:bookmarkEnd w:id="550"/>
    </w:p>
    <w:p>
      <w:pPr>
        <w:pStyle w:val="nzSubsection"/>
      </w:pPr>
      <w:r>
        <w:tab/>
        <w:t>(1)</w:t>
      </w:r>
      <w:r>
        <w:tab/>
        <w:t>In section 31E(1):</w:t>
      </w:r>
    </w:p>
    <w:p>
      <w:pPr>
        <w:pStyle w:val="nzIndenta"/>
      </w:pPr>
      <w:r>
        <w:tab/>
        <w:t>(a)</w:t>
      </w:r>
      <w:r>
        <w:tab/>
        <w:t>in paragraph (a)(i) delete “prescribed manner —” and insert:</w:t>
      </w:r>
    </w:p>
    <w:p>
      <w:pPr>
        <w:pStyle w:val="BlankOpen"/>
      </w:pPr>
    </w:p>
    <w:p>
      <w:pPr>
        <w:pStyle w:val="nzIndenta"/>
      </w:pPr>
      <w:r>
        <w:tab/>
      </w:r>
      <w:r>
        <w:tab/>
      </w:r>
      <w:r>
        <w:rPr>
          <w:snapToGrid w:val="0"/>
        </w:rPr>
        <w:t xml:space="preserve">manner specified in the regulations — </w:t>
      </w:r>
    </w:p>
    <w:p>
      <w:pPr>
        <w:pStyle w:val="BlankClose"/>
      </w:pPr>
    </w:p>
    <w:p>
      <w:pPr>
        <w:pStyle w:val="nzIndenta"/>
      </w:pPr>
      <w:r>
        <w:tab/>
        <w:t>(b)</w:t>
      </w:r>
      <w:r>
        <w:tab/>
        <w:t>delete paragraph (a)(i)(II) and insert:</w:t>
      </w:r>
    </w:p>
    <w:p>
      <w:pPr>
        <w:pStyle w:val="BlankOpen"/>
      </w:pPr>
    </w:p>
    <w:p>
      <w:pPr>
        <w:pStyle w:val="nzIndentI0"/>
        <w:rPr>
          <w:snapToGrid w:val="0"/>
        </w:rPr>
      </w:pPr>
      <w:r>
        <w:rPr>
          <w:snapToGrid w:val="0"/>
        </w:rPr>
        <w:tab/>
        <w:t>(II)</w:t>
      </w:r>
      <w:r>
        <w:rPr>
          <w:snapToGrid w:val="0"/>
        </w:rPr>
        <w:tab/>
        <w:t>the location of a short form easement or restrictive covenant that is to be created under section 33 as read with clause 31G,</w:t>
      </w:r>
    </w:p>
    <w:p>
      <w:pPr>
        <w:pStyle w:val="BlankClose"/>
      </w:pPr>
    </w:p>
    <w:p>
      <w:pPr>
        <w:pStyle w:val="nzIndenta"/>
      </w:pPr>
      <w:r>
        <w:tab/>
        <w:t>(c)</w:t>
      </w:r>
      <w:r>
        <w:tab/>
        <w:t>delete paragraph (a)(v) and insert:</w:t>
      </w:r>
    </w:p>
    <w:p>
      <w:pPr>
        <w:pStyle w:val="BlankOpen"/>
      </w:pPr>
    </w:p>
    <w:p>
      <w:pPr>
        <w:pStyle w:val="nzIndenti"/>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BlankClose"/>
      </w:pPr>
    </w:p>
    <w:p>
      <w:pPr>
        <w:pStyle w:val="nzIndenta"/>
      </w:pPr>
      <w:r>
        <w:tab/>
        <w:t>(d)</w:t>
      </w:r>
      <w:r>
        <w:tab/>
        <w:t>in paragraph (b) delete “section” and insert:</w:t>
      </w:r>
    </w:p>
    <w:p>
      <w:pPr>
        <w:pStyle w:val="BlankOpen"/>
      </w:pPr>
    </w:p>
    <w:p>
      <w:pPr>
        <w:pStyle w:val="nzIndenta"/>
      </w:pPr>
      <w:r>
        <w:tab/>
      </w:r>
      <w:r>
        <w:tab/>
      </w:r>
      <w:r>
        <w:rPr>
          <w:snapToGrid w:val="0"/>
        </w:rPr>
        <w:t>clause</w:t>
      </w:r>
    </w:p>
    <w:p>
      <w:pPr>
        <w:pStyle w:val="BlankClose"/>
      </w:pPr>
    </w:p>
    <w:p>
      <w:pPr>
        <w:pStyle w:val="nzIndenta"/>
      </w:pPr>
      <w:r>
        <w:tab/>
        <w:t>(e)</w:t>
      </w:r>
      <w:r>
        <w:tab/>
        <w:t>delete paragraph (c)(ii) and insert:</w:t>
      </w:r>
    </w:p>
    <w:p>
      <w:pPr>
        <w:pStyle w:val="BlankOpen"/>
      </w:pPr>
    </w:p>
    <w:p>
      <w:pPr>
        <w:pStyle w:val="nzIndenti"/>
        <w:rPr>
          <w:snapToGrid w:val="0"/>
        </w:rPr>
      </w:pPr>
      <w:r>
        <w:rPr>
          <w:snapToGrid w:val="0"/>
        </w:rPr>
        <w:tab/>
        <w:t>(ii)</w:t>
      </w:r>
      <w:r>
        <w:rPr>
          <w:snapToGrid w:val="0"/>
        </w:rPr>
        <w:tab/>
        <w:t>the sum of the unit entitlements of all the lots in the strata titles scheme;</w:t>
      </w:r>
    </w:p>
    <w:p>
      <w:pPr>
        <w:pStyle w:val="BlankClose"/>
      </w:pPr>
    </w:p>
    <w:p>
      <w:pPr>
        <w:pStyle w:val="nzIndenta"/>
      </w:pPr>
      <w:r>
        <w:tab/>
        <w:t>(f)</w:t>
      </w:r>
      <w:r>
        <w:tab/>
        <w:t>delete paragraph (d) and insert:</w:t>
      </w:r>
    </w:p>
    <w:p>
      <w:pPr>
        <w:pStyle w:val="BlankOpen"/>
      </w:pPr>
    </w:p>
    <w:p>
      <w:pPr>
        <w:pStyle w:val="nzIndenta"/>
      </w:pPr>
      <w:r>
        <w:rPr>
          <w:snapToGrid w:val="0"/>
        </w:rPr>
        <w:tab/>
        <w:t>(d)</w:t>
      </w:r>
      <w:r>
        <w:rPr>
          <w:snapToGrid w:val="0"/>
        </w:rPr>
        <w:tab/>
        <w:t>a certificate of a licensed valuer as required for a schedule of unit entitlements; and</w:t>
      </w:r>
    </w:p>
    <w:p>
      <w:pPr>
        <w:pStyle w:val="BlankClose"/>
      </w:pPr>
    </w:p>
    <w:p>
      <w:pPr>
        <w:pStyle w:val="nzIndenta"/>
      </w:pPr>
      <w:r>
        <w:tab/>
        <w:t>(g)</w:t>
      </w:r>
      <w:r>
        <w:tab/>
        <w:t>in paragraph (e) delete “a proprietor,” and insert:</w:t>
      </w:r>
    </w:p>
    <w:p>
      <w:pPr>
        <w:pStyle w:val="BlankOpen"/>
      </w:pPr>
    </w:p>
    <w:p>
      <w:pPr>
        <w:pStyle w:val="nzIndenta"/>
      </w:pPr>
      <w:r>
        <w:tab/>
      </w:r>
      <w:r>
        <w:tab/>
      </w:r>
      <w:r>
        <w:rPr>
          <w:snapToGrid w:val="0"/>
        </w:rPr>
        <w:t>the owner of a lot,</w:t>
      </w:r>
    </w:p>
    <w:p>
      <w:pPr>
        <w:pStyle w:val="BlankClose"/>
      </w:pPr>
    </w:p>
    <w:p>
      <w:pPr>
        <w:pStyle w:val="nzIndenta"/>
      </w:pPr>
      <w:r>
        <w:tab/>
        <w:t>(h)</w:t>
      </w:r>
      <w:r>
        <w:tab/>
        <w:t>in paragraph (e) delete “his consent to the proposed schedule of unit entitlement.” and insert:</w:t>
      </w:r>
    </w:p>
    <w:p>
      <w:pPr>
        <w:pStyle w:val="BlankOpen"/>
      </w:pPr>
    </w:p>
    <w:p>
      <w:pPr>
        <w:pStyle w:val="nzIndenta"/>
      </w:pPr>
      <w:r>
        <w:tab/>
      </w:r>
      <w:r>
        <w:tab/>
      </w:r>
      <w:r>
        <w:rPr>
          <w:snapToGrid w:val="0"/>
        </w:rPr>
        <w:t>the person’s consent to the proposed schedule of unit entitlements.</w:t>
      </w:r>
    </w:p>
    <w:p>
      <w:pPr>
        <w:pStyle w:val="BlankClose"/>
      </w:pPr>
    </w:p>
    <w:p>
      <w:pPr>
        <w:pStyle w:val="nzSubsection"/>
      </w:pPr>
      <w:r>
        <w:tab/>
        <w:t>(2)</w:t>
      </w:r>
      <w:r>
        <w:tab/>
        <w:t>In section 31E(2):</w:t>
      </w:r>
    </w:p>
    <w:p>
      <w:pPr>
        <w:pStyle w:val="nzIndenta"/>
      </w:pPr>
      <w:r>
        <w:tab/>
        <w:t>(a)</w:t>
      </w:r>
      <w:r>
        <w:tab/>
        <w:t>delete “section” and insert:</w:t>
      </w:r>
    </w:p>
    <w:p>
      <w:pPr>
        <w:pStyle w:val="BlankOpen"/>
      </w:pPr>
    </w:p>
    <w:p>
      <w:pPr>
        <w:pStyle w:val="nzIndenta"/>
      </w:pPr>
      <w:r>
        <w:tab/>
      </w:r>
      <w:r>
        <w:tab/>
      </w:r>
      <w:r>
        <w:rPr>
          <w:snapToGrid w:val="0"/>
        </w:rPr>
        <w:t>clause</w:t>
      </w:r>
    </w:p>
    <w:p>
      <w:pPr>
        <w:pStyle w:val="BlankClose"/>
      </w:pPr>
    </w:p>
    <w:p>
      <w:pPr>
        <w:pStyle w:val="nzIndenta"/>
      </w:pPr>
      <w:r>
        <w:tab/>
        <w:t>(b)</w:t>
      </w:r>
      <w:r>
        <w:tab/>
        <w:t>delete “subsection” and insert:</w:t>
      </w:r>
    </w:p>
    <w:p>
      <w:pPr>
        <w:pStyle w:val="BlankOpen"/>
      </w:pPr>
    </w:p>
    <w:p>
      <w:pPr>
        <w:pStyle w:val="nzIndenta"/>
      </w:pPr>
      <w:r>
        <w:tab/>
      </w:r>
      <w:r>
        <w:tab/>
        <w:t>sub</w:t>
      </w:r>
      <w:r>
        <w:rPr>
          <w:snapToGrid w:val="0"/>
        </w:rPr>
        <w:t>clause</w:t>
      </w:r>
    </w:p>
    <w:p>
      <w:pPr>
        <w:pStyle w:val="BlankClose"/>
      </w:pPr>
    </w:p>
    <w:p>
      <w:pPr>
        <w:pStyle w:val="nzPermNoteHeading"/>
      </w:pPr>
      <w:r>
        <w:tab/>
        <w:t>Note:</w:t>
      </w:r>
    </w:p>
    <w:p>
      <w:pPr>
        <w:pStyle w:val="nzPermNoteText"/>
      </w:pPr>
      <w:r>
        <w:tab/>
      </w:r>
      <w:r>
        <w:tab/>
        <w:t>Section 31E (as amended) is redesignated as clause 31E and relocated to Schedule 2A.</w:t>
      </w:r>
    </w:p>
    <w:p>
      <w:pPr>
        <w:pStyle w:val="nzHeading5"/>
      </w:pPr>
      <w:bookmarkStart w:id="551" w:name="_Toc530474300"/>
      <w:bookmarkStart w:id="552" w:name="_Toc530474895"/>
      <w:r>
        <w:rPr>
          <w:rStyle w:val="CharSectno"/>
        </w:rPr>
        <w:t>40</w:t>
      </w:r>
      <w:r>
        <w:t>.</w:t>
      </w:r>
      <w:r>
        <w:tab/>
        <w:t>Section 31F amended</w:t>
      </w:r>
      <w:bookmarkEnd w:id="551"/>
      <w:bookmarkEnd w:id="552"/>
    </w:p>
    <w:p>
      <w:pPr>
        <w:pStyle w:val="nzSubsection"/>
      </w:pPr>
      <w:r>
        <w:tab/>
        <w:t>(1)</w:t>
      </w:r>
      <w:r>
        <w:tab/>
        <w:t>In section 31F(1) delete “section 31E(1)(b)” and insert:</w:t>
      </w:r>
    </w:p>
    <w:p>
      <w:pPr>
        <w:pStyle w:val="BlankOpen"/>
      </w:pPr>
    </w:p>
    <w:p>
      <w:pPr>
        <w:pStyle w:val="nzSubsection"/>
      </w:pPr>
      <w:r>
        <w:tab/>
      </w:r>
      <w:r>
        <w:tab/>
      </w:r>
      <w:r>
        <w:rPr>
          <w:snapToGrid w:val="0"/>
        </w:rPr>
        <w:t>clause</w:t>
      </w:r>
      <w:r>
        <w:t> 31E(1)(b)</w:t>
      </w:r>
    </w:p>
    <w:p>
      <w:pPr>
        <w:pStyle w:val="BlankClose"/>
      </w:pPr>
    </w:p>
    <w:p>
      <w:pPr>
        <w:pStyle w:val="nzSubsection"/>
      </w:pPr>
      <w:r>
        <w:tab/>
        <w:t>(2)</w:t>
      </w:r>
      <w:r>
        <w:tab/>
        <w:t>In section 31F(1)(a) delete “section;” and insert:</w:t>
      </w:r>
    </w:p>
    <w:p>
      <w:pPr>
        <w:pStyle w:val="BlankOpen"/>
      </w:pPr>
    </w:p>
    <w:p>
      <w:pPr>
        <w:pStyle w:val="nzSubsection"/>
      </w:pPr>
      <w:r>
        <w:tab/>
      </w:r>
      <w:r>
        <w:tab/>
      </w:r>
      <w:r>
        <w:rPr>
          <w:snapToGrid w:val="0"/>
        </w:rPr>
        <w:t>clause;</w:t>
      </w:r>
    </w:p>
    <w:p>
      <w:pPr>
        <w:pStyle w:val="BlankClose"/>
      </w:pPr>
    </w:p>
    <w:p>
      <w:pPr>
        <w:pStyle w:val="nzSubsection"/>
      </w:pPr>
      <w:r>
        <w:tab/>
        <w:t>(3)</w:t>
      </w:r>
      <w:r>
        <w:tab/>
        <w:t>In section 31F(1)(b) delete “section.” and insert:</w:t>
      </w:r>
    </w:p>
    <w:p>
      <w:pPr>
        <w:pStyle w:val="BlankOpen"/>
      </w:pPr>
    </w:p>
    <w:p>
      <w:pPr>
        <w:pStyle w:val="nzSubsection"/>
      </w:pPr>
      <w:r>
        <w:tab/>
      </w:r>
      <w:r>
        <w:tab/>
      </w:r>
      <w:r>
        <w:rPr>
          <w:snapToGrid w:val="0"/>
        </w:rPr>
        <w:t>clause.</w:t>
      </w:r>
    </w:p>
    <w:p>
      <w:pPr>
        <w:pStyle w:val="BlankClose"/>
      </w:pPr>
    </w:p>
    <w:p>
      <w:pPr>
        <w:pStyle w:val="nzSubsection"/>
      </w:pPr>
      <w:r>
        <w:tab/>
        <w:t>(4)</w:t>
      </w:r>
      <w:r>
        <w:tab/>
        <w:t>In section 31F(2):</w:t>
      </w:r>
    </w:p>
    <w:p>
      <w:pPr>
        <w:pStyle w:val="nzIndenta"/>
      </w:pPr>
      <w:r>
        <w:tab/>
        <w:t>(a)</w:t>
      </w:r>
      <w:r>
        <w:tab/>
        <w:t>delete paragraphs (a) and (b) and insert:</w:t>
      </w:r>
    </w:p>
    <w:p>
      <w:pPr>
        <w:pStyle w:val="BlankOpen"/>
      </w:pPr>
    </w:p>
    <w:p>
      <w:pPr>
        <w:pStyle w:val="nz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nz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BlankClose"/>
      </w:pPr>
    </w:p>
    <w:p>
      <w:pPr>
        <w:pStyle w:val="nzIndenta"/>
      </w:pPr>
      <w:r>
        <w:tab/>
        <w:t>(b)</w:t>
      </w:r>
      <w:r>
        <w:tab/>
        <w:t>in paragraph (d) delete “where” and insert:</w:t>
      </w:r>
    </w:p>
    <w:p>
      <w:pPr>
        <w:pStyle w:val="BlankOpen"/>
      </w:pPr>
    </w:p>
    <w:p>
      <w:pPr>
        <w:pStyle w:val="nzIndenta"/>
      </w:pPr>
      <w:r>
        <w:tab/>
      </w:r>
      <w:r>
        <w:tab/>
      </w:r>
      <w:r>
        <w:rPr>
          <w:snapToGrid w:val="0"/>
        </w:rPr>
        <w:t>if</w:t>
      </w:r>
    </w:p>
    <w:p>
      <w:pPr>
        <w:pStyle w:val="BlankClose"/>
      </w:pPr>
    </w:p>
    <w:p>
      <w:pPr>
        <w:pStyle w:val="nzIndenta"/>
      </w:pPr>
      <w:r>
        <w:tab/>
        <w:t>(c)</w:t>
      </w:r>
      <w:r>
        <w:tab/>
        <w:t>in paragraph (e) delete “subsection” and insert:</w:t>
      </w:r>
    </w:p>
    <w:p>
      <w:pPr>
        <w:pStyle w:val="BlankOpen"/>
      </w:pPr>
    </w:p>
    <w:p>
      <w:pPr>
        <w:pStyle w:val="nzIndenta"/>
      </w:pPr>
      <w:r>
        <w:tab/>
      </w:r>
      <w:r>
        <w:tab/>
      </w:r>
      <w:r>
        <w:rPr>
          <w:snapToGrid w:val="0"/>
        </w:rPr>
        <w:t>subclause</w:t>
      </w:r>
    </w:p>
    <w:p>
      <w:pPr>
        <w:pStyle w:val="BlankClose"/>
      </w:pPr>
    </w:p>
    <w:p>
      <w:pPr>
        <w:pStyle w:val="nzIndenta"/>
      </w:pPr>
      <w:r>
        <w:tab/>
        <w:t>(d)</w:t>
      </w:r>
      <w:r>
        <w:tab/>
        <w:t>in paragraph (e)(ii) delete “section” and insert:</w:t>
      </w:r>
    </w:p>
    <w:p>
      <w:pPr>
        <w:pStyle w:val="BlankOpen"/>
      </w:pPr>
    </w:p>
    <w:p>
      <w:pPr>
        <w:pStyle w:val="nzIndenta"/>
      </w:pPr>
      <w:r>
        <w:tab/>
      </w:r>
      <w:r>
        <w:tab/>
      </w:r>
      <w:r>
        <w:rPr>
          <w:snapToGrid w:val="0"/>
        </w:rPr>
        <w:t>clause</w:t>
      </w:r>
    </w:p>
    <w:p>
      <w:pPr>
        <w:pStyle w:val="BlankClose"/>
      </w:pPr>
    </w:p>
    <w:p>
      <w:pPr>
        <w:pStyle w:val="nzSubsection"/>
      </w:pPr>
      <w:r>
        <w:tab/>
        <w:t>(5)</w:t>
      </w:r>
      <w:r>
        <w:tab/>
        <w:t>In section 31F(3)(a) delete “subsection” and insert:</w:t>
      </w:r>
    </w:p>
    <w:p>
      <w:pPr>
        <w:pStyle w:val="BlankOpen"/>
      </w:pPr>
    </w:p>
    <w:p>
      <w:pPr>
        <w:pStyle w:val="nzSubsection"/>
      </w:pPr>
      <w:r>
        <w:tab/>
      </w:r>
      <w:r>
        <w:tab/>
      </w:r>
      <w:r>
        <w:rPr>
          <w:snapToGrid w:val="0"/>
        </w:rPr>
        <w:t>subclause</w:t>
      </w:r>
    </w:p>
    <w:p>
      <w:pPr>
        <w:pStyle w:val="BlankClose"/>
      </w:pPr>
    </w:p>
    <w:p>
      <w:pPr>
        <w:pStyle w:val="nzSubsection"/>
      </w:pPr>
      <w:r>
        <w:tab/>
        <w:t>(6)</w:t>
      </w:r>
      <w:r>
        <w:tab/>
        <w:t>In section 31F(4) delete “subsection” (each occurrence) and insert:</w:t>
      </w:r>
    </w:p>
    <w:p>
      <w:pPr>
        <w:pStyle w:val="BlankOpen"/>
      </w:pPr>
    </w:p>
    <w:p>
      <w:pPr>
        <w:pStyle w:val="nzSubsection"/>
      </w:pPr>
      <w:r>
        <w:tab/>
      </w:r>
      <w:r>
        <w:tab/>
      </w:r>
      <w:r>
        <w:rPr>
          <w:snapToGrid w:val="0"/>
        </w:rPr>
        <w:t>subclause</w:t>
      </w:r>
    </w:p>
    <w:p>
      <w:pPr>
        <w:pStyle w:val="BlankClose"/>
      </w:pPr>
    </w:p>
    <w:p>
      <w:pPr>
        <w:pStyle w:val="nzPermNoteHeading"/>
      </w:pPr>
      <w:r>
        <w:tab/>
        <w:t>Note:</w:t>
      </w:r>
    </w:p>
    <w:p>
      <w:pPr>
        <w:pStyle w:val="nzPermNoteText"/>
      </w:pPr>
      <w:r>
        <w:tab/>
      </w:r>
      <w:r>
        <w:tab/>
        <w:t>Section 31F (as amended) is redesignated as clause 31F and relocated to Schedule 2A.</w:t>
      </w:r>
    </w:p>
    <w:p>
      <w:pPr>
        <w:pStyle w:val="nzHeading5"/>
      </w:pPr>
      <w:bookmarkStart w:id="553" w:name="_Toc530474301"/>
      <w:bookmarkStart w:id="554" w:name="_Toc530474896"/>
      <w:r>
        <w:rPr>
          <w:rStyle w:val="CharSectno"/>
        </w:rPr>
        <w:t>41</w:t>
      </w:r>
      <w:r>
        <w:t>.</w:t>
      </w:r>
      <w:r>
        <w:tab/>
        <w:t>Section 31G amended</w:t>
      </w:r>
      <w:bookmarkEnd w:id="553"/>
      <w:bookmarkEnd w:id="554"/>
    </w:p>
    <w:p>
      <w:pPr>
        <w:pStyle w:val="nzSubsection"/>
      </w:pPr>
      <w:r>
        <w:tab/>
        <w:t>(1)</w:t>
      </w:r>
      <w:r>
        <w:tab/>
        <w:t>In section 31G(1) delete “</w:t>
      </w:r>
      <w:r>
        <w:rPr>
          <w:snapToGrid w:val="0"/>
        </w:rPr>
        <w:t>section 31E(1)(a) may provide for easements to be created under section 5D,</w:t>
      </w:r>
      <w:r>
        <w:t>” and insert:</w:t>
      </w:r>
    </w:p>
    <w:p>
      <w:pPr>
        <w:pStyle w:val="BlankOpen"/>
      </w:pPr>
    </w:p>
    <w:p>
      <w:pPr>
        <w:pStyle w:val="nzSubsection"/>
      </w:pPr>
      <w:r>
        <w:tab/>
      </w:r>
      <w:r>
        <w:tab/>
      </w:r>
      <w:r>
        <w:rPr>
          <w:snapToGrid w:val="0"/>
        </w:rPr>
        <w:t>clause 31E(1)(a) may provide for a short form easement or restrictive covenant to be created under section 33,</w:t>
      </w:r>
    </w:p>
    <w:p>
      <w:pPr>
        <w:pStyle w:val="BlankClose"/>
      </w:pPr>
    </w:p>
    <w:p>
      <w:pPr>
        <w:pStyle w:val="nzSubsection"/>
      </w:pPr>
      <w:r>
        <w:tab/>
        <w:t>(2)</w:t>
      </w:r>
      <w:r>
        <w:tab/>
        <w:t>Delete section 31G(2) and insert:</w:t>
      </w:r>
    </w:p>
    <w:p>
      <w:pPr>
        <w:pStyle w:val="BlankOpen"/>
      </w:pPr>
    </w:p>
    <w:p>
      <w:pPr>
        <w:pStyle w:val="nzSubsection"/>
        <w:rPr>
          <w:snapToGrid w:val="0"/>
        </w:rPr>
      </w:pPr>
      <w:r>
        <w:tab/>
      </w:r>
      <w:r>
        <w:rPr>
          <w:snapToGrid w:val="0"/>
        </w:rPr>
        <w:t>(2)</w:t>
      </w:r>
      <w:r>
        <w:rPr>
          <w:snapToGrid w:val="0"/>
        </w:rPr>
        <w:tab/>
        <w:t>Section 33 also applies to the discharge of an easement that is created under subclause (1).</w:t>
      </w:r>
    </w:p>
    <w:p>
      <w:pPr>
        <w:pStyle w:val="BlankClose"/>
      </w:pPr>
    </w:p>
    <w:p>
      <w:pPr>
        <w:pStyle w:val="nzPermNoteHeading"/>
      </w:pPr>
      <w:r>
        <w:tab/>
        <w:t>Note:</w:t>
      </w:r>
    </w:p>
    <w:p>
      <w:pPr>
        <w:pStyle w:val="nzPermNoteText"/>
      </w:pPr>
      <w:r>
        <w:tab/>
      </w:r>
      <w:r>
        <w:tab/>
        <w:t>Section 31G (as amended) is redesignated as clause 31G and relocated to Schedule 2A.</w:t>
      </w:r>
    </w:p>
    <w:p>
      <w:pPr>
        <w:pStyle w:val="nzHeading5"/>
      </w:pPr>
      <w:bookmarkStart w:id="555" w:name="_Toc530474302"/>
      <w:bookmarkStart w:id="556" w:name="_Toc530474897"/>
      <w:r>
        <w:rPr>
          <w:rStyle w:val="CharSectno"/>
        </w:rPr>
        <w:t>42</w:t>
      </w:r>
      <w:r>
        <w:t>.</w:t>
      </w:r>
      <w:r>
        <w:tab/>
        <w:t>Section 31H amended</w:t>
      </w:r>
      <w:bookmarkEnd w:id="555"/>
      <w:bookmarkEnd w:id="556"/>
    </w:p>
    <w:p>
      <w:pPr>
        <w:pStyle w:val="nzSubsection"/>
      </w:pPr>
      <w:r>
        <w:tab/>
        <w:t>(1)</w:t>
      </w:r>
      <w:r>
        <w:tab/>
        <w:t>In section 31H(1) delete “subsection (2),” and insert:</w:t>
      </w:r>
    </w:p>
    <w:p>
      <w:pPr>
        <w:pStyle w:val="BlankOpen"/>
      </w:pPr>
    </w:p>
    <w:p>
      <w:pPr>
        <w:pStyle w:val="nzSubsection"/>
      </w:pPr>
      <w:r>
        <w:tab/>
      </w:r>
      <w:r>
        <w:tab/>
      </w:r>
      <w:r>
        <w:rPr>
          <w:snapToGrid w:val="0"/>
        </w:rPr>
        <w:t>subclause (2A),</w:t>
      </w:r>
    </w:p>
    <w:p>
      <w:pPr>
        <w:pStyle w:val="BlankClose"/>
      </w:pPr>
    </w:p>
    <w:p>
      <w:pPr>
        <w:pStyle w:val="nzSubsection"/>
      </w:pPr>
      <w:r>
        <w:tab/>
        <w:t>(2)</w:t>
      </w:r>
      <w:r>
        <w:tab/>
        <w:t>Delete section 31H(2)(c) and all the words after that paragraph and insert:</w:t>
      </w:r>
    </w:p>
    <w:p>
      <w:pPr>
        <w:pStyle w:val="BlankOpen"/>
      </w:pPr>
    </w:p>
    <w:p>
      <w:pPr>
        <w:pStyle w:val="nzIndenta"/>
        <w:rPr>
          <w:snapToGrid w:val="0"/>
        </w:rPr>
      </w:pPr>
      <w:r>
        <w:rPr>
          <w:snapToGrid w:val="0"/>
        </w:rPr>
        <w:tab/>
        <w:t>(c)</w:t>
      </w:r>
      <w:r>
        <w:rPr>
          <w:snapToGrid w:val="0"/>
        </w:rPr>
        <w:tab/>
        <w:t>in which any certificate required by clause 31E(1)(e) is set out.</w:t>
      </w:r>
    </w:p>
    <w:p>
      <w:pPr>
        <w:pStyle w:val="BlankClose"/>
      </w:pPr>
    </w:p>
    <w:p>
      <w:pPr>
        <w:pStyle w:val="nzSubsection"/>
      </w:pPr>
      <w:r>
        <w:tab/>
        <w:t>(3)</w:t>
      </w:r>
      <w:r>
        <w:tab/>
        <w:t>After section 31H(2) insert:</w:t>
      </w:r>
    </w:p>
    <w:p>
      <w:pPr>
        <w:pStyle w:val="BlankOpen"/>
      </w:pPr>
    </w:p>
    <w:p>
      <w:pPr>
        <w:pStyle w:val="nzSubsection"/>
        <w:rPr>
          <w:snapToGrid w:val="0"/>
        </w:rPr>
      </w:pPr>
      <w:r>
        <w:rPr>
          <w:snapToGrid w:val="0"/>
        </w:rPr>
        <w:tab/>
        <w:t>(2A)</w:t>
      </w:r>
      <w:r>
        <w:rPr>
          <w:snapToGrid w:val="0"/>
        </w:rPr>
        <w:tab/>
        <w:t>Subclause (1) does not apply if a disposition statement is lodged for registration with the notice of resolution.</w:t>
      </w:r>
    </w:p>
    <w:p>
      <w:pPr>
        <w:pStyle w:val="BlankClose"/>
        <w:keepNext/>
      </w:pPr>
    </w:p>
    <w:p>
      <w:pPr>
        <w:pStyle w:val="nzPermNoteHeading"/>
      </w:pPr>
      <w:r>
        <w:tab/>
        <w:t>Note:</w:t>
      </w:r>
    </w:p>
    <w:p>
      <w:pPr>
        <w:pStyle w:val="nzPermNoteText"/>
      </w:pPr>
      <w:r>
        <w:tab/>
      </w:r>
      <w:r>
        <w:tab/>
        <w:t>Section 31H (as amended) is redesignated as clause 31H and relocated to Schedule 2A.</w:t>
      </w:r>
    </w:p>
    <w:p>
      <w:pPr>
        <w:pStyle w:val="nzHeading5"/>
      </w:pPr>
      <w:bookmarkStart w:id="557" w:name="_Toc530474303"/>
      <w:bookmarkStart w:id="558" w:name="_Toc530474898"/>
      <w:r>
        <w:rPr>
          <w:rStyle w:val="CharSectno"/>
        </w:rPr>
        <w:t>43</w:t>
      </w:r>
      <w:r>
        <w:t>.</w:t>
      </w:r>
      <w:r>
        <w:tab/>
        <w:t>Section 31J amended</w:t>
      </w:r>
      <w:bookmarkEnd w:id="557"/>
      <w:bookmarkEnd w:id="558"/>
    </w:p>
    <w:p>
      <w:pPr>
        <w:pStyle w:val="nzSubsection"/>
      </w:pPr>
      <w:r>
        <w:tab/>
        <w:t>(1)</w:t>
      </w:r>
      <w:r>
        <w:tab/>
        <w:t>Delete section 31J(2) and insert:</w:t>
      </w:r>
    </w:p>
    <w:p>
      <w:pPr>
        <w:pStyle w:val="BlankOpen"/>
      </w:pPr>
    </w:p>
    <w:p>
      <w:pPr>
        <w:pStyle w:val="nzSubsection"/>
        <w:rPr>
          <w:snapToGrid w:val="0"/>
        </w:rPr>
      </w:pPr>
      <w:r>
        <w:rPr>
          <w:snapToGrid w:val="0"/>
        </w:rPr>
        <w:tab/>
        <w:t>(2)</w:t>
      </w:r>
      <w:r>
        <w:rPr>
          <w:snapToGrid w:val="0"/>
        </w:rPr>
        <w:tab/>
        <w:t>In addition to —</w:t>
      </w:r>
    </w:p>
    <w:p>
      <w:pPr>
        <w:pStyle w:val="nzIndenta"/>
        <w:rPr>
          <w:snapToGrid w:val="0"/>
        </w:rPr>
      </w:pPr>
      <w:r>
        <w:rPr>
          <w:snapToGrid w:val="0"/>
        </w:rPr>
        <w:tab/>
        <w:t>(a)</w:t>
      </w:r>
      <w:r>
        <w:rPr>
          <w:snapToGrid w:val="0"/>
        </w:rPr>
        <w:tab/>
        <w:t>the operation of any transfer, document or disposition statement referred to in clause 31H; and</w:t>
      </w:r>
    </w:p>
    <w:p>
      <w:pPr>
        <w:pStyle w:val="nzIndenta"/>
        <w:rPr>
          <w:snapToGrid w:val="0"/>
        </w:rPr>
      </w:pPr>
      <w:r>
        <w:rPr>
          <w:snapToGrid w:val="0"/>
        </w:rPr>
        <w:tab/>
        <w:t>(b)</w:t>
      </w:r>
      <w:r>
        <w:rPr>
          <w:snapToGrid w:val="0"/>
        </w:rPr>
        <w:tab/>
        <w:t>the creation of a short form easement or restrictive covenant under section 33 as read with clause 31G,</w:t>
      </w:r>
    </w:p>
    <w:p>
      <w:pPr>
        <w:pStyle w:val="nzSubsection"/>
        <w:rPr>
          <w:snapToGrid w:val="0"/>
        </w:rPr>
      </w:pPr>
      <w:r>
        <w:rPr>
          <w:snapToGrid w:val="0"/>
        </w:rPr>
        <w:tab/>
      </w:r>
      <w:r>
        <w:rPr>
          <w:snapToGrid w:val="0"/>
        </w:rPr>
        <w:tab/>
        <w:t>the registration of a notice of resolution also has the effects described in subclauses (3), (4), (5), (6) and (7).</w:t>
      </w:r>
    </w:p>
    <w:p>
      <w:pPr>
        <w:pStyle w:val="BlankClose"/>
      </w:pPr>
    </w:p>
    <w:p>
      <w:pPr>
        <w:pStyle w:val="nzSubsection"/>
      </w:pPr>
      <w:r>
        <w:tab/>
        <w:t>(2)</w:t>
      </w:r>
      <w:r>
        <w:tab/>
        <w:t>In section 31J(3):</w:t>
      </w:r>
    </w:p>
    <w:p>
      <w:pPr>
        <w:pStyle w:val="nzIndenta"/>
      </w:pPr>
      <w:r>
        <w:tab/>
        <w:t>(a)</w:t>
      </w:r>
      <w:r>
        <w:tab/>
        <w:t>delete “Where” and insert:</w:t>
      </w:r>
    </w:p>
    <w:p>
      <w:pPr>
        <w:pStyle w:val="BlankOpen"/>
      </w:pPr>
    </w:p>
    <w:p>
      <w:pPr>
        <w:pStyle w:val="nzIndenta"/>
      </w:pPr>
      <w:r>
        <w:tab/>
      </w:r>
      <w:r>
        <w:tab/>
      </w:r>
      <w:r>
        <w:rPr>
          <w:snapToGrid w:val="0"/>
        </w:rPr>
        <w:t>If</w:t>
      </w:r>
    </w:p>
    <w:p>
      <w:pPr>
        <w:pStyle w:val="BlankClose"/>
      </w:pPr>
    </w:p>
    <w:p>
      <w:pPr>
        <w:pStyle w:val="nzIndenta"/>
      </w:pPr>
      <w:r>
        <w:tab/>
        <w:t>(b)</w:t>
      </w:r>
      <w:r>
        <w:tab/>
        <w:t>delete paragraph (b)(ii) and insert:</w:t>
      </w:r>
    </w:p>
    <w:p>
      <w:pPr>
        <w:pStyle w:val="BlankOpen"/>
      </w:pPr>
    </w:p>
    <w:p>
      <w:pPr>
        <w:pStyle w:val="nzIndenti"/>
      </w:pPr>
      <w:r>
        <w:rPr>
          <w:snapToGrid w:val="0"/>
        </w:rPr>
        <w:tab/>
        <w:t>(ii)</w:t>
      </w:r>
      <w:r>
        <w:rPr>
          <w:snapToGrid w:val="0"/>
        </w:rPr>
        <w:tab/>
        <w:t>exclusive use by</w:t>
      </w:r>
      <w:r>
        <w:rPr>
          <w:snapToGrid w:val="0"/>
        </w:rPr>
        <w:noBreakHyphen/>
        <w:t>laws,</w:t>
      </w:r>
    </w:p>
    <w:p>
      <w:pPr>
        <w:pStyle w:val="BlankClose"/>
      </w:pPr>
    </w:p>
    <w:p>
      <w:pPr>
        <w:pStyle w:val="nzSubsection"/>
      </w:pPr>
      <w:r>
        <w:tab/>
        <w:t>(3)</w:t>
      </w:r>
      <w:r>
        <w:tab/>
        <w:t>In section 31J(5) delete “proprietors” and insert:</w:t>
      </w:r>
    </w:p>
    <w:p>
      <w:pPr>
        <w:pStyle w:val="BlankOpen"/>
      </w:pPr>
    </w:p>
    <w:p>
      <w:pPr>
        <w:pStyle w:val="nzSubsection"/>
      </w:pPr>
      <w:r>
        <w:tab/>
      </w:r>
      <w:r>
        <w:tab/>
      </w:r>
      <w:r>
        <w:rPr>
          <w:snapToGrid w:val="0"/>
        </w:rPr>
        <w:t>owners of the lots</w:t>
      </w:r>
    </w:p>
    <w:p>
      <w:pPr>
        <w:pStyle w:val="BlankClose"/>
      </w:pPr>
    </w:p>
    <w:p>
      <w:pPr>
        <w:pStyle w:val="nzSubsection"/>
      </w:pPr>
      <w:r>
        <w:tab/>
        <w:t>(4)</w:t>
      </w:r>
      <w:r>
        <w:tab/>
        <w:t>In section 31J(6):</w:t>
      </w:r>
    </w:p>
    <w:p>
      <w:pPr>
        <w:pStyle w:val="nzIndenta"/>
      </w:pPr>
      <w:r>
        <w:tab/>
        <w:t>(a)</w:t>
      </w:r>
      <w:r>
        <w:tab/>
        <w:t>delete “a proprietor” and insert:</w:t>
      </w:r>
    </w:p>
    <w:p>
      <w:pPr>
        <w:pStyle w:val="BlankOpen"/>
      </w:pPr>
    </w:p>
    <w:p>
      <w:pPr>
        <w:pStyle w:val="nzIndenta"/>
      </w:pPr>
      <w:r>
        <w:tab/>
      </w:r>
      <w:r>
        <w:tab/>
        <w:t xml:space="preserve">the </w:t>
      </w:r>
      <w:r>
        <w:rPr>
          <w:snapToGrid w:val="0"/>
        </w:rPr>
        <w:t>owner of a lot</w:t>
      </w:r>
    </w:p>
    <w:p>
      <w:pPr>
        <w:pStyle w:val="BlankClose"/>
      </w:pPr>
    </w:p>
    <w:p>
      <w:pPr>
        <w:pStyle w:val="nzIndenta"/>
      </w:pPr>
      <w:r>
        <w:tab/>
        <w:t>(b)</w:t>
      </w:r>
      <w:r>
        <w:tab/>
        <w:t>delete “his” and insert:</w:t>
      </w:r>
    </w:p>
    <w:p>
      <w:pPr>
        <w:pStyle w:val="BlankOpen"/>
      </w:pPr>
    </w:p>
    <w:p>
      <w:pPr>
        <w:pStyle w:val="nzIndenta"/>
      </w:pPr>
      <w:r>
        <w:tab/>
      </w:r>
      <w:r>
        <w:tab/>
        <w:t>the</w:t>
      </w:r>
    </w:p>
    <w:p>
      <w:pPr>
        <w:pStyle w:val="BlankClose"/>
      </w:pPr>
    </w:p>
    <w:p>
      <w:pPr>
        <w:pStyle w:val="nzSubsection"/>
      </w:pPr>
      <w:r>
        <w:tab/>
        <w:t>(5)</w:t>
      </w:r>
      <w:r>
        <w:tab/>
        <w:t>In section 31J(7):</w:t>
      </w:r>
    </w:p>
    <w:p>
      <w:pPr>
        <w:pStyle w:val="nzIndenta"/>
      </w:pPr>
      <w:r>
        <w:tab/>
        <w:t>(a)</w:t>
      </w:r>
      <w:r>
        <w:tab/>
        <w:t>delete “this section is to be” and insert:</w:t>
      </w:r>
    </w:p>
    <w:p>
      <w:pPr>
        <w:pStyle w:val="BlankOpen"/>
      </w:pPr>
    </w:p>
    <w:p>
      <w:pPr>
        <w:pStyle w:val="nzIndenta"/>
      </w:pPr>
      <w:r>
        <w:tab/>
      </w:r>
      <w:r>
        <w:tab/>
        <w:t>this clause is</w:t>
      </w:r>
    </w:p>
    <w:p>
      <w:pPr>
        <w:pStyle w:val="BlankClose"/>
      </w:pPr>
    </w:p>
    <w:p>
      <w:pPr>
        <w:pStyle w:val="nzIndenta"/>
      </w:pPr>
      <w:r>
        <w:tab/>
        <w:t>(b)</w:t>
      </w:r>
      <w:r>
        <w:tab/>
        <w:t>delete “that section.” and insert:</w:t>
      </w:r>
    </w:p>
    <w:p>
      <w:pPr>
        <w:pStyle w:val="BlankOpen"/>
      </w:pPr>
    </w:p>
    <w:p>
      <w:pPr>
        <w:pStyle w:val="nzIndenta"/>
      </w:pPr>
      <w:r>
        <w:tab/>
      </w:r>
      <w:r>
        <w:tab/>
        <w:t>that clause.</w:t>
      </w:r>
    </w:p>
    <w:p>
      <w:pPr>
        <w:pStyle w:val="BlankClose"/>
      </w:pPr>
    </w:p>
    <w:p>
      <w:pPr>
        <w:pStyle w:val="nzPermNoteHeading"/>
      </w:pPr>
      <w:r>
        <w:tab/>
        <w:t>Note:</w:t>
      </w:r>
    </w:p>
    <w:p>
      <w:pPr>
        <w:pStyle w:val="nzPermNoteText"/>
      </w:pPr>
      <w:r>
        <w:tab/>
      </w:r>
      <w:r>
        <w:tab/>
        <w:t>Section 31J (as amended) is redesignated as clause 31J and relocated to Schedule 2A.</w:t>
      </w:r>
    </w:p>
    <w:p>
      <w:pPr>
        <w:pStyle w:val="nzHeading5"/>
      </w:pPr>
      <w:bookmarkStart w:id="559" w:name="_Toc530474304"/>
      <w:bookmarkStart w:id="560" w:name="_Toc530474899"/>
      <w:r>
        <w:rPr>
          <w:rStyle w:val="CharSectno"/>
        </w:rPr>
        <w:t>44</w:t>
      </w:r>
      <w:r>
        <w:t>.</w:t>
      </w:r>
      <w:r>
        <w:tab/>
        <w:t>Section 31K amended</w:t>
      </w:r>
      <w:bookmarkEnd w:id="559"/>
      <w:bookmarkEnd w:id="560"/>
    </w:p>
    <w:p>
      <w:pPr>
        <w:pStyle w:val="nzSubsection"/>
      </w:pPr>
      <w:r>
        <w:tab/>
      </w:r>
      <w:r>
        <w:tab/>
        <w:t>Delete section 31K(1)(a) and insert:</w:t>
      </w:r>
    </w:p>
    <w:p>
      <w:pPr>
        <w:pStyle w:val="BlankOpen"/>
      </w:pPr>
    </w:p>
    <w:p>
      <w:pPr>
        <w:pStyle w:val="nzIndenta"/>
        <w:rPr>
          <w:snapToGrid w:val="0"/>
        </w:rPr>
      </w:pPr>
      <w:r>
        <w:rPr>
          <w:snapToGrid w:val="0"/>
        </w:rPr>
        <w:tab/>
        <w:t>(a)</w:t>
      </w:r>
      <w:r>
        <w:rPr>
          <w:snapToGrid w:val="0"/>
        </w:rPr>
        <w:tab/>
        <w:t>the strata plan in the manner specified in the regulations to give effect to clauses 31G, 31H and 31J; and</w:t>
      </w:r>
    </w:p>
    <w:p>
      <w:pPr>
        <w:pStyle w:val="BlankClose"/>
        <w:keepNext/>
      </w:pPr>
    </w:p>
    <w:p>
      <w:pPr>
        <w:pStyle w:val="nzPermNoteHeading"/>
      </w:pPr>
      <w:r>
        <w:tab/>
        <w:t>Note:</w:t>
      </w:r>
    </w:p>
    <w:p>
      <w:pPr>
        <w:pStyle w:val="nzPermNoteText"/>
      </w:pPr>
      <w:r>
        <w:tab/>
      </w:r>
      <w:r>
        <w:tab/>
        <w:t>Section 31K (as amended) is redesignated as clause 31K and relocated to Schedule 2A.</w:t>
      </w:r>
    </w:p>
    <w:p>
      <w:pPr>
        <w:pStyle w:val="nzHeading5"/>
      </w:pPr>
      <w:bookmarkStart w:id="561" w:name="_Toc530474305"/>
      <w:bookmarkStart w:id="562" w:name="_Toc530474900"/>
      <w:r>
        <w:rPr>
          <w:rStyle w:val="CharSectno"/>
        </w:rPr>
        <w:t>45</w:t>
      </w:r>
      <w:r>
        <w:t>.</w:t>
      </w:r>
      <w:r>
        <w:tab/>
        <w:t>Section 33 amended</w:t>
      </w:r>
      <w:bookmarkEnd w:id="561"/>
      <w:bookmarkEnd w:id="562"/>
    </w:p>
    <w:p>
      <w:pPr>
        <w:pStyle w:val="nzSubsection"/>
      </w:pPr>
      <w:r>
        <w:tab/>
        <w:t>(1)</w:t>
      </w:r>
      <w:r>
        <w:tab/>
        <w:t>In section 33(1):</w:t>
      </w:r>
    </w:p>
    <w:p>
      <w:pPr>
        <w:pStyle w:val="nzIndenta"/>
        <w:rPr>
          <w:snapToGrid w:val="0"/>
        </w:rPr>
      </w:pPr>
      <w:r>
        <w:tab/>
        <w:t>(a)</w:t>
      </w:r>
      <w:r>
        <w:tab/>
        <w:t>delete “</w:t>
      </w:r>
      <w:r>
        <w:rPr>
          <w:snapToGrid w:val="0"/>
        </w:rPr>
        <w:t>Where the proprietors of the lots the subject o</w:t>
      </w:r>
      <w:r>
        <w:rPr>
          <w:snapToGrid w:val="0"/>
          <w:spacing w:val="40"/>
        </w:rPr>
        <w:t>f a”</w:t>
      </w:r>
      <w:r>
        <w:rPr>
          <w:snapToGrid w:val="0"/>
        </w:rPr>
        <w:t xml:space="preserve"> and insert:</w:t>
      </w:r>
    </w:p>
    <w:p>
      <w:pPr>
        <w:pStyle w:val="BlankOpen"/>
      </w:pPr>
    </w:p>
    <w:p>
      <w:pPr>
        <w:pStyle w:val="nzIndenta"/>
      </w:pPr>
      <w:r>
        <w:tab/>
      </w:r>
      <w:r>
        <w:tab/>
        <w:t>If the owners of the lots in a strata titles</w:t>
      </w:r>
    </w:p>
    <w:p>
      <w:pPr>
        <w:pStyle w:val="BlankClose"/>
      </w:pPr>
    </w:p>
    <w:p>
      <w:pPr>
        <w:pStyle w:val="nzIndenta"/>
      </w:pPr>
      <w:r>
        <w:tab/>
        <w:t>(b)</w:t>
      </w:r>
      <w:r>
        <w:tab/>
        <w:t>delete “any” (1</w:t>
      </w:r>
      <w:r>
        <w:rPr>
          <w:vertAlign w:val="superscript"/>
        </w:rPr>
        <w:t>st</w:t>
      </w:r>
      <w:r>
        <w:t xml:space="preserve"> occurrence) and insert:</w:t>
      </w:r>
    </w:p>
    <w:p>
      <w:pPr>
        <w:pStyle w:val="BlankOpen"/>
      </w:pPr>
    </w:p>
    <w:p>
      <w:pPr>
        <w:pStyle w:val="nzIndenta"/>
      </w:pPr>
      <w:r>
        <w:tab/>
      </w:r>
      <w:r>
        <w:tab/>
        <w:t>a</w:t>
      </w:r>
    </w:p>
    <w:p>
      <w:pPr>
        <w:pStyle w:val="BlankClose"/>
      </w:pPr>
    </w:p>
    <w:p>
      <w:pPr>
        <w:pStyle w:val="nzIndenta"/>
      </w:pPr>
      <w:r>
        <w:tab/>
        <w:t>(c)</w:t>
      </w:r>
      <w:r>
        <w:tab/>
        <w:t>delete “</w:t>
      </w:r>
      <w:r>
        <w:rPr>
          <w:snapToGrid w:val="0"/>
        </w:rPr>
        <w:t xml:space="preserve">taken against them jointly </w:t>
      </w:r>
      <w:r>
        <w:t>(any such proceedings being proceedings for or with respect to common property),” and insert:</w:t>
      </w:r>
    </w:p>
    <w:p>
      <w:pPr>
        <w:pStyle w:val="BlankOpen"/>
      </w:pPr>
    </w:p>
    <w:p>
      <w:pPr>
        <w:pStyle w:val="nzIndenta"/>
      </w:pPr>
      <w:r>
        <w:tab/>
      </w:r>
      <w:r>
        <w:tab/>
        <w:t xml:space="preserve">relating to common property </w:t>
      </w:r>
      <w:r>
        <w:rPr>
          <w:snapToGrid w:val="0"/>
        </w:rPr>
        <w:t>taken against them jointly,</w:t>
      </w:r>
    </w:p>
    <w:p>
      <w:pPr>
        <w:pStyle w:val="BlankClose"/>
      </w:pPr>
    </w:p>
    <w:p>
      <w:pPr>
        <w:pStyle w:val="nzIndenta"/>
      </w:pPr>
      <w:r>
        <w:tab/>
        <w:t>(d)</w:t>
      </w:r>
      <w:r>
        <w:tab/>
        <w:t>delete “any such proceedings shall have” and insert:</w:t>
      </w:r>
    </w:p>
    <w:p>
      <w:pPr>
        <w:pStyle w:val="BlankOpen"/>
      </w:pPr>
    </w:p>
    <w:p>
      <w:pPr>
        <w:pStyle w:val="nzIndenta"/>
      </w:pPr>
      <w:r>
        <w:tab/>
      </w:r>
      <w:r>
        <w:tab/>
        <w:t>the proceedings has</w:t>
      </w:r>
    </w:p>
    <w:p>
      <w:pPr>
        <w:pStyle w:val="BlankClose"/>
      </w:pPr>
    </w:p>
    <w:p>
      <w:pPr>
        <w:pStyle w:val="nzIndenta"/>
      </w:pPr>
      <w:r>
        <w:tab/>
        <w:t>(e)</w:t>
      </w:r>
      <w:r>
        <w:tab/>
        <w:t>delete “proprietors.” and insert:</w:t>
      </w:r>
    </w:p>
    <w:p>
      <w:pPr>
        <w:pStyle w:val="BlankOpen"/>
      </w:pPr>
    </w:p>
    <w:p>
      <w:pPr>
        <w:pStyle w:val="nzIndenta"/>
      </w:pPr>
      <w:r>
        <w:tab/>
      </w:r>
      <w:r>
        <w:tab/>
        <w:t>owners.</w:t>
      </w:r>
    </w:p>
    <w:p>
      <w:pPr>
        <w:pStyle w:val="BlankClose"/>
      </w:pPr>
    </w:p>
    <w:p>
      <w:pPr>
        <w:pStyle w:val="nzSubsection"/>
      </w:pPr>
      <w:r>
        <w:tab/>
        <w:t>(2)</w:t>
      </w:r>
      <w:r>
        <w:tab/>
        <w:t>In section 33(2):</w:t>
      </w:r>
    </w:p>
    <w:p>
      <w:pPr>
        <w:pStyle w:val="nzIndenta"/>
        <w:rPr>
          <w:snapToGrid w:val="0"/>
        </w:rPr>
      </w:pPr>
      <w:r>
        <w:tab/>
        <w:t>(a)</w:t>
      </w:r>
      <w:r>
        <w:tab/>
        <w:t>delete “</w:t>
      </w:r>
      <w:r>
        <w:rPr>
          <w:snapToGrid w:val="0"/>
        </w:rPr>
        <w:t>Where a proprietor” and insert:</w:t>
      </w:r>
    </w:p>
    <w:p>
      <w:pPr>
        <w:pStyle w:val="BlankOpen"/>
      </w:pPr>
    </w:p>
    <w:p>
      <w:pPr>
        <w:pStyle w:val="nzIndenta"/>
      </w:pPr>
      <w:r>
        <w:tab/>
      </w:r>
      <w:r>
        <w:tab/>
        <w:t>If an owner of a lot</w:t>
      </w:r>
    </w:p>
    <w:p>
      <w:pPr>
        <w:pStyle w:val="BlankClose"/>
      </w:pPr>
    </w:p>
    <w:p>
      <w:pPr>
        <w:pStyle w:val="nzIndenta"/>
      </w:pPr>
      <w:r>
        <w:tab/>
        <w:t>(b)</w:t>
      </w:r>
      <w:r>
        <w:tab/>
        <w:t>delete “proprietor in respect o</w:t>
      </w:r>
      <w:r>
        <w:rPr>
          <w:snapToGrid w:val="0"/>
          <w:spacing w:val="40"/>
        </w:rPr>
        <w:t>f</w:t>
      </w:r>
      <w:r>
        <w:t>” and insert:</w:t>
      </w:r>
    </w:p>
    <w:p>
      <w:pPr>
        <w:pStyle w:val="BlankOpen"/>
      </w:pPr>
    </w:p>
    <w:p>
      <w:pPr>
        <w:pStyle w:val="nzIndenta"/>
      </w:pPr>
      <w:r>
        <w:tab/>
      </w:r>
      <w:r>
        <w:tab/>
        <w:t>owner for</w:t>
      </w:r>
    </w:p>
    <w:p>
      <w:pPr>
        <w:pStyle w:val="BlankClose"/>
      </w:pPr>
    </w:p>
    <w:p>
      <w:pPr>
        <w:pStyle w:val="nzIndenta"/>
      </w:pPr>
      <w:r>
        <w:tab/>
        <w:t>(c)</w:t>
      </w:r>
      <w:r>
        <w:tab/>
        <w:t>delete “shall” and insert:</w:t>
      </w:r>
    </w:p>
    <w:p>
      <w:pPr>
        <w:pStyle w:val="BlankOpen"/>
      </w:pPr>
    </w:p>
    <w:p>
      <w:pPr>
        <w:pStyle w:val="nzIndenta"/>
      </w:pPr>
      <w:r>
        <w:tab/>
      </w:r>
      <w:r>
        <w:tab/>
        <w:t>must</w:t>
      </w:r>
    </w:p>
    <w:p>
      <w:pPr>
        <w:pStyle w:val="BlankClose"/>
      </w:pPr>
    </w:p>
    <w:p>
      <w:pPr>
        <w:pStyle w:val="nzIndenta"/>
      </w:pPr>
      <w:r>
        <w:tab/>
        <w:t>(d)</w:t>
      </w:r>
      <w:r>
        <w:tab/>
        <w:t>delete “</w:t>
      </w:r>
      <w:r>
        <w:rPr>
          <w:snapToGrid w:val="0"/>
        </w:rPr>
        <w:t xml:space="preserve">proprietor bears to the aggregate unit </w:t>
      </w:r>
      <w:r>
        <w:t>entitlement.” and insert:</w:t>
      </w:r>
    </w:p>
    <w:p>
      <w:pPr>
        <w:pStyle w:val="BlankOpen"/>
      </w:pPr>
    </w:p>
    <w:p>
      <w:pPr>
        <w:pStyle w:val="nzIndenta"/>
      </w:pPr>
      <w:r>
        <w:tab/>
      </w:r>
      <w:r>
        <w:tab/>
        <w:t xml:space="preserve">owner </w:t>
      </w:r>
      <w:r>
        <w:rPr>
          <w:snapToGrid w:val="0"/>
        </w:rPr>
        <w:t xml:space="preserve">bears to the sum of the unit </w:t>
      </w:r>
      <w:r>
        <w:t>entitlements of all the lots.</w:t>
      </w:r>
    </w:p>
    <w:p>
      <w:pPr>
        <w:pStyle w:val="BlankClose"/>
        <w:keepNext/>
      </w:pPr>
    </w:p>
    <w:p>
      <w:pPr>
        <w:pStyle w:val="nzSectAltNote"/>
      </w:pPr>
      <w:r>
        <w:tab/>
        <w:t>Note:</w:t>
      </w:r>
      <w:r>
        <w:tab/>
        <w:t>The heading to amended section 33 is to read:</w:t>
      </w:r>
    </w:p>
    <w:p>
      <w:pPr>
        <w:pStyle w:val="nzSectAltHeading"/>
      </w:pPr>
      <w:r>
        <w:rPr>
          <w:b w:val="0"/>
        </w:rPr>
        <w:tab/>
      </w:r>
      <w:r>
        <w:rPr>
          <w:b w:val="0"/>
        </w:rPr>
        <w:tab/>
      </w:r>
      <w:r>
        <w:t>Strata company is representative of owners in proceedings</w:t>
      </w:r>
    </w:p>
    <w:p>
      <w:pPr>
        <w:pStyle w:val="nzPermNoteHeading"/>
      </w:pPr>
      <w:r>
        <w:tab/>
        <w:t>Note:</w:t>
      </w:r>
    </w:p>
    <w:p>
      <w:pPr>
        <w:pStyle w:val="nzPermNoteText"/>
      </w:pPr>
      <w:r>
        <w:tab/>
      </w:r>
      <w:r>
        <w:tab/>
        <w:t>Section 33 (as amended) is renumbered as section 103 and relocated to Part 8 Division 1 Subdivision 4.</w:t>
      </w:r>
    </w:p>
    <w:p>
      <w:pPr>
        <w:pStyle w:val="nzHeading5"/>
      </w:pPr>
      <w:bookmarkStart w:id="563" w:name="_Toc530474306"/>
      <w:bookmarkStart w:id="564" w:name="_Toc530474901"/>
      <w:r>
        <w:rPr>
          <w:rStyle w:val="CharSectno"/>
        </w:rPr>
        <w:t>46</w:t>
      </w:r>
      <w:r>
        <w:t>.</w:t>
      </w:r>
      <w:r>
        <w:tab/>
        <w:t>Section 34 amended</w:t>
      </w:r>
      <w:bookmarkEnd w:id="563"/>
      <w:bookmarkEnd w:id="564"/>
    </w:p>
    <w:p>
      <w:pPr>
        <w:pStyle w:val="nzSubsection"/>
      </w:pPr>
      <w:r>
        <w:tab/>
        <w:t>(1)</w:t>
      </w:r>
      <w:r>
        <w:tab/>
        <w:t>In section 34(1):</w:t>
      </w:r>
    </w:p>
    <w:p>
      <w:pPr>
        <w:pStyle w:val="nzIndenta"/>
        <w:rPr>
          <w:snapToGrid w:val="0"/>
        </w:rPr>
      </w:pPr>
      <w:r>
        <w:tab/>
        <w:t>(a)</w:t>
      </w:r>
      <w:r>
        <w:tab/>
        <w:t xml:space="preserve">delete “varying </w:t>
      </w:r>
      <w:r>
        <w:rPr>
          <w:snapToGrid w:val="0"/>
        </w:rPr>
        <w:t>or discharging” and insert:</w:t>
      </w:r>
    </w:p>
    <w:p>
      <w:pPr>
        <w:pStyle w:val="BlankOpen"/>
      </w:pPr>
    </w:p>
    <w:p>
      <w:pPr>
        <w:pStyle w:val="nzIndenta"/>
      </w:pPr>
      <w:r>
        <w:tab/>
      </w:r>
      <w:r>
        <w:tab/>
        <w:t xml:space="preserve">varying, extending, </w:t>
      </w:r>
      <w:r>
        <w:rPr>
          <w:snapToGrid w:val="0"/>
        </w:rPr>
        <w:t>discharging</w:t>
      </w:r>
      <w:r>
        <w:t xml:space="preserve"> or terminating</w:t>
      </w:r>
    </w:p>
    <w:p>
      <w:pPr>
        <w:pStyle w:val="BlankClose"/>
      </w:pPr>
    </w:p>
    <w:p>
      <w:pPr>
        <w:pStyle w:val="nzIndenta"/>
        <w:rPr>
          <w:snapToGrid w:val="0"/>
        </w:rPr>
      </w:pPr>
      <w:r>
        <w:tab/>
        <w:t>(b)</w:t>
      </w:r>
      <w:r>
        <w:tab/>
        <w:t xml:space="preserve">delete “vary </w:t>
      </w:r>
      <w:r>
        <w:rPr>
          <w:snapToGrid w:val="0"/>
        </w:rPr>
        <w:t>or discharge” and insert:</w:t>
      </w:r>
    </w:p>
    <w:p>
      <w:pPr>
        <w:pStyle w:val="BlankOpen"/>
      </w:pPr>
    </w:p>
    <w:p>
      <w:pPr>
        <w:pStyle w:val="nzIndenta"/>
      </w:pPr>
      <w:r>
        <w:tab/>
      </w:r>
      <w:r>
        <w:tab/>
        <w:t xml:space="preserve">vary, extend, </w:t>
      </w:r>
      <w:r>
        <w:rPr>
          <w:snapToGrid w:val="0"/>
        </w:rPr>
        <w:t>discharge</w:t>
      </w:r>
      <w:r>
        <w:t xml:space="preserve"> or terminate</w:t>
      </w:r>
    </w:p>
    <w:p>
      <w:pPr>
        <w:pStyle w:val="BlankClose"/>
      </w:pPr>
    </w:p>
    <w:p>
      <w:pPr>
        <w:pStyle w:val="nzIndenta"/>
        <w:rPr>
          <w:snapToGrid w:val="0"/>
        </w:rPr>
      </w:pPr>
      <w:r>
        <w:tab/>
        <w:t>(c)</w:t>
      </w:r>
      <w:r>
        <w:tab/>
        <w:t xml:space="preserve">delete “varied </w:t>
      </w:r>
      <w:r>
        <w:rPr>
          <w:snapToGrid w:val="0"/>
        </w:rPr>
        <w:t>or discharged” and insert:</w:t>
      </w:r>
    </w:p>
    <w:p>
      <w:pPr>
        <w:pStyle w:val="BlankOpen"/>
      </w:pPr>
    </w:p>
    <w:p>
      <w:pPr>
        <w:pStyle w:val="nzIndenta"/>
      </w:pPr>
      <w:r>
        <w:tab/>
      </w:r>
      <w:r>
        <w:tab/>
        <w:t xml:space="preserve">varied, extended, </w:t>
      </w:r>
      <w:r>
        <w:rPr>
          <w:snapToGrid w:val="0"/>
        </w:rPr>
        <w:t>discharged</w:t>
      </w:r>
      <w:r>
        <w:t xml:space="preserve"> or terminated</w:t>
      </w:r>
    </w:p>
    <w:p>
      <w:pPr>
        <w:pStyle w:val="BlankClose"/>
      </w:pPr>
    </w:p>
    <w:p>
      <w:pPr>
        <w:pStyle w:val="nzSubsection"/>
      </w:pPr>
      <w:r>
        <w:tab/>
        <w:t>(2)</w:t>
      </w:r>
      <w:r>
        <w:tab/>
        <w:t xml:space="preserve">In section 34(2) delete “variation </w:t>
      </w:r>
      <w:r>
        <w:rPr>
          <w:snapToGrid w:val="0"/>
        </w:rPr>
        <w:t>or discharge” and insert:</w:t>
      </w:r>
    </w:p>
    <w:p>
      <w:pPr>
        <w:pStyle w:val="BlankOpen"/>
      </w:pPr>
    </w:p>
    <w:p>
      <w:pPr>
        <w:pStyle w:val="nzSubsection"/>
      </w:pPr>
      <w:r>
        <w:tab/>
      </w:r>
      <w:r>
        <w:tab/>
        <w:t xml:space="preserve">variation, extension, </w:t>
      </w:r>
      <w:r>
        <w:rPr>
          <w:snapToGrid w:val="0"/>
        </w:rPr>
        <w:t xml:space="preserve">discharge or </w:t>
      </w:r>
      <w:r>
        <w:t>termination</w:t>
      </w:r>
    </w:p>
    <w:p>
      <w:pPr>
        <w:pStyle w:val="BlankClose"/>
      </w:pPr>
    </w:p>
    <w:p>
      <w:pPr>
        <w:pStyle w:val="nzSubsection"/>
      </w:pPr>
      <w:r>
        <w:tab/>
        <w:t>(3)</w:t>
      </w:r>
      <w:r>
        <w:tab/>
        <w:t>Delete section 34(3) and insert:</w:t>
      </w:r>
    </w:p>
    <w:p>
      <w:pPr>
        <w:pStyle w:val="BlankOpen"/>
      </w:pPr>
    </w:p>
    <w:p>
      <w:pPr>
        <w:pStyle w:val="nzSubsection"/>
      </w:pPr>
      <w:r>
        <w:tab/>
        <w:t>(3)</w:t>
      </w:r>
      <w:r>
        <w:tab/>
        <w:t>This section does not affect —</w:t>
      </w:r>
    </w:p>
    <w:p>
      <w:pPr>
        <w:pStyle w:val="nzIndenta"/>
      </w:pPr>
      <w:r>
        <w:tab/>
        <w:t>(a)</w:t>
      </w:r>
      <w:r>
        <w:tab/>
        <w:t>section 115; or</w:t>
      </w:r>
    </w:p>
    <w:p>
      <w:pPr>
        <w:pStyle w:val="nzIndenta"/>
      </w:pPr>
      <w:r>
        <w:tab/>
        <w:t>(b)</w:t>
      </w:r>
      <w:r>
        <w:tab/>
        <w:t>section 151; or</w:t>
      </w:r>
    </w:p>
    <w:p>
      <w:pPr>
        <w:pStyle w:val="nzIndenta"/>
      </w:pPr>
      <w:r>
        <w:tab/>
        <w:t>(c)</w:t>
      </w:r>
      <w:r>
        <w:tab/>
        <w:t>the operation of a law that requires some consent or sanction to be obtained, or some procedure to be complied with, in relation to the making, variation, extension, discharge or termination of a contract.</w:t>
      </w:r>
    </w:p>
    <w:p>
      <w:pPr>
        <w:pStyle w:val="BlankClose"/>
      </w:pPr>
    </w:p>
    <w:p>
      <w:pPr>
        <w:pStyle w:val="nzPermNoteHeading"/>
      </w:pPr>
      <w:r>
        <w:tab/>
        <w:t>Note:</w:t>
      </w:r>
    </w:p>
    <w:p>
      <w:pPr>
        <w:pStyle w:val="nzPermNoteText"/>
      </w:pPr>
      <w:r>
        <w:tab/>
      </w:r>
      <w:r>
        <w:tab/>
        <w:t>Section 34 (as amended) is renumbered as section 139 and relocated to Part 8 Division 5.</w:t>
      </w:r>
    </w:p>
    <w:p>
      <w:pPr>
        <w:pStyle w:val="nzHeading5"/>
      </w:pPr>
      <w:bookmarkStart w:id="565" w:name="_Toc530474307"/>
      <w:bookmarkStart w:id="566" w:name="_Toc530474902"/>
      <w:r>
        <w:rPr>
          <w:rStyle w:val="CharSectno"/>
        </w:rPr>
        <w:t>47</w:t>
      </w:r>
      <w:r>
        <w:t>.</w:t>
      </w:r>
      <w:r>
        <w:tab/>
        <w:t>Section 35 amended</w:t>
      </w:r>
      <w:bookmarkEnd w:id="565"/>
      <w:bookmarkEnd w:id="566"/>
    </w:p>
    <w:p>
      <w:pPr>
        <w:pStyle w:val="nzSubsection"/>
      </w:pPr>
      <w:r>
        <w:tab/>
        <w:t>(1)</w:t>
      </w:r>
      <w:r>
        <w:tab/>
        <w:t>In section 35(1):</w:t>
      </w:r>
    </w:p>
    <w:p>
      <w:pPr>
        <w:pStyle w:val="nzIndenta"/>
      </w:pPr>
      <w:r>
        <w:tab/>
        <w:t>(a)</w:t>
      </w:r>
      <w:r>
        <w:tab/>
        <w:t>delete “shall —” and insert:</w:t>
      </w:r>
    </w:p>
    <w:p>
      <w:pPr>
        <w:pStyle w:val="BlankOpen"/>
      </w:pPr>
    </w:p>
    <w:p>
      <w:pPr>
        <w:pStyle w:val="nzIndenta"/>
      </w:pPr>
      <w:r>
        <w:tab/>
      </w:r>
      <w:r>
        <w:tab/>
        <w:t>must —</w:t>
      </w:r>
    </w:p>
    <w:p>
      <w:pPr>
        <w:pStyle w:val="BlankClose"/>
      </w:pPr>
    </w:p>
    <w:p>
      <w:pPr>
        <w:pStyle w:val="nzIndenta"/>
      </w:pPr>
      <w:r>
        <w:tab/>
        <w:t>(b)</w:t>
      </w:r>
      <w:r>
        <w:tab/>
        <w:t>delete paragraph (a);</w:t>
      </w:r>
    </w:p>
    <w:p>
      <w:pPr>
        <w:pStyle w:val="nzIndenta"/>
      </w:pPr>
      <w:r>
        <w:tab/>
        <w:t>(c)</w:t>
      </w:r>
      <w:r>
        <w:tab/>
        <w:t>in paragraph (b) delete “proprietors; and” and insert:</w:t>
      </w:r>
    </w:p>
    <w:p>
      <w:pPr>
        <w:pStyle w:val="BlankOpen"/>
      </w:pPr>
    </w:p>
    <w:p>
      <w:pPr>
        <w:pStyle w:val="nzIndenta"/>
      </w:pPr>
      <w:r>
        <w:tab/>
      </w:r>
      <w:r>
        <w:tab/>
        <w:t>owners of lots; and</w:t>
      </w:r>
    </w:p>
    <w:p>
      <w:pPr>
        <w:pStyle w:val="BlankClose"/>
      </w:pPr>
    </w:p>
    <w:p>
      <w:pPr>
        <w:pStyle w:val="nzIndenta"/>
      </w:pPr>
      <w:r>
        <w:tab/>
        <w:t>(d)</w:t>
      </w:r>
      <w:r>
        <w:tab/>
        <w:t>in paragraph (c) delete “where” and insert:</w:t>
      </w:r>
    </w:p>
    <w:p>
      <w:pPr>
        <w:pStyle w:val="BlankOpen"/>
      </w:pPr>
    </w:p>
    <w:p>
      <w:pPr>
        <w:pStyle w:val="nzIndenta"/>
      </w:pPr>
      <w:r>
        <w:tab/>
      </w:r>
      <w:r>
        <w:tab/>
        <w:t>if</w:t>
      </w:r>
    </w:p>
    <w:p>
      <w:pPr>
        <w:pStyle w:val="BlankClose"/>
      </w:pPr>
    </w:p>
    <w:p>
      <w:pPr>
        <w:pStyle w:val="nzIndenta"/>
      </w:pPr>
      <w:r>
        <w:tab/>
        <w:t>(e)</w:t>
      </w:r>
      <w:r>
        <w:tab/>
        <w:t>in paragraph (c)(ii) delete “vested in” and insert:</w:t>
      </w:r>
    </w:p>
    <w:p>
      <w:pPr>
        <w:pStyle w:val="BlankOpen"/>
      </w:pPr>
    </w:p>
    <w:p>
      <w:pPr>
        <w:pStyle w:val="nzIndenta"/>
      </w:pPr>
      <w:r>
        <w:tab/>
      </w:r>
      <w:r>
        <w:tab/>
        <w:t>owned by</w:t>
      </w:r>
    </w:p>
    <w:p>
      <w:pPr>
        <w:pStyle w:val="BlankClose"/>
      </w:pPr>
    </w:p>
    <w:p>
      <w:pPr>
        <w:pStyle w:val="nzIndenta"/>
      </w:pPr>
      <w:r>
        <w:tab/>
        <w:t>(f)</w:t>
      </w:r>
      <w:r>
        <w:tab/>
        <w:t>in paragraph (c) delete “cause; and” and insert:</w:t>
      </w:r>
    </w:p>
    <w:p>
      <w:pPr>
        <w:pStyle w:val="BlankOpen"/>
      </w:pPr>
    </w:p>
    <w:p>
      <w:pPr>
        <w:pStyle w:val="nzIndenta"/>
      </w:pPr>
      <w:r>
        <w:tab/>
      </w:r>
      <w:r>
        <w:tab/>
        <w:t>cause.</w:t>
      </w:r>
    </w:p>
    <w:p>
      <w:pPr>
        <w:pStyle w:val="BlankClose"/>
      </w:pPr>
    </w:p>
    <w:p>
      <w:pPr>
        <w:pStyle w:val="nzIndenta"/>
      </w:pPr>
      <w:r>
        <w:tab/>
        <w:t>(g)</w:t>
      </w:r>
      <w:r>
        <w:tab/>
        <w:t>delete paragraphs (e) to (k).</w:t>
      </w:r>
    </w:p>
    <w:p>
      <w:pPr>
        <w:pStyle w:val="nzSubsection"/>
      </w:pPr>
      <w:r>
        <w:tab/>
        <w:t>(2)</w:t>
      </w:r>
      <w:r>
        <w:tab/>
        <w:t>Delete section 35(2) and insert:</w:t>
      </w:r>
    </w:p>
    <w:p>
      <w:pPr>
        <w:pStyle w:val="BlankOpen"/>
      </w:pPr>
    </w:p>
    <w:p>
      <w:pPr>
        <w:pStyle w:val="nzSubsection"/>
      </w:pPr>
      <w:r>
        <w:tab/>
        <w:t>(2)</w:t>
      </w:r>
      <w:r>
        <w:tab/>
        <w:t>A strata company may improve or alter the common property in a manner that goes beyond what is required under subsection (1).</w:t>
      </w:r>
    </w:p>
    <w:p>
      <w:pPr>
        <w:pStyle w:val="nzPermNoteHeading"/>
      </w:pPr>
      <w:r>
        <w:tab/>
        <w:t>Note for this subsection:</w:t>
      </w:r>
    </w:p>
    <w:p>
      <w:pPr>
        <w:pStyle w:val="nz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nzSubsection"/>
      </w:pPr>
      <w:r>
        <w:tab/>
        <w:t>(3)</w:t>
      </w:r>
      <w:r>
        <w:tab/>
        <w:t>A strata company may sue and be sued for rights and liabilities related to the common property in the strata titles scheme as if it were the owner and occupier of the common property.</w:t>
      </w:r>
    </w:p>
    <w:p>
      <w:pPr>
        <w:pStyle w:val="BlankClose"/>
      </w:pPr>
    </w:p>
    <w:p>
      <w:pPr>
        <w:pStyle w:val="nzSectAltNote"/>
      </w:pPr>
      <w:r>
        <w:tab/>
        <w:t>Note:</w:t>
      </w:r>
      <w:r>
        <w:tab/>
        <w:t>The heading to amended section 35 is to read:</w:t>
      </w:r>
    </w:p>
    <w:p>
      <w:pPr>
        <w:pStyle w:val="nzSectAltHeading"/>
      </w:pPr>
      <w:r>
        <w:rPr>
          <w:b w:val="0"/>
        </w:rPr>
        <w:tab/>
      </w:r>
      <w:r>
        <w:rPr>
          <w:b w:val="0"/>
        </w:rPr>
        <w:tab/>
      </w:r>
      <w:r>
        <w:t>General duty</w:t>
      </w:r>
    </w:p>
    <w:p>
      <w:pPr>
        <w:pStyle w:val="nzPermNoteHeading"/>
      </w:pPr>
      <w:r>
        <w:tab/>
        <w:t>Note:</w:t>
      </w:r>
    </w:p>
    <w:p>
      <w:pPr>
        <w:pStyle w:val="nzPermNoteText"/>
      </w:pPr>
      <w:r>
        <w:tab/>
      </w:r>
      <w:r>
        <w:tab/>
        <w:t>Section 35 (as amended) is renumbered as section 91 and relocated to Part 8 Division 1 Subdivision 1.</w:t>
      </w:r>
    </w:p>
    <w:p>
      <w:pPr>
        <w:pStyle w:val="nzHeading5"/>
      </w:pPr>
      <w:bookmarkStart w:id="567" w:name="_Toc530474308"/>
      <w:bookmarkStart w:id="568" w:name="_Toc530474903"/>
      <w:r>
        <w:rPr>
          <w:rStyle w:val="CharSectno"/>
        </w:rPr>
        <w:t>48</w:t>
      </w:r>
      <w:r>
        <w:t>.</w:t>
      </w:r>
      <w:r>
        <w:tab/>
        <w:t>Section 35A amended</w:t>
      </w:r>
      <w:bookmarkEnd w:id="567"/>
      <w:bookmarkEnd w:id="568"/>
    </w:p>
    <w:p>
      <w:pPr>
        <w:pStyle w:val="nzSubsection"/>
      </w:pPr>
      <w:r>
        <w:tab/>
        <w:t>(1)</w:t>
      </w:r>
      <w:r>
        <w:tab/>
        <w:t>In section 35A(1) delete “shall” and insert:</w:t>
      </w:r>
    </w:p>
    <w:p>
      <w:pPr>
        <w:pStyle w:val="BlankOpen"/>
      </w:pPr>
    </w:p>
    <w:p>
      <w:pPr>
        <w:pStyle w:val="nzSubsection"/>
      </w:pPr>
      <w:r>
        <w:tab/>
      </w:r>
      <w:r>
        <w:tab/>
        <w:t>must</w:t>
      </w:r>
    </w:p>
    <w:p>
      <w:pPr>
        <w:pStyle w:val="BlankClose"/>
      </w:pPr>
    </w:p>
    <w:p>
      <w:pPr>
        <w:pStyle w:val="nzSubsection"/>
      </w:pPr>
      <w:r>
        <w:tab/>
        <w:t>(2)</w:t>
      </w:r>
      <w:r>
        <w:tab/>
        <w:t>In section 35A(1) delete the Penalty and insert:</w:t>
      </w:r>
    </w:p>
    <w:p>
      <w:pPr>
        <w:pStyle w:val="BlankOpen"/>
      </w:pPr>
    </w:p>
    <w:p>
      <w:pPr>
        <w:pStyle w:val="nzPenstart"/>
      </w:pPr>
      <w:r>
        <w:tab/>
        <w:t>Penalty for this subsection: a fine of $3 000.</w:t>
      </w:r>
    </w:p>
    <w:p>
      <w:pPr>
        <w:pStyle w:val="BlankClose"/>
      </w:pPr>
    </w:p>
    <w:p>
      <w:pPr>
        <w:pStyle w:val="nzSubsection"/>
      </w:pPr>
      <w:r>
        <w:tab/>
        <w:t>(3)</w:t>
      </w:r>
      <w:r>
        <w:tab/>
        <w:t>In section 35A(3)(b) delete “a proprietor” and insert:</w:t>
      </w:r>
    </w:p>
    <w:p>
      <w:pPr>
        <w:pStyle w:val="BlankOpen"/>
      </w:pPr>
    </w:p>
    <w:p>
      <w:pPr>
        <w:pStyle w:val="nzSubsection"/>
      </w:pPr>
      <w:r>
        <w:tab/>
      </w:r>
      <w:r>
        <w:tab/>
        <w:t>an owner</w:t>
      </w:r>
    </w:p>
    <w:p>
      <w:pPr>
        <w:pStyle w:val="BlankClose"/>
      </w:pPr>
    </w:p>
    <w:p>
      <w:pPr>
        <w:pStyle w:val="nzSubsection"/>
      </w:pPr>
      <w:r>
        <w:tab/>
        <w:t>(4)</w:t>
      </w:r>
      <w:r>
        <w:tab/>
        <w:t>Delete section 35A(4) and insert:</w:t>
      </w:r>
    </w:p>
    <w:p>
      <w:pPr>
        <w:pStyle w:val="BlankOpen"/>
      </w:pPr>
    </w:p>
    <w:p>
      <w:pPr>
        <w:pStyle w:val="nzSubsection"/>
      </w:pPr>
      <w:r>
        <w:tab/>
        <w:t>(4)</w:t>
      </w:r>
      <w:r>
        <w:tab/>
        <w:t>The particulars to be entered in the roll are —</w:t>
      </w:r>
    </w:p>
    <w:p>
      <w:pPr>
        <w:pStyle w:val="nzIndenta"/>
      </w:pPr>
      <w:r>
        <w:tab/>
        <w:t>(a)</w:t>
      </w:r>
      <w:r>
        <w:tab/>
        <w:t>the name of the strata company; and</w:t>
      </w:r>
    </w:p>
    <w:p>
      <w:pPr>
        <w:pStyle w:val="nzIndenta"/>
      </w:pPr>
      <w:r>
        <w:tab/>
        <w:t>(b)</w:t>
      </w:r>
      <w:r>
        <w:tab/>
        <w:t>the name and address for service of each member of the council, or officer, of the strata company; and</w:t>
      </w:r>
    </w:p>
    <w:p>
      <w:pPr>
        <w:pStyle w:val="nzIndenta"/>
      </w:pPr>
      <w:r>
        <w:tab/>
        <w:t>(c)</w:t>
      </w:r>
      <w:r>
        <w:tab/>
        <w:t>the name and address for service of the owner of each lot; and</w:t>
      </w:r>
    </w:p>
    <w:p>
      <w:pPr>
        <w:pStyle w:val="nzIndenta"/>
      </w:pPr>
      <w:r>
        <w:tab/>
        <w:t>(d)</w:t>
      </w:r>
      <w:r>
        <w:tab/>
        <w:t>the name and address for service of each strata manager of the strata company; and</w:t>
      </w:r>
    </w:p>
    <w:p>
      <w:pPr>
        <w:pStyle w:val="nzIndenta"/>
      </w:pPr>
      <w:r>
        <w:tab/>
        <w:t>(e)</w:t>
      </w:r>
      <w:r>
        <w:tab/>
        <w:t>the name and address for service of any lessee or tenant of a lot notified to the strata company; and</w:t>
      </w:r>
    </w:p>
    <w:p>
      <w:pPr>
        <w:pStyle w:val="nzIndenta"/>
      </w:pPr>
      <w:r>
        <w:tab/>
        <w:t>(f)</w:t>
      </w:r>
      <w:r>
        <w:tab/>
        <w:t>the name and address for service of any mortgagee of a lot notified to the strata company.</w:t>
      </w:r>
    </w:p>
    <w:p>
      <w:pPr>
        <w:pStyle w:val="BlankClose"/>
      </w:pPr>
    </w:p>
    <w:p>
      <w:pPr>
        <w:pStyle w:val="nzSubsection"/>
      </w:pPr>
      <w:r>
        <w:tab/>
        <w:t>(5)</w:t>
      </w:r>
      <w:r>
        <w:tab/>
        <w:t>In section 35A(5) delete “shall” and insert:</w:t>
      </w:r>
    </w:p>
    <w:p>
      <w:pPr>
        <w:pStyle w:val="BlankOpen"/>
      </w:pPr>
    </w:p>
    <w:p>
      <w:pPr>
        <w:pStyle w:val="nzSubsection"/>
      </w:pPr>
      <w:r>
        <w:tab/>
      </w:r>
      <w:r>
        <w:tab/>
        <w:t>must</w:t>
      </w:r>
    </w:p>
    <w:p>
      <w:pPr>
        <w:pStyle w:val="BlankClose"/>
      </w:pPr>
    </w:p>
    <w:p>
      <w:pPr>
        <w:pStyle w:val="nzPermNoteHeading"/>
      </w:pPr>
      <w:r>
        <w:tab/>
        <w:t>Note:</w:t>
      </w:r>
    </w:p>
    <w:p>
      <w:pPr>
        <w:pStyle w:val="nzPermNoteText"/>
      </w:pPr>
      <w:r>
        <w:tab/>
      </w:r>
      <w:r>
        <w:tab/>
        <w:t>Section 35A (as amended) is renumbered as section 105 and relocated to Part 8 Division 1 Subdivision 5.</w:t>
      </w:r>
    </w:p>
    <w:p>
      <w:pPr>
        <w:pStyle w:val="nzHeading5"/>
      </w:pPr>
      <w:bookmarkStart w:id="569" w:name="_Toc530474309"/>
      <w:bookmarkStart w:id="570" w:name="_Toc530474904"/>
      <w:r>
        <w:rPr>
          <w:rStyle w:val="CharSectno"/>
        </w:rPr>
        <w:t>49</w:t>
      </w:r>
      <w:r>
        <w:t>.</w:t>
      </w:r>
      <w:r>
        <w:tab/>
        <w:t>Section 36 amended</w:t>
      </w:r>
      <w:bookmarkEnd w:id="569"/>
      <w:bookmarkEnd w:id="570"/>
    </w:p>
    <w:p>
      <w:pPr>
        <w:pStyle w:val="nzSubsection"/>
      </w:pPr>
      <w:r>
        <w:tab/>
        <w:t>(1)</w:t>
      </w:r>
      <w:r>
        <w:tab/>
        <w:t>Delete section 36(1), (1a) and (2) and insert:</w:t>
      </w:r>
    </w:p>
    <w:p>
      <w:pPr>
        <w:pStyle w:val="BlankOpen"/>
      </w:pPr>
    </w:p>
    <w:p>
      <w:pPr>
        <w:pStyle w:val="nzSubsection"/>
      </w:pPr>
      <w:r>
        <w:tab/>
        <w:t>(1)</w:t>
      </w:r>
      <w:r>
        <w:tab/>
        <w:t>A strata company must —</w:t>
      </w:r>
    </w:p>
    <w:p>
      <w:pPr>
        <w:pStyle w:val="nz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nzIndenta"/>
      </w:pPr>
      <w:r>
        <w:tab/>
        <w:t>(b)</w:t>
      </w:r>
      <w:r>
        <w:tab/>
        <w:t>determine the amounts to be raised for payment into the administrative fund; and</w:t>
      </w:r>
    </w:p>
    <w:p>
      <w:pPr>
        <w:pStyle w:val="nzIndenta"/>
      </w:pPr>
      <w:r>
        <w:tab/>
        <w:t>(c)</w:t>
      </w:r>
      <w:r>
        <w:tab/>
        <w:t>raise amounts so determined by levying contributions on owners of lots —</w:t>
      </w:r>
    </w:p>
    <w:p>
      <w:pPr>
        <w:pStyle w:val="nzIndenti"/>
      </w:pPr>
      <w:r>
        <w:tab/>
        <w:t>(i)</w:t>
      </w:r>
      <w:r>
        <w:tab/>
        <w:t>in proportion to the unit entitlements of their respective lots; or</w:t>
      </w:r>
    </w:p>
    <w:p>
      <w:pPr>
        <w:pStyle w:val="nzIndenti"/>
      </w:pPr>
      <w:r>
        <w:tab/>
        <w:t>(ii)</w:t>
      </w:r>
      <w:r>
        <w:tab/>
        <w:t>if the scheme by</w:t>
      </w:r>
      <w:r>
        <w:noBreakHyphen/>
        <w:t>laws provide for a different basis for levying contributions, in accordance with that basis;</w:t>
      </w:r>
    </w:p>
    <w:p>
      <w:pPr>
        <w:pStyle w:val="nzIndenti"/>
      </w:pPr>
      <w:r>
        <w:tab/>
        <w:t>and</w:t>
      </w:r>
    </w:p>
    <w:p>
      <w:pPr>
        <w:pStyle w:val="nz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nzSubsection"/>
      </w:pPr>
      <w:r>
        <w:tab/>
        <w:t>(2)</w:t>
      </w:r>
      <w:r>
        <w:tab/>
        <w:t>A strata company must, if it is a designated strata company, and may, in any other case —</w:t>
      </w:r>
    </w:p>
    <w:p>
      <w:pPr>
        <w:pStyle w:val="nz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nzIndenta"/>
      </w:pPr>
      <w:r>
        <w:tab/>
        <w:t>(b)</w:t>
      </w:r>
      <w:r>
        <w:tab/>
        <w:t>determine the amounts to be raised for payment into the reserve fund; and</w:t>
      </w:r>
    </w:p>
    <w:p>
      <w:pPr>
        <w:pStyle w:val="nzIndenta"/>
      </w:pPr>
      <w:r>
        <w:tab/>
        <w:t>(c)</w:t>
      </w:r>
      <w:r>
        <w:tab/>
        <w:t>may raise amounts so determined by levying contributions on the owners in proportion to the unit entitlements of their respective lots.</w:t>
      </w:r>
    </w:p>
    <w:p>
      <w:pPr>
        <w:pStyle w:val="nzSubsection"/>
      </w:pPr>
      <w:r>
        <w:tab/>
        <w:t>(2A)</w:t>
      </w:r>
      <w:r>
        <w:tab/>
        <w:t>A designated strata company must ensure —</w:t>
      </w:r>
    </w:p>
    <w:p>
      <w:pPr>
        <w:pStyle w:val="nzIndenta"/>
      </w:pPr>
      <w:r>
        <w:tab/>
        <w:t>(a)</w:t>
      </w:r>
      <w:r>
        <w:tab/>
        <w:t>that there is a 10 year plan that sets out —</w:t>
      </w:r>
    </w:p>
    <w:p>
      <w:pPr>
        <w:pStyle w:val="nzIndenti"/>
      </w:pPr>
      <w:r>
        <w:tab/>
        <w:t>(i)</w:t>
      </w:r>
      <w:r>
        <w:tab/>
        <w:t>the common property and the personal property of the strata company that is anticipated to require maintenance, repair, renewal or replacement (other than of a routine nature) in the period covered by the plan; and</w:t>
      </w:r>
    </w:p>
    <w:p>
      <w:pPr>
        <w:pStyle w:val="nzIndenti"/>
      </w:pPr>
      <w:r>
        <w:tab/>
        <w:t>(ii)</w:t>
      </w:r>
      <w:r>
        <w:tab/>
        <w:t>the estimated costs for the maintenance, repairs, renewal or replacement; and</w:t>
      </w:r>
    </w:p>
    <w:p>
      <w:pPr>
        <w:pStyle w:val="nzIndenti"/>
      </w:pPr>
      <w:r>
        <w:tab/>
        <w:t>(iii)</w:t>
      </w:r>
      <w:r>
        <w:tab/>
        <w:t>other information required to be included by the regulations;</w:t>
      </w:r>
    </w:p>
    <w:p>
      <w:pPr>
        <w:pStyle w:val="nzIndenta"/>
      </w:pPr>
      <w:r>
        <w:tab/>
      </w:r>
      <w:r>
        <w:tab/>
        <w:t>and</w:t>
      </w:r>
    </w:p>
    <w:p>
      <w:pPr>
        <w:pStyle w:val="nzIndenta"/>
      </w:pPr>
      <w:r>
        <w:tab/>
        <w:t>(b)</w:t>
      </w:r>
      <w:r>
        <w:tab/>
        <w:t>that the 10 year plan is revised at least once in each 5 years and that, when revised, the plan is extended to cover the 10 years following the revision.</w:t>
      </w:r>
    </w:p>
    <w:p>
      <w:pPr>
        <w:pStyle w:val="BlankClose"/>
      </w:pPr>
    </w:p>
    <w:p>
      <w:pPr>
        <w:pStyle w:val="nzSubsection"/>
      </w:pPr>
      <w:r>
        <w:tab/>
        <w:t>(2)</w:t>
      </w:r>
      <w:r>
        <w:tab/>
        <w:t>In section 36(3):</w:t>
      </w:r>
    </w:p>
    <w:p>
      <w:pPr>
        <w:pStyle w:val="nzIndenta"/>
      </w:pPr>
      <w:r>
        <w:tab/>
        <w:t>(a)</w:t>
      </w:r>
      <w:r>
        <w:tab/>
        <w:t>delete “by</w:t>
      </w:r>
      <w:r>
        <w:noBreakHyphen/>
        <w:t>laws of a strata company” and insert:</w:t>
      </w:r>
    </w:p>
    <w:p>
      <w:pPr>
        <w:pStyle w:val="BlankOpen"/>
      </w:pPr>
    </w:p>
    <w:p>
      <w:pPr>
        <w:pStyle w:val="nzIndenta"/>
      </w:pPr>
      <w:r>
        <w:tab/>
      </w:r>
      <w:r>
        <w:tab/>
        <w:t>scheme by</w:t>
      </w:r>
      <w:r>
        <w:noBreakHyphen/>
        <w:t>laws</w:t>
      </w:r>
    </w:p>
    <w:p>
      <w:pPr>
        <w:pStyle w:val="BlankClose"/>
      </w:pPr>
    </w:p>
    <w:p>
      <w:pPr>
        <w:pStyle w:val="nzIndenta"/>
      </w:pPr>
      <w:r>
        <w:tab/>
        <w:t>(b)</w:t>
      </w:r>
      <w:r>
        <w:tab/>
        <w:t>delete “shall” and insert;</w:t>
      </w:r>
    </w:p>
    <w:p>
      <w:pPr>
        <w:pStyle w:val="BlankOpen"/>
      </w:pPr>
    </w:p>
    <w:p>
      <w:pPr>
        <w:pStyle w:val="nzIndenta"/>
      </w:pPr>
      <w:r>
        <w:tab/>
      </w:r>
      <w:r>
        <w:tab/>
        <w:t>must</w:t>
      </w:r>
    </w:p>
    <w:p>
      <w:pPr>
        <w:pStyle w:val="BlankClose"/>
      </w:pPr>
    </w:p>
    <w:p>
      <w:pPr>
        <w:pStyle w:val="nzIndenta"/>
        <w:rPr>
          <w:snapToGrid w:val="0"/>
        </w:rPr>
      </w:pPr>
      <w:r>
        <w:tab/>
        <w:t>(c)</w:t>
      </w:r>
      <w:r>
        <w:tab/>
        <w:t>delete “</w:t>
      </w:r>
      <w:r>
        <w:rPr>
          <w:snapToGrid w:val="0"/>
          <w:spacing w:val="-4"/>
        </w:rPr>
        <w:t>of proprietors passed at a general meeting o</w:t>
      </w:r>
      <w:r>
        <w:rPr>
          <w:snapToGrid w:val="0"/>
          <w:spacing w:val="40"/>
        </w:rPr>
        <w:t>f</w:t>
      </w:r>
      <w:r>
        <w:rPr>
          <w:snapToGrid w:val="0"/>
          <w:spacing w:val="-4"/>
        </w:rPr>
        <w:t>” and insert:</w:t>
      </w:r>
    </w:p>
    <w:p>
      <w:pPr>
        <w:pStyle w:val="BlankOpen"/>
      </w:pPr>
    </w:p>
    <w:p>
      <w:pPr>
        <w:pStyle w:val="nzIndenta"/>
      </w:pPr>
      <w:r>
        <w:tab/>
      </w:r>
      <w:r>
        <w:tab/>
        <w:t>passed by</w:t>
      </w:r>
    </w:p>
    <w:p>
      <w:pPr>
        <w:pStyle w:val="BlankClose"/>
      </w:pPr>
    </w:p>
    <w:p>
      <w:pPr>
        <w:pStyle w:val="nzSubsection"/>
      </w:pPr>
      <w:r>
        <w:tab/>
        <w:t>(3)</w:t>
      </w:r>
      <w:r>
        <w:tab/>
        <w:t>In section 36(4):</w:t>
      </w:r>
    </w:p>
    <w:p>
      <w:pPr>
        <w:pStyle w:val="nzIndenta"/>
      </w:pPr>
      <w:r>
        <w:tab/>
        <w:t>(a)</w:t>
      </w:r>
      <w:r>
        <w:tab/>
        <w:t>in paragraph (b) delete “prescribed,” and insert:</w:t>
      </w:r>
    </w:p>
    <w:p>
      <w:pPr>
        <w:pStyle w:val="BlankOpen"/>
      </w:pPr>
    </w:p>
    <w:p>
      <w:pPr>
        <w:pStyle w:val="nzIndenta"/>
      </w:pPr>
      <w:r>
        <w:tab/>
      </w:r>
      <w:r>
        <w:tab/>
        <w:t>specified in the regulations,</w:t>
      </w:r>
    </w:p>
    <w:p>
      <w:pPr>
        <w:pStyle w:val="BlankClose"/>
      </w:pPr>
    </w:p>
    <w:p>
      <w:pPr>
        <w:pStyle w:val="nzIndenta"/>
      </w:pPr>
      <w:r>
        <w:tab/>
        <w:t>(b)</w:t>
      </w:r>
      <w:r>
        <w:tab/>
        <w:t>in paragraph (b) delete “shall bear” and insert:</w:t>
      </w:r>
    </w:p>
    <w:p>
      <w:pPr>
        <w:pStyle w:val="BlankOpen"/>
      </w:pPr>
    </w:p>
    <w:p>
      <w:pPr>
        <w:pStyle w:val="nzIndenta"/>
      </w:pPr>
      <w:r>
        <w:tab/>
      </w:r>
      <w:r>
        <w:tab/>
        <w:t>bears</w:t>
      </w:r>
    </w:p>
    <w:p>
      <w:pPr>
        <w:pStyle w:val="BlankClose"/>
      </w:pPr>
    </w:p>
    <w:p>
      <w:pPr>
        <w:pStyle w:val="nzSubsection"/>
      </w:pPr>
      <w:r>
        <w:tab/>
        <w:t>(4)</w:t>
      </w:r>
      <w:r>
        <w:tab/>
        <w:t>In section 36(5) delete “shall form” and insert:</w:t>
      </w:r>
    </w:p>
    <w:p>
      <w:pPr>
        <w:pStyle w:val="BlankOpen"/>
      </w:pPr>
    </w:p>
    <w:p>
      <w:pPr>
        <w:pStyle w:val="nzSubsection"/>
      </w:pPr>
      <w:r>
        <w:tab/>
      </w:r>
      <w:r>
        <w:tab/>
        <w:t>forms</w:t>
      </w:r>
    </w:p>
    <w:p>
      <w:pPr>
        <w:pStyle w:val="BlankClose"/>
      </w:pPr>
    </w:p>
    <w:p>
      <w:pPr>
        <w:pStyle w:val="nzSubsection"/>
      </w:pPr>
      <w:r>
        <w:tab/>
        <w:t>(5)</w:t>
      </w:r>
      <w:r>
        <w:tab/>
        <w:t>In section 36(6):</w:t>
      </w:r>
    </w:p>
    <w:p>
      <w:pPr>
        <w:pStyle w:val="nzIndenta"/>
      </w:pPr>
      <w:r>
        <w:tab/>
        <w:t>(a)</w:t>
      </w:r>
      <w:r>
        <w:tab/>
        <w:t>delete “Subject to section 43(4), a proprietor” and insert:</w:t>
      </w:r>
    </w:p>
    <w:p>
      <w:pPr>
        <w:pStyle w:val="BlankOpen"/>
      </w:pPr>
    </w:p>
    <w:p>
      <w:pPr>
        <w:pStyle w:val="nzIndenta"/>
      </w:pPr>
      <w:r>
        <w:tab/>
      </w:r>
      <w:r>
        <w:tab/>
        <w:t>The owner</w:t>
      </w:r>
    </w:p>
    <w:p>
      <w:pPr>
        <w:pStyle w:val="BlankClose"/>
      </w:pPr>
    </w:p>
    <w:p>
      <w:pPr>
        <w:pStyle w:val="nzIndenta"/>
      </w:pPr>
      <w:r>
        <w:tab/>
        <w:t>(b)</w:t>
      </w:r>
      <w:r>
        <w:tab/>
        <w:t>delete “thereon,” and insert:</w:t>
      </w:r>
    </w:p>
    <w:p>
      <w:pPr>
        <w:pStyle w:val="BlankOpen"/>
      </w:pPr>
    </w:p>
    <w:p>
      <w:pPr>
        <w:pStyle w:val="nzIndenta"/>
      </w:pPr>
      <w:r>
        <w:tab/>
      </w:r>
      <w:r>
        <w:tab/>
        <w:t>on the contribution,</w:t>
      </w:r>
    </w:p>
    <w:p>
      <w:pPr>
        <w:pStyle w:val="BlankClose"/>
      </w:pPr>
    </w:p>
    <w:p>
      <w:pPr>
        <w:pStyle w:val="nzIndenta"/>
      </w:pPr>
      <w:r>
        <w:tab/>
        <w:t>(c)</w:t>
      </w:r>
      <w:r>
        <w:tab/>
        <w:t>delete “proprietor” (each occurrence) and insert:</w:t>
      </w:r>
    </w:p>
    <w:p>
      <w:pPr>
        <w:pStyle w:val="BlankOpen"/>
      </w:pPr>
    </w:p>
    <w:p>
      <w:pPr>
        <w:pStyle w:val="nzIndenta"/>
      </w:pPr>
      <w:r>
        <w:tab/>
      </w:r>
      <w:r>
        <w:tab/>
        <w:t>owner</w:t>
      </w:r>
    </w:p>
    <w:p>
      <w:pPr>
        <w:pStyle w:val="BlankClose"/>
      </w:pPr>
    </w:p>
    <w:p>
      <w:pPr>
        <w:pStyle w:val="nzIndenta"/>
      </w:pPr>
      <w:r>
        <w:tab/>
        <w:t>(d)</w:t>
      </w:r>
      <w:r>
        <w:tab/>
        <w:t>delete “he” and insert:</w:t>
      </w:r>
    </w:p>
    <w:p>
      <w:pPr>
        <w:pStyle w:val="BlankOpen"/>
      </w:pPr>
    </w:p>
    <w:p>
      <w:pPr>
        <w:pStyle w:val="nzIndenta"/>
      </w:pPr>
      <w:r>
        <w:tab/>
      </w:r>
      <w:r>
        <w:tab/>
        <w:t>the owner</w:t>
      </w:r>
    </w:p>
    <w:p>
      <w:pPr>
        <w:pStyle w:val="BlankClose"/>
      </w:pPr>
    </w:p>
    <w:p>
      <w:pPr>
        <w:pStyle w:val="nzSubsection"/>
      </w:pPr>
      <w:r>
        <w:tab/>
        <w:t>(6)</w:t>
      </w:r>
      <w:r>
        <w:tab/>
        <w:t>After section 36(6) insert:</w:t>
      </w:r>
    </w:p>
    <w:p>
      <w:pPr>
        <w:pStyle w:val="BlankOpen"/>
      </w:pPr>
    </w:p>
    <w:p>
      <w:pPr>
        <w:pStyle w:val="nzSubsection"/>
      </w:pPr>
      <w:r>
        <w:tab/>
        <w:t>(7)</w:t>
      </w:r>
      <w:r>
        <w:tab/>
        <w:t>In this section —</w:t>
      </w:r>
    </w:p>
    <w:p>
      <w:pPr>
        <w:pStyle w:val="nzDefstart"/>
      </w:pPr>
      <w:r>
        <w:tab/>
      </w:r>
      <w:r>
        <w:rPr>
          <w:rStyle w:val="CharDefText"/>
        </w:rPr>
        <w:t>designated strata company</w:t>
      </w:r>
      <w:r>
        <w:t xml:space="preserve"> means —</w:t>
      </w:r>
    </w:p>
    <w:p>
      <w:pPr>
        <w:pStyle w:val="nzDefpara"/>
      </w:pPr>
      <w:r>
        <w:tab/>
        <w:t>(a)</w:t>
      </w:r>
      <w:r>
        <w:tab/>
        <w:t>a strata company for a scheme with 10 or more lots; or</w:t>
      </w:r>
    </w:p>
    <w:p>
      <w:pPr>
        <w:pStyle w:val="nzDefpara"/>
      </w:pPr>
      <w:r>
        <w:tab/>
        <w:t>(b)</w:t>
      </w:r>
      <w:r>
        <w:tab/>
        <w:t>a strata company included in this definition by the regulations.</w:t>
      </w:r>
    </w:p>
    <w:p>
      <w:pPr>
        <w:pStyle w:val="BlankClose"/>
      </w:pPr>
    </w:p>
    <w:p>
      <w:pPr>
        <w:pStyle w:val="nzSectAltNote"/>
      </w:pPr>
      <w:r>
        <w:tab/>
        <w:t>Note:</w:t>
      </w:r>
      <w:r>
        <w:tab/>
        <w:t>The heading to amended section 36 is to read:</w:t>
      </w:r>
    </w:p>
    <w:p>
      <w:pPr>
        <w:pStyle w:val="nzSectAltHeading"/>
      </w:pPr>
      <w:r>
        <w:rPr>
          <w:b w:val="0"/>
        </w:rPr>
        <w:tab/>
      </w:r>
      <w:r>
        <w:rPr>
          <w:b w:val="0"/>
        </w:rPr>
        <w:tab/>
      </w:r>
      <w:r>
        <w:t>Administrative and reserve funds and contributions</w:t>
      </w:r>
    </w:p>
    <w:p>
      <w:pPr>
        <w:pStyle w:val="nzPermNoteHeading"/>
      </w:pPr>
      <w:r>
        <w:tab/>
        <w:t>Note:</w:t>
      </w:r>
    </w:p>
    <w:p>
      <w:pPr>
        <w:pStyle w:val="nzPermNoteText"/>
      </w:pPr>
      <w:r>
        <w:tab/>
      </w:r>
      <w:r>
        <w:tab/>
        <w:t>Section 36 (as amended) is renumbered as section 100 and relocated to Part 8 Division 1 Subdivision 3.</w:t>
      </w:r>
    </w:p>
    <w:p>
      <w:pPr>
        <w:pStyle w:val="nzHeading5"/>
      </w:pPr>
      <w:bookmarkStart w:id="571" w:name="_Toc530474310"/>
      <w:bookmarkStart w:id="572" w:name="_Toc530474905"/>
      <w:r>
        <w:rPr>
          <w:rStyle w:val="CharSectno"/>
        </w:rPr>
        <w:t>50</w:t>
      </w:r>
      <w:r>
        <w:t>.</w:t>
      </w:r>
      <w:r>
        <w:tab/>
        <w:t>Section 37 amended</w:t>
      </w:r>
      <w:bookmarkEnd w:id="571"/>
      <w:bookmarkEnd w:id="572"/>
    </w:p>
    <w:p>
      <w:pPr>
        <w:pStyle w:val="nzSubsection"/>
      </w:pPr>
      <w:r>
        <w:tab/>
        <w:t>(1)</w:t>
      </w:r>
      <w:r>
        <w:tab/>
        <w:t>In section 37(1):</w:t>
      </w:r>
    </w:p>
    <w:p>
      <w:pPr>
        <w:pStyle w:val="nzIndenta"/>
      </w:pPr>
      <w:r>
        <w:tab/>
        <w:t>(a)</w:t>
      </w:r>
      <w:r>
        <w:tab/>
        <w:t>delete “A” and insert:</w:t>
      </w:r>
    </w:p>
    <w:p>
      <w:pPr>
        <w:pStyle w:val="BlankOpen"/>
      </w:pPr>
    </w:p>
    <w:p>
      <w:pPr>
        <w:pStyle w:val="nzIndenta"/>
      </w:pPr>
      <w:r>
        <w:tab/>
      </w:r>
      <w:r>
        <w:tab/>
        <w:t>Without limiting the powers of a strata company to perform its functions, a</w:t>
      </w:r>
    </w:p>
    <w:p>
      <w:pPr>
        <w:pStyle w:val="BlankClose"/>
      </w:pPr>
    </w:p>
    <w:p>
      <w:pPr>
        <w:pStyle w:val="nzIndenta"/>
      </w:pPr>
      <w:r>
        <w:tab/>
        <w:t>(b)</w:t>
      </w:r>
      <w:r>
        <w:tab/>
        <w:t>in paragraph (a) delete “proprietors” and insert:</w:t>
      </w:r>
    </w:p>
    <w:p>
      <w:pPr>
        <w:pStyle w:val="BlankOpen"/>
      </w:pPr>
    </w:p>
    <w:p>
      <w:pPr>
        <w:pStyle w:val="nzIndenta"/>
      </w:pPr>
      <w:r>
        <w:tab/>
      </w:r>
      <w:r>
        <w:tab/>
        <w:t>owners of lots</w:t>
      </w:r>
    </w:p>
    <w:p>
      <w:pPr>
        <w:pStyle w:val="BlankClose"/>
        <w:keepNext/>
      </w:pPr>
    </w:p>
    <w:p>
      <w:pPr>
        <w:pStyle w:val="nzIndenta"/>
      </w:pPr>
      <w:r>
        <w:tab/>
        <w:t>(c)</w:t>
      </w:r>
      <w:r>
        <w:tab/>
        <w:t>in paragraph (c) delete “moneys” and insert:</w:t>
      </w:r>
    </w:p>
    <w:p>
      <w:pPr>
        <w:pStyle w:val="BlankOpen"/>
      </w:pPr>
    </w:p>
    <w:p>
      <w:pPr>
        <w:pStyle w:val="nzIndenta"/>
      </w:pPr>
      <w:r>
        <w:tab/>
      </w:r>
      <w:r>
        <w:tab/>
        <w:t>money</w:t>
      </w:r>
    </w:p>
    <w:p>
      <w:pPr>
        <w:pStyle w:val="BlankClose"/>
      </w:pPr>
    </w:p>
    <w:p>
      <w:pPr>
        <w:pStyle w:val="nzIndenta"/>
      </w:pPr>
      <w:r>
        <w:tab/>
        <w:t>(d)</w:t>
      </w:r>
      <w:r>
        <w:tab/>
        <w:t>in paragraph (d) delete “moneys” and insert:</w:t>
      </w:r>
    </w:p>
    <w:p>
      <w:pPr>
        <w:pStyle w:val="BlankOpen"/>
      </w:pPr>
    </w:p>
    <w:p>
      <w:pPr>
        <w:pStyle w:val="nzIndenta"/>
      </w:pPr>
      <w:r>
        <w:tab/>
      </w:r>
      <w:r>
        <w:tab/>
        <w:t>money</w:t>
      </w:r>
    </w:p>
    <w:p>
      <w:pPr>
        <w:pStyle w:val="BlankClose"/>
      </w:pPr>
    </w:p>
    <w:p>
      <w:pPr>
        <w:pStyle w:val="nzIndenta"/>
      </w:pPr>
      <w:r>
        <w:tab/>
        <w:t>(e)</w:t>
      </w:r>
      <w:r>
        <w:tab/>
        <w:t>in paragraph (d) delete “thereon,” and insert:</w:t>
      </w:r>
    </w:p>
    <w:p>
      <w:pPr>
        <w:pStyle w:val="BlankOpen"/>
      </w:pPr>
    </w:p>
    <w:p>
      <w:pPr>
        <w:pStyle w:val="nzIndenta"/>
      </w:pPr>
      <w:r>
        <w:tab/>
      </w:r>
      <w:r>
        <w:tab/>
        <w:t>on that money,</w:t>
      </w:r>
    </w:p>
    <w:p>
      <w:pPr>
        <w:pStyle w:val="BlankClose"/>
      </w:pPr>
    </w:p>
    <w:p>
      <w:pPr>
        <w:pStyle w:val="nzIndenta"/>
      </w:pPr>
      <w:r>
        <w:tab/>
        <w:t>(f)</w:t>
      </w:r>
      <w:r>
        <w:tab/>
        <w:t>in paragraph (d) delete “vested in” and insert:</w:t>
      </w:r>
    </w:p>
    <w:p>
      <w:pPr>
        <w:pStyle w:val="BlankOpen"/>
      </w:pPr>
    </w:p>
    <w:p>
      <w:pPr>
        <w:pStyle w:val="nzIndenta"/>
      </w:pPr>
      <w:r>
        <w:tab/>
      </w:r>
      <w:r>
        <w:tab/>
        <w:t>owned by</w:t>
      </w:r>
    </w:p>
    <w:p>
      <w:pPr>
        <w:pStyle w:val="BlankClose"/>
      </w:pPr>
    </w:p>
    <w:p>
      <w:pPr>
        <w:pStyle w:val="nzIndenta"/>
      </w:pPr>
      <w:r>
        <w:tab/>
        <w:t>(g)</w:t>
      </w:r>
      <w:r>
        <w:tab/>
        <w:t>in paragraph (e) delete “any moneys” and insert:</w:t>
      </w:r>
    </w:p>
    <w:p>
      <w:pPr>
        <w:pStyle w:val="BlankOpen"/>
      </w:pPr>
    </w:p>
    <w:p>
      <w:pPr>
        <w:pStyle w:val="nzIndenta"/>
      </w:pPr>
      <w:r>
        <w:tab/>
      </w:r>
      <w:r>
        <w:tab/>
        <w:t>money</w:t>
      </w:r>
    </w:p>
    <w:p>
      <w:pPr>
        <w:pStyle w:val="BlankClose"/>
      </w:pPr>
    </w:p>
    <w:p>
      <w:pPr>
        <w:pStyle w:val="nzIndenta"/>
      </w:pPr>
      <w:r>
        <w:tab/>
        <w:t>(h)</w:t>
      </w:r>
      <w:r>
        <w:tab/>
        <w:t>in paragraph (e) delete “any” (1</w:t>
      </w:r>
      <w:r>
        <w:rPr>
          <w:vertAlign w:val="superscript"/>
        </w:rPr>
        <w:t>st</w:t>
      </w:r>
      <w:r>
        <w:t xml:space="preserve"> occurrence) and insert:</w:t>
      </w:r>
    </w:p>
    <w:p>
      <w:pPr>
        <w:pStyle w:val="BlankOpen"/>
      </w:pPr>
    </w:p>
    <w:p>
      <w:pPr>
        <w:pStyle w:val="nzIndenta"/>
      </w:pPr>
      <w:r>
        <w:tab/>
      </w:r>
      <w:r>
        <w:tab/>
        <w:t>the</w:t>
      </w:r>
    </w:p>
    <w:p>
      <w:pPr>
        <w:pStyle w:val="BlankClose"/>
      </w:pPr>
    </w:p>
    <w:p>
      <w:pPr>
        <w:pStyle w:val="nzIndenta"/>
      </w:pPr>
      <w:r>
        <w:tab/>
        <w:t>(i)</w:t>
      </w:r>
      <w:r>
        <w:tab/>
        <w:t>in paragraph (e) delete “in any investment prescribed; and” and insert:</w:t>
      </w:r>
    </w:p>
    <w:p>
      <w:pPr>
        <w:pStyle w:val="BlankOpen"/>
      </w:pPr>
    </w:p>
    <w:p>
      <w:pPr>
        <w:pStyle w:val="nzIndenta"/>
      </w:pPr>
      <w:r>
        <w:tab/>
      </w:r>
      <w:r>
        <w:tab/>
        <w:t>by the regulations; and</w:t>
      </w:r>
    </w:p>
    <w:p>
      <w:pPr>
        <w:pStyle w:val="BlankClose"/>
      </w:pPr>
    </w:p>
    <w:p>
      <w:pPr>
        <w:pStyle w:val="nzIndenta"/>
      </w:pPr>
      <w:r>
        <w:tab/>
        <w:t>(j)</w:t>
      </w:r>
      <w:r>
        <w:tab/>
        <w:t>in paragraph (f) delete “where” and insert:</w:t>
      </w:r>
    </w:p>
    <w:p>
      <w:pPr>
        <w:pStyle w:val="BlankOpen"/>
      </w:pPr>
    </w:p>
    <w:p>
      <w:pPr>
        <w:pStyle w:val="nzIndenta"/>
      </w:pPr>
      <w:r>
        <w:tab/>
      </w:r>
      <w:r>
        <w:tab/>
        <w:t>if</w:t>
      </w:r>
    </w:p>
    <w:p>
      <w:pPr>
        <w:pStyle w:val="BlankClose"/>
      </w:pPr>
    </w:p>
    <w:p>
      <w:pPr>
        <w:pStyle w:val="nzIndenta"/>
      </w:pPr>
      <w:r>
        <w:tab/>
        <w:t>(k)</w:t>
      </w:r>
      <w:r>
        <w:tab/>
        <w:t>in paragraph (f) delete “any” and insert:</w:t>
      </w:r>
    </w:p>
    <w:p>
      <w:pPr>
        <w:pStyle w:val="BlankOpen"/>
      </w:pPr>
    </w:p>
    <w:p>
      <w:pPr>
        <w:pStyle w:val="nzIndenta"/>
      </w:pPr>
      <w:r>
        <w:tab/>
      </w:r>
      <w:r>
        <w:tab/>
        <w:t>an</w:t>
      </w:r>
    </w:p>
    <w:p>
      <w:pPr>
        <w:pStyle w:val="BlankClose"/>
      </w:pPr>
    </w:p>
    <w:p>
      <w:pPr>
        <w:pStyle w:val="nzIndenta"/>
        <w:rPr>
          <w:snapToGrid w:val="0"/>
        </w:rPr>
      </w:pPr>
      <w:r>
        <w:tab/>
        <w:t>(l)</w:t>
      </w:r>
      <w:r>
        <w:tab/>
        <w:t>in paragraph (g) delete “</w:t>
      </w:r>
      <w:r>
        <w:rPr>
          <w:snapToGrid w:val="0"/>
        </w:rPr>
        <w:t>make an agreement with any proprietor” and insert:</w:t>
      </w:r>
    </w:p>
    <w:p>
      <w:pPr>
        <w:pStyle w:val="BlankOpen"/>
      </w:pPr>
    </w:p>
    <w:p>
      <w:pPr>
        <w:pStyle w:val="nzIndenta"/>
      </w:pPr>
      <w:r>
        <w:tab/>
      </w:r>
      <w:r>
        <w:tab/>
      </w:r>
      <w:r>
        <w:rPr>
          <w:snapToGrid w:val="0"/>
        </w:rPr>
        <w:t>make</w:t>
      </w:r>
      <w:r>
        <w:t xml:space="preserve"> a contract </w:t>
      </w:r>
      <w:r>
        <w:rPr>
          <w:snapToGrid w:val="0"/>
        </w:rPr>
        <w:t>with the owner</w:t>
      </w:r>
    </w:p>
    <w:p>
      <w:pPr>
        <w:pStyle w:val="BlankClose"/>
      </w:pPr>
    </w:p>
    <w:p>
      <w:pPr>
        <w:pStyle w:val="nzIndenta"/>
      </w:pPr>
      <w:r>
        <w:tab/>
        <w:t>(m)</w:t>
      </w:r>
      <w:r>
        <w:tab/>
        <w:t>in paragraph (g) delete “</w:t>
      </w:r>
      <w:r>
        <w:rPr>
          <w:snapToGrid w:val="0"/>
        </w:rPr>
        <w:t>that lot or to the proprietor or occupier of that lot; and” and insert:</w:t>
      </w:r>
    </w:p>
    <w:p>
      <w:pPr>
        <w:pStyle w:val="BlankOpen"/>
      </w:pPr>
    </w:p>
    <w:p>
      <w:pPr>
        <w:pStyle w:val="nzIndenta"/>
      </w:pPr>
      <w:r>
        <w:tab/>
      </w:r>
      <w:r>
        <w:tab/>
        <w:t>the lot or to the owner or occupier; and</w:t>
      </w:r>
    </w:p>
    <w:p>
      <w:pPr>
        <w:pStyle w:val="BlankClose"/>
      </w:pPr>
    </w:p>
    <w:p>
      <w:pPr>
        <w:pStyle w:val="nzIndenta"/>
      </w:pPr>
      <w:r>
        <w:tab/>
        <w:t>(n)</w:t>
      </w:r>
      <w:r>
        <w:tab/>
        <w:t>in paragraph (h) delete “vessels.” and insert:</w:t>
      </w:r>
    </w:p>
    <w:p>
      <w:pPr>
        <w:pStyle w:val="BlankOpen"/>
      </w:pPr>
    </w:p>
    <w:p>
      <w:pPr>
        <w:pStyle w:val="nzIndenta"/>
      </w:pPr>
      <w:r>
        <w:tab/>
      </w:r>
      <w:r>
        <w:tab/>
        <w:t>vessels; and</w:t>
      </w:r>
    </w:p>
    <w:p>
      <w:pPr>
        <w:pStyle w:val="BlankClose"/>
      </w:pPr>
    </w:p>
    <w:p>
      <w:pPr>
        <w:pStyle w:val="nzIndenta"/>
      </w:pPr>
      <w:r>
        <w:tab/>
        <w:t>(o)</w:t>
      </w:r>
      <w:r>
        <w:tab/>
        <w:t>after paragraph (h) insert:</w:t>
      </w:r>
    </w:p>
    <w:p>
      <w:pPr>
        <w:pStyle w:val="BlankOpen"/>
      </w:pPr>
    </w:p>
    <w:p>
      <w:pPr>
        <w:pStyle w:val="nzIndenta"/>
      </w:pPr>
      <w:r>
        <w:tab/>
        <w:t>(i)</w:t>
      </w:r>
      <w:r>
        <w:tab/>
        <w:t>grant a lease, licence or other rights over common property for the purpose of utility infrastructure or sustainability infrastructure; and</w:t>
      </w:r>
    </w:p>
    <w:p>
      <w:pPr>
        <w:pStyle w:val="nz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nzIndenta"/>
      </w:pPr>
      <w:r>
        <w:tab/>
        <w:t>(k)</w:t>
      </w:r>
      <w:r>
        <w:tab/>
        <w:t>arrange for the auditing of any accounting records.</w:t>
      </w:r>
    </w:p>
    <w:p>
      <w:pPr>
        <w:pStyle w:val="BlankClose"/>
      </w:pPr>
    </w:p>
    <w:p>
      <w:pPr>
        <w:pStyle w:val="nzSubsection"/>
      </w:pPr>
      <w:r>
        <w:tab/>
        <w:t>(2)</w:t>
      </w:r>
      <w:r>
        <w:tab/>
        <w:t>In section 37(2) delete “shall form” and insert:</w:t>
      </w:r>
    </w:p>
    <w:p>
      <w:pPr>
        <w:pStyle w:val="BlankOpen"/>
      </w:pPr>
    </w:p>
    <w:p>
      <w:pPr>
        <w:pStyle w:val="nzSubsection"/>
      </w:pPr>
      <w:r>
        <w:tab/>
      </w:r>
      <w:r>
        <w:tab/>
        <w:t>forms</w:t>
      </w:r>
    </w:p>
    <w:p>
      <w:pPr>
        <w:pStyle w:val="BlankClose"/>
      </w:pPr>
    </w:p>
    <w:p>
      <w:pPr>
        <w:pStyle w:val="nzSectAltNote"/>
      </w:pPr>
      <w:r>
        <w:tab/>
        <w:t>Note:</w:t>
      </w:r>
      <w:r>
        <w:tab/>
        <w:t>The heading to amended section 37 is to read:</w:t>
      </w:r>
    </w:p>
    <w:p>
      <w:pPr>
        <w:pStyle w:val="nzSectAltHeading"/>
      </w:pPr>
      <w:r>
        <w:rPr>
          <w:b w:val="0"/>
        </w:rPr>
        <w:tab/>
      </w:r>
      <w:r>
        <w:rPr>
          <w:b w:val="0"/>
        </w:rPr>
        <w:tab/>
      </w:r>
      <w:r>
        <w:t>Powers of strata company generally</w:t>
      </w:r>
    </w:p>
    <w:p>
      <w:pPr>
        <w:pStyle w:val="nzPermNoteHeading"/>
      </w:pPr>
      <w:r>
        <w:tab/>
        <w:t>Note:</w:t>
      </w:r>
    </w:p>
    <w:p>
      <w:pPr>
        <w:pStyle w:val="nzPermNoteText"/>
      </w:pPr>
      <w:r>
        <w:tab/>
      </w:r>
      <w:r>
        <w:tab/>
        <w:t>Section 37 (as amended) is renumbered as section 116 and relocated to Part 8 Division 1 Subdivision 7.</w:t>
      </w:r>
    </w:p>
    <w:p>
      <w:pPr>
        <w:pStyle w:val="nzHeading5"/>
      </w:pPr>
      <w:bookmarkStart w:id="573" w:name="_Toc530474311"/>
      <w:bookmarkStart w:id="574" w:name="_Toc530474906"/>
      <w:r>
        <w:rPr>
          <w:rStyle w:val="CharSectno"/>
        </w:rPr>
        <w:t>51</w:t>
      </w:r>
      <w:r>
        <w:t>.</w:t>
      </w:r>
      <w:r>
        <w:tab/>
        <w:t>Section 38 amended</w:t>
      </w:r>
      <w:bookmarkEnd w:id="573"/>
      <w:bookmarkEnd w:id="574"/>
    </w:p>
    <w:p>
      <w:pPr>
        <w:pStyle w:val="nzSubsection"/>
      </w:pPr>
      <w:r>
        <w:tab/>
        <w:t>(1)</w:t>
      </w:r>
      <w:r>
        <w:tab/>
        <w:t>Delete section 38(1) and (2) and insert:</w:t>
      </w:r>
    </w:p>
    <w:p>
      <w:pPr>
        <w:pStyle w:val="BlankOpen"/>
      </w:pPr>
    </w:p>
    <w:p>
      <w:pPr>
        <w:pStyle w:val="nz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nzSubsection"/>
      </w:pPr>
      <w:r>
        <w:tab/>
        <w:t>(2)</w:t>
      </w:r>
      <w:r>
        <w:tab/>
        <w:t>A strata company may carry out work that an owner or occupier of a lot fails or neglects to carry out if the work is —</w:t>
      </w:r>
    </w:p>
    <w:p>
      <w:pPr>
        <w:pStyle w:val="nzIndenta"/>
      </w:pPr>
      <w:r>
        <w:tab/>
        <w:t>(a)</w:t>
      </w:r>
      <w:r>
        <w:tab/>
        <w:t>required to be carried out by that person under a term or condition of exclusive use by</w:t>
      </w:r>
      <w:r>
        <w:noBreakHyphen/>
        <w:t>laws; or</w:t>
      </w:r>
    </w:p>
    <w:p>
      <w:pPr>
        <w:pStyle w:val="nzIndenta"/>
      </w:pPr>
      <w:r>
        <w:tab/>
        <w:t>(b)</w:t>
      </w:r>
      <w:r>
        <w:tab/>
        <w:t>necessary to remedy a contravention of a duty that the person has under a statutory easement.</w:t>
      </w:r>
    </w:p>
    <w:p>
      <w:pPr>
        <w:pStyle w:val="BlankClose"/>
      </w:pPr>
    </w:p>
    <w:p>
      <w:pPr>
        <w:pStyle w:val="nzSubsection"/>
      </w:pPr>
      <w:r>
        <w:tab/>
        <w:t>(2)</w:t>
      </w:r>
      <w:r>
        <w:tab/>
        <w:t>In section 38(3):</w:t>
      </w:r>
    </w:p>
    <w:p>
      <w:pPr>
        <w:pStyle w:val="nzIndenta"/>
      </w:pPr>
      <w:r>
        <w:tab/>
        <w:t>(a)</w:t>
      </w:r>
      <w:r>
        <w:tab/>
        <w:t>delete “Where a proprietor, mortgagee in possession,” and insert:</w:t>
      </w:r>
    </w:p>
    <w:p>
      <w:pPr>
        <w:pStyle w:val="BlankOpen"/>
      </w:pPr>
    </w:p>
    <w:p>
      <w:pPr>
        <w:pStyle w:val="nzIndenta"/>
      </w:pPr>
      <w:r>
        <w:tab/>
      </w:r>
      <w:r>
        <w:tab/>
        <w:t>If an owner</w:t>
      </w:r>
    </w:p>
    <w:p>
      <w:pPr>
        <w:pStyle w:val="BlankClose"/>
      </w:pPr>
    </w:p>
    <w:p>
      <w:pPr>
        <w:pStyle w:val="nzIndenta"/>
      </w:pPr>
      <w:r>
        <w:tab/>
        <w:t>(b)</w:t>
      </w:r>
      <w:r>
        <w:tab/>
        <w:t>delete “ any”.</w:t>
      </w:r>
    </w:p>
    <w:p>
      <w:pPr>
        <w:pStyle w:val="nzSubsection"/>
      </w:pPr>
      <w:r>
        <w:tab/>
        <w:t>(3)</w:t>
      </w:r>
      <w:r>
        <w:tab/>
        <w:t>Delete section 38(4) and insert:</w:t>
      </w:r>
    </w:p>
    <w:p>
      <w:pPr>
        <w:pStyle w:val="BlankOpen"/>
      </w:pPr>
    </w:p>
    <w:p>
      <w:pPr>
        <w:pStyle w:val="nz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nzIndenta"/>
      </w:pPr>
      <w:r>
        <w:tab/>
        <w:t>(a)</w:t>
      </w:r>
      <w:r>
        <w:tab/>
        <w:t>from the owner or occupier referred to in subsection (1) or (2); or</w:t>
      </w:r>
    </w:p>
    <w:p>
      <w:pPr>
        <w:pStyle w:val="nzIndenta"/>
      </w:pPr>
      <w:r>
        <w:tab/>
        <w:t>(b)</w:t>
      </w:r>
      <w:r>
        <w:tab/>
        <w:t>if the work is carried out under —</w:t>
      </w:r>
    </w:p>
    <w:p>
      <w:pPr>
        <w:pStyle w:val="nzIndenti"/>
      </w:pPr>
      <w:r>
        <w:tab/>
        <w:t>(i)</w:t>
      </w:r>
      <w:r>
        <w:tab/>
        <w:t>subsection (1), from a person who, after the work is carried out, becomes the owner of the lot on or in relation to which the work was carried out; or</w:t>
      </w:r>
    </w:p>
    <w:p>
      <w:pPr>
        <w:pStyle w:val="nzIndenti"/>
      </w:pPr>
      <w:r>
        <w:tab/>
        <w:t>(ii)</w:t>
      </w:r>
      <w:r>
        <w:tab/>
        <w:t>subsection (2), from a person who, after the work is carried out, becomes the owner of the lot referred to in subsection (2).</w:t>
      </w:r>
    </w:p>
    <w:p>
      <w:pPr>
        <w:pStyle w:val="BlankClose"/>
      </w:pPr>
    </w:p>
    <w:p>
      <w:pPr>
        <w:pStyle w:val="nzSubsection"/>
      </w:pPr>
      <w:r>
        <w:tab/>
        <w:t>(4)</w:t>
      </w:r>
      <w:r>
        <w:tab/>
        <w:t>In section 38(5) delete “Where” and insert:</w:t>
      </w:r>
    </w:p>
    <w:p>
      <w:pPr>
        <w:pStyle w:val="BlankOpen"/>
      </w:pPr>
    </w:p>
    <w:p>
      <w:pPr>
        <w:pStyle w:val="nzSubsection"/>
      </w:pPr>
      <w:r>
        <w:tab/>
      </w:r>
      <w:r>
        <w:tab/>
        <w:t>If</w:t>
      </w:r>
    </w:p>
    <w:p>
      <w:pPr>
        <w:pStyle w:val="BlankClose"/>
      </w:pPr>
    </w:p>
    <w:p>
      <w:pPr>
        <w:pStyle w:val="nzSubsection"/>
      </w:pPr>
      <w:r>
        <w:tab/>
        <w:t>(5)</w:t>
      </w:r>
      <w:r>
        <w:tab/>
        <w:t>Delete section 38(6) and insert:</w:t>
      </w:r>
    </w:p>
    <w:p>
      <w:pPr>
        <w:pStyle w:val="BlankOpen"/>
      </w:pPr>
    </w:p>
    <w:p>
      <w:pPr>
        <w:pStyle w:val="nz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BlankClose"/>
      </w:pPr>
    </w:p>
    <w:p>
      <w:pPr>
        <w:pStyle w:val="nzPermNoteHeading"/>
      </w:pPr>
      <w:r>
        <w:tab/>
        <w:t>Note:</w:t>
      </w:r>
    </w:p>
    <w:p>
      <w:pPr>
        <w:pStyle w:val="nzPermNoteText"/>
      </w:pPr>
      <w:r>
        <w:tab/>
      </w:r>
      <w:r>
        <w:tab/>
        <w:t>Section 38 (as amended) is renumbered as section 94 and relocated to Part 8 Division 1 Subdivision 1.</w:t>
      </w:r>
    </w:p>
    <w:p>
      <w:pPr>
        <w:pStyle w:val="nzHeading5"/>
      </w:pPr>
      <w:bookmarkStart w:id="575" w:name="_Toc530474312"/>
      <w:bookmarkStart w:id="576" w:name="_Toc530474907"/>
      <w:r>
        <w:rPr>
          <w:rStyle w:val="CharSectno"/>
        </w:rPr>
        <w:t>52</w:t>
      </w:r>
      <w:r>
        <w:t>.</w:t>
      </w:r>
      <w:r>
        <w:tab/>
        <w:t>Section 39A amended</w:t>
      </w:r>
      <w:bookmarkEnd w:id="575"/>
      <w:bookmarkEnd w:id="576"/>
    </w:p>
    <w:p>
      <w:pPr>
        <w:pStyle w:val="nzSubsection"/>
      </w:pPr>
      <w:r>
        <w:tab/>
        <w:t>(1)</w:t>
      </w:r>
      <w:r>
        <w:tab/>
        <w:t>In section 39A(1):</w:t>
      </w:r>
    </w:p>
    <w:p>
      <w:pPr>
        <w:pStyle w:val="nzIndenta"/>
      </w:pPr>
      <w:r>
        <w:tab/>
        <w:t>(a)</w:t>
      </w:r>
      <w:r>
        <w:tab/>
        <w:t>delete “agreement” (1</w:t>
      </w:r>
      <w:r>
        <w:rPr>
          <w:vertAlign w:val="superscript"/>
        </w:rPr>
        <w:t>st</w:t>
      </w:r>
      <w:r>
        <w:t xml:space="preserve"> occurrence) and insert:</w:t>
      </w:r>
    </w:p>
    <w:p>
      <w:pPr>
        <w:pStyle w:val="BlankOpen"/>
      </w:pPr>
    </w:p>
    <w:p>
      <w:pPr>
        <w:pStyle w:val="nzIndenta"/>
      </w:pPr>
      <w:r>
        <w:tab/>
      </w:r>
      <w:r>
        <w:tab/>
        <w:t>contract</w:t>
      </w:r>
    </w:p>
    <w:p>
      <w:pPr>
        <w:pStyle w:val="BlankClose"/>
      </w:pPr>
    </w:p>
    <w:p>
      <w:pPr>
        <w:pStyle w:val="nzIndenta"/>
      </w:pPr>
      <w:r>
        <w:tab/>
        <w:t>(b)</w:t>
      </w:r>
      <w:r>
        <w:tab/>
        <w:t>delete “</w:t>
      </w:r>
      <w:r>
        <w:rPr>
          <w:snapToGrid w:val="0"/>
        </w:rPr>
        <w:t>agreement, by notice in writing to every other party to the agreement,” and insert:</w:t>
      </w:r>
    </w:p>
    <w:p>
      <w:pPr>
        <w:pStyle w:val="BlankOpen"/>
      </w:pPr>
    </w:p>
    <w:p>
      <w:pPr>
        <w:pStyle w:val="nzIndenta"/>
        <w:rPr>
          <w:snapToGrid w:val="0"/>
        </w:rPr>
      </w:pPr>
      <w:r>
        <w:tab/>
      </w:r>
      <w:r>
        <w:tab/>
        <w:t xml:space="preserve">contract, by written notice </w:t>
      </w:r>
      <w:r>
        <w:rPr>
          <w:snapToGrid w:val="0"/>
        </w:rPr>
        <w:t>to every other party to the contract,</w:t>
      </w:r>
    </w:p>
    <w:p>
      <w:pPr>
        <w:pStyle w:val="BlankClose"/>
      </w:pPr>
    </w:p>
    <w:p>
      <w:pPr>
        <w:pStyle w:val="nzIndenta"/>
      </w:pPr>
      <w:r>
        <w:tab/>
        <w:t>(c)</w:t>
      </w:r>
      <w:r>
        <w:tab/>
        <w:t>delete “agreement was entered into.” and insert:</w:t>
      </w:r>
    </w:p>
    <w:p>
      <w:pPr>
        <w:pStyle w:val="BlankOpen"/>
      </w:pPr>
    </w:p>
    <w:p>
      <w:pPr>
        <w:pStyle w:val="nzIndenta"/>
      </w:pPr>
      <w:r>
        <w:tab/>
      </w:r>
      <w:r>
        <w:tab/>
        <w:t>contract was made.</w:t>
      </w:r>
    </w:p>
    <w:p>
      <w:pPr>
        <w:pStyle w:val="BlankClose"/>
      </w:pPr>
    </w:p>
    <w:p>
      <w:pPr>
        <w:pStyle w:val="nzSubsection"/>
      </w:pPr>
      <w:r>
        <w:tab/>
        <w:t>(2)</w:t>
      </w:r>
      <w:r>
        <w:tab/>
        <w:t>In section 39A(3) delete “An agreement shall” and insert:</w:t>
      </w:r>
    </w:p>
    <w:p>
      <w:pPr>
        <w:pStyle w:val="BlankOpen"/>
      </w:pPr>
    </w:p>
    <w:p>
      <w:pPr>
        <w:pStyle w:val="nzSubsection"/>
      </w:pPr>
      <w:r>
        <w:tab/>
      </w:r>
      <w:r>
        <w:tab/>
        <w:t>A contract or any other agreement or arrangement must</w:t>
      </w:r>
    </w:p>
    <w:p>
      <w:pPr>
        <w:pStyle w:val="BlankClose"/>
      </w:pPr>
    </w:p>
    <w:p>
      <w:pPr>
        <w:pStyle w:val="nzSubsection"/>
      </w:pPr>
      <w:r>
        <w:tab/>
        <w:t>(3)</w:t>
      </w:r>
      <w:r>
        <w:tab/>
        <w:t>In section 39A(4):</w:t>
      </w:r>
    </w:p>
    <w:p>
      <w:pPr>
        <w:pStyle w:val="nzIndenta"/>
      </w:pPr>
      <w:r>
        <w:tab/>
        <w:t>(a)</w:t>
      </w:r>
      <w:r>
        <w:tab/>
        <w:t>delete “an agreement if —” and insert:</w:t>
      </w:r>
    </w:p>
    <w:p>
      <w:pPr>
        <w:pStyle w:val="BlankOpen"/>
      </w:pPr>
    </w:p>
    <w:p>
      <w:pPr>
        <w:pStyle w:val="nzIndenta"/>
      </w:pPr>
      <w:r>
        <w:tab/>
      </w:r>
      <w:r>
        <w:tab/>
        <w:t>a contract if —</w:t>
      </w:r>
    </w:p>
    <w:p>
      <w:pPr>
        <w:pStyle w:val="nzIndenta"/>
      </w:pPr>
      <w:r>
        <w:tab/>
        <w:t>(b)</w:t>
      </w:r>
      <w:r>
        <w:tab/>
        <w:t>delete paragraph (a) and insert:</w:t>
      </w:r>
    </w:p>
    <w:p>
      <w:pPr>
        <w:pStyle w:val="BlankOpen"/>
      </w:pPr>
    </w:p>
    <w:p>
      <w:pPr>
        <w:pStyle w:val="nzIndenta"/>
      </w:pPr>
      <w:r>
        <w:tab/>
        <w:t>(a)</w:t>
      </w:r>
      <w:r>
        <w:tab/>
        <w:t>it relates to the provision of amenities or services to the strata company or the owners of lots; and</w:t>
      </w:r>
    </w:p>
    <w:p>
      <w:pPr>
        <w:pStyle w:val="BlankClose"/>
      </w:pPr>
    </w:p>
    <w:p>
      <w:pPr>
        <w:pStyle w:val="nzIndenta"/>
      </w:pPr>
      <w:r>
        <w:tab/>
        <w:t>(c)</w:t>
      </w:r>
      <w:r>
        <w:tab/>
        <w:t>delete paragraph (c) and insert:</w:t>
      </w:r>
    </w:p>
    <w:p>
      <w:pPr>
        <w:pStyle w:val="BlankOpen"/>
      </w:pPr>
    </w:p>
    <w:p>
      <w:pPr>
        <w:pStyle w:val="nzIndenta"/>
      </w:pPr>
      <w:r>
        <w:tab/>
        <w:t>(c)</w:t>
      </w:r>
      <w:r>
        <w:tab/>
        <w:t>it was made before registration of the strata titles scheme or when any owner held 50% or more of the unit entitlement of the lots.</w:t>
      </w:r>
    </w:p>
    <w:p>
      <w:pPr>
        <w:pStyle w:val="BlankClose"/>
      </w:pPr>
    </w:p>
    <w:p>
      <w:pPr>
        <w:pStyle w:val="nzSubsection"/>
      </w:pPr>
      <w:r>
        <w:tab/>
        <w:t>(4)</w:t>
      </w:r>
      <w:r>
        <w:tab/>
        <w:t>Delete section 39A(5) and insert:</w:t>
      </w:r>
    </w:p>
    <w:p>
      <w:pPr>
        <w:pStyle w:val="BlankOpen"/>
      </w:pPr>
    </w:p>
    <w:p>
      <w:pPr>
        <w:pStyle w:val="nz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nzIndenta"/>
      </w:pPr>
      <w:r>
        <w:tab/>
        <w:t>(a)</w:t>
      </w:r>
      <w:r>
        <w:tab/>
        <w:t>is fair to all owners of lots in the strata titles scheme; and</w:t>
      </w:r>
    </w:p>
    <w:p>
      <w:pPr>
        <w:pStyle w:val="nzIndenta"/>
      </w:pPr>
      <w:r>
        <w:tab/>
        <w:t>(b)</w:t>
      </w:r>
      <w:r>
        <w:tab/>
        <w:t>will remain fair to all those owners during the extended period.</w:t>
      </w:r>
    </w:p>
    <w:p>
      <w:pPr>
        <w:pStyle w:val="BlankClose"/>
      </w:pPr>
    </w:p>
    <w:p>
      <w:pPr>
        <w:pStyle w:val="nzSubsection"/>
      </w:pPr>
      <w:r>
        <w:tab/>
        <w:t>(5)</w:t>
      </w:r>
      <w:r>
        <w:tab/>
        <w:t>In section 39A(6):</w:t>
      </w:r>
    </w:p>
    <w:p>
      <w:pPr>
        <w:pStyle w:val="nzIndenta"/>
      </w:pPr>
      <w:r>
        <w:tab/>
        <w:t>(a)</w:t>
      </w:r>
      <w:r>
        <w:tab/>
        <w:t>delete “agreement” (1</w:t>
      </w:r>
      <w:r>
        <w:rPr>
          <w:vertAlign w:val="superscript"/>
        </w:rPr>
        <w:t>st</w:t>
      </w:r>
      <w:r>
        <w:t xml:space="preserve"> occurrence) and insert:</w:t>
      </w:r>
    </w:p>
    <w:p>
      <w:pPr>
        <w:pStyle w:val="BlankOpen"/>
      </w:pPr>
    </w:p>
    <w:p>
      <w:pPr>
        <w:pStyle w:val="nzIndenta"/>
      </w:pPr>
      <w:r>
        <w:tab/>
      </w:r>
      <w:r>
        <w:tab/>
        <w:t>contract</w:t>
      </w:r>
    </w:p>
    <w:p>
      <w:pPr>
        <w:pStyle w:val="BlankClose"/>
      </w:pPr>
    </w:p>
    <w:p>
      <w:pPr>
        <w:pStyle w:val="nzIndenta"/>
      </w:pPr>
      <w:r>
        <w:tab/>
        <w:t>(b)</w:t>
      </w:r>
      <w:r>
        <w:tab/>
        <w:t>delete “agreement was entered into,” and insert:</w:t>
      </w:r>
    </w:p>
    <w:p>
      <w:pPr>
        <w:pStyle w:val="BlankOpen"/>
      </w:pPr>
    </w:p>
    <w:p>
      <w:pPr>
        <w:pStyle w:val="nzIndenta"/>
      </w:pPr>
      <w:r>
        <w:tab/>
      </w:r>
      <w:r>
        <w:tab/>
        <w:t>contract was made,</w:t>
      </w:r>
    </w:p>
    <w:p>
      <w:pPr>
        <w:pStyle w:val="BlankClose"/>
      </w:pPr>
    </w:p>
    <w:p>
      <w:pPr>
        <w:pStyle w:val="nzSubsection"/>
      </w:pPr>
      <w:r>
        <w:tab/>
        <w:t>(6)</w:t>
      </w:r>
      <w:r>
        <w:tab/>
        <w:t>Delete section 39A(7).</w:t>
      </w:r>
    </w:p>
    <w:p>
      <w:pPr>
        <w:pStyle w:val="nzSectAltNote"/>
      </w:pPr>
      <w:r>
        <w:tab/>
        <w:t>Note:</w:t>
      </w:r>
      <w:r>
        <w:tab/>
        <w:t>The heading to amended 39A is to read:</w:t>
      </w:r>
    </w:p>
    <w:p>
      <w:pPr>
        <w:pStyle w:val="nzSectAltHeading"/>
      </w:pPr>
      <w:r>
        <w:rPr>
          <w:b w:val="0"/>
        </w:rPr>
        <w:tab/>
      </w:r>
      <w:r>
        <w:rPr>
          <w:b w:val="0"/>
        </w:rPr>
        <w:tab/>
      </w:r>
      <w:r>
        <w:t>Power to terminate certain contracts for amenities or services</w:t>
      </w:r>
    </w:p>
    <w:p>
      <w:pPr>
        <w:pStyle w:val="nzPermNoteHeading"/>
      </w:pPr>
      <w:r>
        <w:tab/>
        <w:t>Note:</w:t>
      </w:r>
    </w:p>
    <w:p>
      <w:pPr>
        <w:pStyle w:val="nzPermNoteText"/>
      </w:pPr>
      <w:r>
        <w:tab/>
      </w:r>
      <w:r>
        <w:tab/>
        <w:t>Section 39A (as amended) is renumbered as section 115 and relocated to Part 8 Division 1 Subdivision 7.</w:t>
      </w:r>
    </w:p>
    <w:p>
      <w:pPr>
        <w:pStyle w:val="nzHeading5"/>
      </w:pPr>
      <w:bookmarkStart w:id="577" w:name="_Toc530474313"/>
      <w:bookmarkStart w:id="578" w:name="_Toc530474908"/>
      <w:r>
        <w:rPr>
          <w:rStyle w:val="CharSectno"/>
        </w:rPr>
        <w:t>53</w:t>
      </w:r>
      <w:r>
        <w:t>.</w:t>
      </w:r>
      <w:r>
        <w:tab/>
        <w:t>Section 44 amended</w:t>
      </w:r>
      <w:bookmarkEnd w:id="577"/>
      <w:bookmarkEnd w:id="578"/>
    </w:p>
    <w:p>
      <w:pPr>
        <w:pStyle w:val="nzSubsection"/>
      </w:pPr>
      <w:r>
        <w:tab/>
        <w:t>(1)</w:t>
      </w:r>
      <w:r>
        <w:tab/>
        <w:t>In section 44(1):</w:t>
      </w:r>
    </w:p>
    <w:p>
      <w:pPr>
        <w:pStyle w:val="nzIndenta"/>
      </w:pPr>
      <w:r>
        <w:tab/>
        <w:t>(a)</w:t>
      </w:r>
      <w:r>
        <w:tab/>
        <w:t>delete “ company shall,” and insert:</w:t>
      </w:r>
    </w:p>
    <w:p>
      <w:pPr>
        <w:pStyle w:val="BlankOpen"/>
      </w:pPr>
    </w:p>
    <w:p>
      <w:pPr>
        <w:pStyle w:val="nzIndenta"/>
      </w:pPr>
      <w:r>
        <w:tab/>
      </w:r>
      <w:r>
        <w:tab/>
        <w:t>company,</w:t>
      </w:r>
    </w:p>
    <w:p>
      <w:pPr>
        <w:pStyle w:val="BlankClose"/>
      </w:pPr>
    </w:p>
    <w:p>
      <w:pPr>
        <w:pStyle w:val="nzIndenta"/>
      </w:pPr>
      <w:r>
        <w:tab/>
        <w:t>(b)</w:t>
      </w:r>
      <w:r>
        <w:tab/>
        <w:t>delete “at a general meeting, be” and insert:</w:t>
      </w:r>
    </w:p>
    <w:p>
      <w:pPr>
        <w:pStyle w:val="BlankOpen"/>
      </w:pPr>
    </w:p>
    <w:p>
      <w:pPr>
        <w:pStyle w:val="nzIndenta"/>
      </w:pPr>
      <w:r>
        <w:tab/>
      </w:r>
      <w:r>
        <w:tab/>
        <w:t xml:space="preserve">by ordinary resolution, are to be </w:t>
      </w:r>
    </w:p>
    <w:p>
      <w:pPr>
        <w:pStyle w:val="BlankClose"/>
      </w:pPr>
    </w:p>
    <w:p>
      <w:pPr>
        <w:pStyle w:val="nzSubsection"/>
      </w:pPr>
      <w:r>
        <w:tab/>
        <w:t>(2)</w:t>
      </w:r>
      <w:r>
        <w:tab/>
        <w:t>In section 44(2):</w:t>
      </w:r>
    </w:p>
    <w:p>
      <w:pPr>
        <w:pStyle w:val="nzIndenta"/>
      </w:pPr>
      <w:r>
        <w:tab/>
        <w:t>(a)</w:t>
      </w:r>
      <w:r>
        <w:tab/>
        <w:t>delete “shall” (1</w:t>
      </w:r>
      <w:r>
        <w:rPr>
          <w:vertAlign w:val="superscript"/>
        </w:rPr>
        <w:t>st</w:t>
      </w:r>
      <w:r>
        <w:t xml:space="preserve"> occurrence) and insert:</w:t>
      </w:r>
    </w:p>
    <w:p>
      <w:pPr>
        <w:pStyle w:val="BlankOpen"/>
      </w:pPr>
    </w:p>
    <w:p>
      <w:pPr>
        <w:pStyle w:val="nzIndenta"/>
      </w:pPr>
      <w:r>
        <w:tab/>
      </w:r>
      <w:r>
        <w:tab/>
        <w:t>must</w:t>
      </w:r>
    </w:p>
    <w:p>
      <w:pPr>
        <w:pStyle w:val="BlankClose"/>
      </w:pPr>
    </w:p>
    <w:p>
      <w:pPr>
        <w:pStyle w:val="nzIndenta"/>
      </w:pPr>
      <w:r>
        <w:tab/>
        <w:t>(b)</w:t>
      </w:r>
      <w:r>
        <w:tab/>
        <w:t>delete “shall” (2</w:t>
      </w:r>
      <w:r>
        <w:rPr>
          <w:vertAlign w:val="superscript"/>
        </w:rPr>
        <w:t>nd</w:t>
      </w:r>
      <w:r>
        <w:t xml:space="preserve"> occurrence);</w:t>
      </w:r>
    </w:p>
    <w:p>
      <w:pPr>
        <w:pStyle w:val="nzIndenta"/>
      </w:pPr>
      <w:r>
        <w:tab/>
        <w:t>(c)</w:t>
      </w:r>
      <w:r>
        <w:tab/>
        <w:t>delete “</w:t>
      </w:r>
      <w:r>
        <w:rPr>
          <w:snapToGrid w:val="0"/>
        </w:rPr>
        <w:t>and in the manner provided by the by</w:t>
      </w:r>
      <w:r>
        <w:rPr>
          <w:snapToGrid w:val="0"/>
        </w:rPr>
        <w:noBreakHyphen/>
        <w:t>laws of the strata company.</w:t>
      </w:r>
      <w:r>
        <w:t>” and insert:</w:t>
      </w:r>
    </w:p>
    <w:p>
      <w:pPr>
        <w:pStyle w:val="BlankOpen"/>
      </w:pPr>
    </w:p>
    <w:p>
      <w:pPr>
        <w:pStyle w:val="nzIndenta"/>
      </w:pPr>
      <w:r>
        <w:tab/>
      </w:r>
      <w:r>
        <w:tab/>
        <w:t>this Act and the scheme by</w:t>
      </w:r>
      <w:r>
        <w:noBreakHyphen/>
        <w:t>laws.</w:t>
      </w:r>
    </w:p>
    <w:p>
      <w:pPr>
        <w:pStyle w:val="BlankClose"/>
      </w:pPr>
    </w:p>
    <w:p>
      <w:pPr>
        <w:pStyle w:val="nzSubsection"/>
      </w:pPr>
      <w:r>
        <w:tab/>
        <w:t>(3)</w:t>
      </w:r>
      <w:r>
        <w:tab/>
        <w:t>After section 44(2) insert:</w:t>
      </w:r>
    </w:p>
    <w:p>
      <w:pPr>
        <w:pStyle w:val="BlankOpen"/>
      </w:pPr>
    </w:p>
    <w:p>
      <w:pPr>
        <w:pStyle w:val="nzSubsection"/>
      </w:pPr>
      <w:r>
        <w:tab/>
        <w:t>(3)</w:t>
      </w:r>
      <w:r>
        <w:tab/>
        <w:t>On an election of the council at a general meeting of the strata company —</w:t>
      </w:r>
    </w:p>
    <w:p>
      <w:pPr>
        <w:pStyle w:val="nzIndenta"/>
      </w:pPr>
      <w:r>
        <w:tab/>
        <w:t>(a)</w:t>
      </w:r>
      <w:r>
        <w:tab/>
        <w:t>a person who is entitled to vote in the election and who is present in person or by proxy at the meeting may demand that the votes in the election be counted by unit entitlement of the lots; and</w:t>
      </w:r>
    </w:p>
    <w:p>
      <w:pPr>
        <w:pStyle w:val="nzIndenta"/>
      </w:pPr>
      <w:r>
        <w:tab/>
        <w:t>(b)</w:t>
      </w:r>
      <w:r>
        <w:tab/>
        <w:t>if no such demand is made, the votes in the election are to be counted by number.</w:t>
      </w:r>
    </w:p>
    <w:p>
      <w:pPr>
        <w:pStyle w:val="nzSubsection"/>
      </w:pPr>
      <w:r>
        <w:tab/>
        <w:t>(4)</w:t>
      </w:r>
      <w:r>
        <w:tab/>
        <w:t>1 of the members of the council of a strata company must hold office as the chairperson of the strata company.</w:t>
      </w:r>
    </w:p>
    <w:p>
      <w:pPr>
        <w:pStyle w:val="nzPermNoteHeading"/>
      </w:pPr>
      <w:r>
        <w:tab/>
        <w:t>Note for this section:</w:t>
      </w:r>
    </w:p>
    <w:p>
      <w:pPr>
        <w:pStyle w:val="nzPermNoteText"/>
      </w:pPr>
      <w:r>
        <w:tab/>
      </w:r>
      <w:r>
        <w:tab/>
        <w:t>Section 143 provides that the functions of a strata company or the council or an officer of a strata company may be performed by a strata manager.</w:t>
      </w:r>
    </w:p>
    <w:p>
      <w:pPr>
        <w:pStyle w:val="BlankClose"/>
      </w:pPr>
    </w:p>
    <w:p>
      <w:pPr>
        <w:pStyle w:val="nzSectAltNote"/>
      </w:pPr>
      <w:r>
        <w:tab/>
        <w:t>Note:</w:t>
      </w:r>
      <w:r>
        <w:tab/>
        <w:t>The heading to amended section 44 is to read:</w:t>
      </w:r>
    </w:p>
    <w:p>
      <w:pPr>
        <w:pStyle w:val="nzSectAltHeading"/>
      </w:pPr>
      <w:r>
        <w:rPr>
          <w:b w:val="0"/>
        </w:rPr>
        <w:tab/>
      </w:r>
      <w:r>
        <w:rPr>
          <w:b w:val="0"/>
        </w:rPr>
        <w:tab/>
      </w:r>
      <w:r>
        <w:t>Functions and constitution of councils</w:t>
      </w:r>
    </w:p>
    <w:p>
      <w:pPr>
        <w:pStyle w:val="nzPermNoteHeading"/>
      </w:pPr>
      <w:r>
        <w:tab/>
        <w:t>Note:</w:t>
      </w:r>
    </w:p>
    <w:p>
      <w:pPr>
        <w:pStyle w:val="nzPermNoteText"/>
      </w:pPr>
      <w:r>
        <w:tab/>
      </w:r>
      <w:r>
        <w:tab/>
        <w:t>Section 44 (as amended) is renumbered as section 135 and relocated to Part 8 Division 4.</w:t>
      </w:r>
    </w:p>
    <w:p>
      <w:pPr>
        <w:pStyle w:val="nzHeading5"/>
      </w:pPr>
      <w:bookmarkStart w:id="579" w:name="_Toc530474314"/>
      <w:bookmarkStart w:id="580" w:name="_Toc530474909"/>
      <w:r>
        <w:rPr>
          <w:rStyle w:val="CharSectno"/>
        </w:rPr>
        <w:t>54</w:t>
      </w:r>
      <w:r>
        <w:t>.</w:t>
      </w:r>
      <w:r>
        <w:tab/>
        <w:t>Section 45 amended</w:t>
      </w:r>
      <w:bookmarkEnd w:id="579"/>
      <w:bookmarkEnd w:id="580"/>
    </w:p>
    <w:p>
      <w:pPr>
        <w:pStyle w:val="nzSubsection"/>
      </w:pPr>
      <w:r>
        <w:tab/>
        <w:t>(1)</w:t>
      </w:r>
      <w:r>
        <w:tab/>
        <w:t>Delete section 45(1) and insert:</w:t>
      </w:r>
    </w:p>
    <w:p>
      <w:pPr>
        <w:pStyle w:val="BlankOpen"/>
      </w:pPr>
    </w:p>
    <w:p>
      <w:pPr>
        <w:pStyle w:val="nzSubsection"/>
      </w:pPr>
      <w:r>
        <w:tab/>
        <w:t>(1)</w:t>
      </w:r>
      <w:r>
        <w:tab/>
        <w:t>A corporation is eligible to be an officer of a strata company or a member of the council of a strata company.</w:t>
      </w:r>
    </w:p>
    <w:p>
      <w:pPr>
        <w:pStyle w:val="BlankClose"/>
      </w:pPr>
    </w:p>
    <w:p>
      <w:pPr>
        <w:pStyle w:val="nzSubsection"/>
      </w:pPr>
      <w:r>
        <w:tab/>
        <w:t>(2)</w:t>
      </w:r>
      <w:r>
        <w:tab/>
        <w:t>In section 45(2):</w:t>
      </w:r>
    </w:p>
    <w:p>
      <w:pPr>
        <w:pStyle w:val="nzIndenta"/>
      </w:pPr>
      <w:r>
        <w:tab/>
        <w:t>(a)</w:t>
      </w:r>
      <w:r>
        <w:tab/>
        <w:t>delete “any function conferred by or” and insert:</w:t>
      </w:r>
    </w:p>
    <w:p>
      <w:pPr>
        <w:pStyle w:val="BlankOpen"/>
      </w:pPr>
    </w:p>
    <w:p>
      <w:pPr>
        <w:pStyle w:val="nzIndenta"/>
      </w:pPr>
      <w:r>
        <w:tab/>
      </w:r>
      <w:r>
        <w:tab/>
        <w:t>a function conferred</w:t>
      </w:r>
    </w:p>
    <w:p>
      <w:pPr>
        <w:pStyle w:val="BlankClose"/>
      </w:pPr>
    </w:p>
    <w:p>
      <w:pPr>
        <w:pStyle w:val="nzIndenta"/>
      </w:pPr>
      <w:r>
        <w:tab/>
        <w:t>(b)</w:t>
      </w:r>
      <w:r>
        <w:tab/>
        <w:t>delete “chairman, secretary or treasurer of the strata company or as a member or alternate” and insert:</w:t>
      </w:r>
    </w:p>
    <w:p>
      <w:pPr>
        <w:pStyle w:val="BlankOpen"/>
      </w:pPr>
    </w:p>
    <w:p>
      <w:pPr>
        <w:pStyle w:val="nzIndenta"/>
      </w:pPr>
      <w:r>
        <w:tab/>
      </w:r>
      <w:r>
        <w:tab/>
        <w:t>an officer of the strata company or as a</w:t>
      </w:r>
    </w:p>
    <w:p>
      <w:pPr>
        <w:pStyle w:val="BlankClose"/>
      </w:pPr>
    </w:p>
    <w:p>
      <w:pPr>
        <w:pStyle w:val="nzIndenta"/>
      </w:pPr>
      <w:r>
        <w:tab/>
        <w:t>(c)</w:t>
      </w:r>
      <w:r>
        <w:tab/>
        <w:t>after “revoke” insert:</w:t>
      </w:r>
    </w:p>
    <w:p>
      <w:pPr>
        <w:pStyle w:val="BlankOpen"/>
      </w:pPr>
    </w:p>
    <w:p>
      <w:pPr>
        <w:pStyle w:val="nzIndenta"/>
      </w:pPr>
      <w:r>
        <w:tab/>
      </w:r>
      <w:r>
        <w:tab/>
        <w:t xml:space="preserve">the </w:t>
      </w:r>
    </w:p>
    <w:p>
      <w:pPr>
        <w:pStyle w:val="BlankClose"/>
      </w:pPr>
    </w:p>
    <w:p>
      <w:pPr>
        <w:pStyle w:val="nzSubsection"/>
      </w:pPr>
      <w:r>
        <w:tab/>
        <w:t>(3)</w:t>
      </w:r>
      <w:r>
        <w:tab/>
        <w:t>In section 45(3):</w:t>
      </w:r>
    </w:p>
    <w:p>
      <w:pPr>
        <w:pStyle w:val="nzIndenta"/>
      </w:pPr>
      <w:r>
        <w:tab/>
        <w:t>(a)</w:t>
      </w:r>
      <w:r>
        <w:tab/>
        <w:t>delete “Where” and insert:</w:t>
      </w:r>
    </w:p>
    <w:p>
      <w:pPr>
        <w:pStyle w:val="BlankOpen"/>
      </w:pPr>
    </w:p>
    <w:p>
      <w:pPr>
        <w:pStyle w:val="nzIndenta"/>
      </w:pPr>
      <w:r>
        <w:tab/>
      </w:r>
      <w:r>
        <w:tab/>
        <w:t>If</w:t>
      </w:r>
    </w:p>
    <w:p>
      <w:pPr>
        <w:pStyle w:val="BlankClose"/>
      </w:pPr>
    </w:p>
    <w:p>
      <w:pPr>
        <w:pStyle w:val="nzIndenta"/>
      </w:pPr>
      <w:r>
        <w:tab/>
        <w:t>(b)</w:t>
      </w:r>
      <w:r>
        <w:tab/>
        <w:t>delete “shall be deemed” and insert:</w:t>
      </w:r>
    </w:p>
    <w:p>
      <w:pPr>
        <w:pStyle w:val="BlankOpen"/>
      </w:pPr>
    </w:p>
    <w:p>
      <w:pPr>
        <w:pStyle w:val="nzIndenta"/>
      </w:pPr>
      <w:r>
        <w:tab/>
      </w:r>
      <w:r>
        <w:tab/>
        <w:t>is taken</w:t>
      </w:r>
    </w:p>
    <w:p>
      <w:pPr>
        <w:pStyle w:val="BlankClose"/>
        <w:keepNext/>
      </w:pPr>
    </w:p>
    <w:p>
      <w:pPr>
        <w:pStyle w:val="nzSectAltNote"/>
      </w:pPr>
      <w:r>
        <w:tab/>
        <w:t>Note:</w:t>
      </w:r>
      <w:r>
        <w:tab/>
        <w:t>The heading to amended section 45 is to read:</w:t>
      </w:r>
    </w:p>
    <w:p>
      <w:pPr>
        <w:pStyle w:val="nzSectAltHeading"/>
      </w:pPr>
      <w:r>
        <w:rPr>
          <w:b w:val="0"/>
        </w:rPr>
        <w:tab/>
      </w:r>
      <w:r>
        <w:rPr>
          <w:b w:val="0"/>
        </w:rPr>
        <w:tab/>
      </w:r>
      <w:r>
        <w:t>Corporate body may be officer or council member</w:t>
      </w:r>
    </w:p>
    <w:p>
      <w:pPr>
        <w:pStyle w:val="nzPermNoteHeading"/>
      </w:pPr>
      <w:r>
        <w:tab/>
        <w:t>Note:</w:t>
      </w:r>
    </w:p>
    <w:p>
      <w:pPr>
        <w:pStyle w:val="nzPermNoteText"/>
      </w:pPr>
      <w:r>
        <w:tab/>
      </w:r>
      <w:r>
        <w:tab/>
        <w:t>Section 45 (as amended) is renumbered as section 136 and relocated to Part 8 Division 4.</w:t>
      </w:r>
    </w:p>
    <w:p>
      <w:pPr>
        <w:pStyle w:val="nzHeading5"/>
      </w:pPr>
      <w:bookmarkStart w:id="581" w:name="_Toc530474315"/>
      <w:bookmarkStart w:id="582" w:name="_Toc530474910"/>
      <w:r>
        <w:rPr>
          <w:rStyle w:val="CharSectno"/>
        </w:rPr>
        <w:t>55</w:t>
      </w:r>
      <w:r>
        <w:t>.</w:t>
      </w:r>
      <w:r>
        <w:tab/>
        <w:t>Section 53A amended</w:t>
      </w:r>
      <w:bookmarkEnd w:id="581"/>
      <w:bookmarkEnd w:id="582"/>
    </w:p>
    <w:p>
      <w:pPr>
        <w:pStyle w:val="nzSubsection"/>
      </w:pPr>
      <w:r>
        <w:tab/>
      </w:r>
      <w:r>
        <w:tab/>
        <w:t>In section 53A:</w:t>
      </w:r>
    </w:p>
    <w:p>
      <w:pPr>
        <w:pStyle w:val="nzIndenta"/>
      </w:pPr>
      <w:r>
        <w:tab/>
        <w:t>(a)</w:t>
      </w:r>
      <w:r>
        <w:tab/>
        <w:t>delete “Subdivision —” and insert:</w:t>
      </w:r>
    </w:p>
    <w:p>
      <w:pPr>
        <w:pStyle w:val="BlankOpen"/>
      </w:pPr>
    </w:p>
    <w:p>
      <w:pPr>
        <w:pStyle w:val="nzIndenta"/>
      </w:pPr>
      <w:r>
        <w:tab/>
      </w:r>
      <w:r>
        <w:tab/>
        <w:t xml:space="preserve">Part — </w:t>
      </w:r>
    </w:p>
    <w:p>
      <w:pPr>
        <w:pStyle w:val="BlankClose"/>
      </w:pPr>
    </w:p>
    <w:p>
      <w:pPr>
        <w:pStyle w:val="nzIndenta"/>
      </w:pPr>
      <w:r>
        <w:tab/>
        <w:t>(b)</w:t>
      </w:r>
      <w:r>
        <w:tab/>
        <w:t>in paragraph (c) delete “</w:t>
      </w:r>
      <w:r>
        <w:rPr>
          <w:b/>
          <w:i/>
        </w:rPr>
        <w:t xml:space="preserve">proprietor </w:t>
      </w:r>
      <w:r>
        <w:rPr>
          <w:snapToGrid w:val="0"/>
        </w:rPr>
        <w:t>are to a proprietor</w:t>
      </w:r>
      <w:r>
        <w:t>” and insert:</w:t>
      </w:r>
    </w:p>
    <w:p>
      <w:pPr>
        <w:pStyle w:val="BlankOpen"/>
      </w:pPr>
    </w:p>
    <w:p>
      <w:pPr>
        <w:pStyle w:val="nzIndenta"/>
      </w:pPr>
      <w:r>
        <w:tab/>
      </w:r>
      <w:r>
        <w:tab/>
        <w:t xml:space="preserve">an </w:t>
      </w:r>
      <w:r>
        <w:rPr>
          <w:rStyle w:val="CharDefText"/>
        </w:rPr>
        <w:t>owner of a lot</w:t>
      </w:r>
      <w:r>
        <w:t xml:space="preserve"> are to an owner</w:t>
      </w:r>
    </w:p>
    <w:p>
      <w:pPr>
        <w:pStyle w:val="BlankClose"/>
      </w:pPr>
    </w:p>
    <w:p>
      <w:pPr>
        <w:pStyle w:val="nzSectAltNote"/>
      </w:pPr>
      <w:r>
        <w:tab/>
        <w:t>Note:</w:t>
      </w:r>
      <w:r>
        <w:tab/>
        <w:t>The heading to amended section 53A is to read:</w:t>
      </w:r>
    </w:p>
    <w:p>
      <w:pPr>
        <w:pStyle w:val="nzSectAltHeading"/>
      </w:pPr>
      <w:r>
        <w:rPr>
          <w:b w:val="0"/>
        </w:rPr>
        <w:tab/>
      </w:r>
      <w:r>
        <w:rPr>
          <w:b w:val="0"/>
        </w:rPr>
        <w:tab/>
      </w:r>
      <w:r>
        <w:t>References in this Part</w:t>
      </w:r>
    </w:p>
    <w:p>
      <w:pPr>
        <w:pStyle w:val="nzPermNoteHeading"/>
      </w:pPr>
      <w:r>
        <w:tab/>
        <w:t>Note:</w:t>
      </w:r>
    </w:p>
    <w:p>
      <w:pPr>
        <w:pStyle w:val="nzPermNoteText"/>
      </w:pPr>
      <w:r>
        <w:tab/>
      </w:r>
      <w:r>
        <w:tab/>
        <w:t>Section 53A (as amended) is redesignated as clause 53A and relocated to Schedule 2A.</w:t>
      </w:r>
    </w:p>
    <w:p>
      <w:pPr>
        <w:pStyle w:val="nzHeading5"/>
      </w:pPr>
      <w:bookmarkStart w:id="583" w:name="_Toc530474316"/>
      <w:bookmarkStart w:id="584" w:name="_Toc530474911"/>
      <w:r>
        <w:rPr>
          <w:rStyle w:val="CharSectno"/>
        </w:rPr>
        <w:t>56</w:t>
      </w:r>
      <w:r>
        <w:t>.</w:t>
      </w:r>
      <w:r>
        <w:tab/>
        <w:t>Section 53B amended</w:t>
      </w:r>
      <w:bookmarkEnd w:id="583"/>
      <w:bookmarkEnd w:id="584"/>
    </w:p>
    <w:p>
      <w:pPr>
        <w:pStyle w:val="nzSubsection"/>
      </w:pPr>
      <w:r>
        <w:tab/>
        <w:t>(1)</w:t>
      </w:r>
      <w:r>
        <w:tab/>
        <w:t>In section 53B(1):</w:t>
      </w:r>
    </w:p>
    <w:p>
      <w:pPr>
        <w:pStyle w:val="nzIndenta"/>
      </w:pPr>
      <w:r>
        <w:tab/>
        <w:t>(a)</w:t>
      </w:r>
      <w:r>
        <w:tab/>
        <w:t>delete paragraph (a)(i) and (ii) and insert:</w:t>
      </w:r>
    </w:p>
    <w:p>
      <w:pPr>
        <w:pStyle w:val="BlankOpen"/>
      </w:pPr>
    </w:p>
    <w:p>
      <w:pPr>
        <w:pStyle w:val="nzIndenti"/>
        <w:rPr>
          <w:snapToGrid w:val="0"/>
        </w:rPr>
      </w:pPr>
      <w:r>
        <w:rPr>
          <w:snapToGrid w:val="0"/>
        </w:rPr>
        <w:tab/>
        <w:t>(i)</w:t>
      </w:r>
      <w:r>
        <w:rPr>
          <w:snapToGrid w:val="0"/>
        </w:rPr>
        <w:tab/>
        <w:t>insurable assets within a lot in a scheme; or</w:t>
      </w:r>
    </w:p>
    <w:p>
      <w:pPr>
        <w:pStyle w:val="nzIndenti"/>
        <w:rPr>
          <w:snapToGrid w:val="0"/>
        </w:rPr>
      </w:pPr>
      <w:r>
        <w:rPr>
          <w:snapToGrid w:val="0"/>
        </w:rPr>
        <w:tab/>
        <w:t>(ii)</w:t>
      </w:r>
      <w:r>
        <w:rPr>
          <w:snapToGrid w:val="0"/>
        </w:rPr>
        <w:tab/>
        <w:t>damage to property, death, bodily injury or illness for which the owner of a lot in a scheme could become liable in damages;</w:t>
      </w:r>
    </w:p>
    <w:p>
      <w:pPr>
        <w:pStyle w:val="BlankClose"/>
      </w:pPr>
    </w:p>
    <w:p>
      <w:pPr>
        <w:pStyle w:val="nzIndenta"/>
      </w:pPr>
      <w:r>
        <w:tab/>
        <w:t>(b)</w:t>
      </w:r>
      <w:r>
        <w:tab/>
        <w:t>in paragraph (b) delete “</w:t>
      </w:r>
      <w:r>
        <w:rPr>
          <w:snapToGrid w:val="0"/>
        </w:rPr>
        <w:t>proprietor</w:t>
      </w:r>
      <w:r>
        <w:t>” and insert:</w:t>
      </w:r>
    </w:p>
    <w:p>
      <w:pPr>
        <w:pStyle w:val="BlankOpen"/>
      </w:pPr>
    </w:p>
    <w:p>
      <w:pPr>
        <w:pStyle w:val="nzIndenta"/>
      </w:pPr>
      <w:r>
        <w:tab/>
      </w:r>
      <w:r>
        <w:tab/>
        <w:t>owner of the lot</w:t>
      </w:r>
    </w:p>
    <w:p>
      <w:pPr>
        <w:pStyle w:val="BlankClose"/>
      </w:pPr>
    </w:p>
    <w:p>
      <w:pPr>
        <w:pStyle w:val="nzIndenta"/>
      </w:pPr>
      <w:r>
        <w:tab/>
        <w:t>(c)</w:t>
      </w:r>
      <w:r>
        <w:tab/>
        <w:t>in paragraph (c) delete “</w:t>
      </w:r>
      <w:r>
        <w:rPr>
          <w:snapToGrid w:val="0"/>
        </w:rPr>
        <w:t>any</w:t>
      </w:r>
      <w:r>
        <w:t>”;</w:t>
      </w:r>
    </w:p>
    <w:p>
      <w:pPr>
        <w:pStyle w:val="nzIndenta"/>
      </w:pPr>
      <w:r>
        <w:tab/>
        <w:t>(d)</w:t>
      </w:r>
      <w:r>
        <w:tab/>
        <w:t>delete “</w:t>
      </w:r>
      <w:r>
        <w:rPr>
          <w:snapToGrid w:val="0"/>
        </w:rPr>
        <w:t>section, at the discretion of the proprietor”</w:t>
      </w:r>
      <w:r>
        <w:t xml:space="preserve"> and insert:</w:t>
      </w:r>
    </w:p>
    <w:p>
      <w:pPr>
        <w:pStyle w:val="BlankOpen"/>
      </w:pPr>
    </w:p>
    <w:p>
      <w:pPr>
        <w:pStyle w:val="nzIndenta"/>
      </w:pPr>
      <w:r>
        <w:tab/>
      </w:r>
      <w:r>
        <w:tab/>
      </w:r>
      <w:r>
        <w:rPr>
          <w:snapToGrid w:val="0"/>
        </w:rPr>
        <w:t>clause, at the discretion of the owner</w:t>
      </w:r>
    </w:p>
    <w:p>
      <w:pPr>
        <w:pStyle w:val="BlankClose"/>
      </w:pPr>
    </w:p>
    <w:p>
      <w:pPr>
        <w:pStyle w:val="nzSubsection"/>
      </w:pPr>
      <w:r>
        <w:tab/>
        <w:t>(2)</w:t>
      </w:r>
      <w:r>
        <w:tab/>
        <w:t>Delete section 53B(2) and (3) and insert:</w:t>
      </w:r>
    </w:p>
    <w:p>
      <w:pPr>
        <w:pStyle w:val="BlankOpen"/>
      </w:pPr>
    </w:p>
    <w:p>
      <w:pPr>
        <w:pStyle w:val="nz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nzSubsection"/>
        <w:rPr>
          <w:snapToGrid w:val="0"/>
        </w:rPr>
      </w:pPr>
      <w:r>
        <w:rPr>
          <w:snapToGrid w:val="0"/>
        </w:rPr>
        <w:tab/>
        <w:t>(3)</w:t>
      </w:r>
      <w:r>
        <w:rPr>
          <w:snapToGrid w:val="0"/>
        </w:rPr>
        <w:tab/>
        <w:t>While such a resolution is in force, the strata company must comply with clause 53D.</w:t>
      </w:r>
    </w:p>
    <w:p>
      <w:pPr>
        <w:pStyle w:val="nz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BlankClose"/>
      </w:pPr>
    </w:p>
    <w:p>
      <w:pPr>
        <w:pStyle w:val="nzPermNoteHeading"/>
      </w:pPr>
      <w:r>
        <w:tab/>
        <w:t>Note:</w:t>
      </w:r>
    </w:p>
    <w:p>
      <w:pPr>
        <w:pStyle w:val="nzPermNoteText"/>
      </w:pPr>
      <w:r>
        <w:tab/>
      </w:r>
      <w:r>
        <w:tab/>
        <w:t>Section 53B (as amended) is redesignated as clause 53B and relocated to Schedule 2A.</w:t>
      </w:r>
    </w:p>
    <w:p>
      <w:pPr>
        <w:pStyle w:val="nzHeading5"/>
      </w:pPr>
      <w:bookmarkStart w:id="585" w:name="_Toc530474317"/>
      <w:bookmarkStart w:id="586" w:name="_Toc530474912"/>
      <w:r>
        <w:rPr>
          <w:rStyle w:val="CharSectno"/>
        </w:rPr>
        <w:t>57</w:t>
      </w:r>
      <w:r>
        <w:t>.</w:t>
      </w:r>
      <w:r>
        <w:tab/>
        <w:t>Section 53C amended</w:t>
      </w:r>
      <w:bookmarkEnd w:id="585"/>
      <w:bookmarkEnd w:id="586"/>
    </w:p>
    <w:p>
      <w:pPr>
        <w:pStyle w:val="nzSubsection"/>
      </w:pPr>
      <w:r>
        <w:tab/>
        <w:t>(1)</w:t>
      </w:r>
      <w:r>
        <w:tab/>
        <w:t>In section 53C(1):</w:t>
      </w:r>
    </w:p>
    <w:p>
      <w:pPr>
        <w:pStyle w:val="nzIndenta"/>
      </w:pPr>
      <w:r>
        <w:tab/>
        <w:t>(a)</w:t>
      </w:r>
      <w:r>
        <w:tab/>
        <w:t>delete “</w:t>
      </w:r>
      <w:r>
        <w:rPr>
          <w:snapToGrid w:val="0"/>
        </w:rPr>
        <w:t>shall —</w:t>
      </w:r>
      <w:r>
        <w:t>” and insert:</w:t>
      </w:r>
    </w:p>
    <w:p>
      <w:pPr>
        <w:pStyle w:val="BlankOpen"/>
      </w:pPr>
    </w:p>
    <w:p>
      <w:pPr>
        <w:pStyle w:val="nzIndenta"/>
      </w:pPr>
      <w:r>
        <w:tab/>
      </w:r>
      <w:r>
        <w:tab/>
        <w:t>must</w:t>
      </w:r>
      <w:r>
        <w:rPr>
          <w:snapToGrid w:val="0"/>
        </w:rPr>
        <w:t> —</w:t>
      </w:r>
    </w:p>
    <w:p>
      <w:pPr>
        <w:pStyle w:val="BlankClose"/>
      </w:pPr>
    </w:p>
    <w:p>
      <w:pPr>
        <w:pStyle w:val="nzIndenta"/>
      </w:pPr>
      <w:r>
        <w:tab/>
        <w:t>(b)</w:t>
      </w:r>
      <w:r>
        <w:tab/>
        <w:t>in paragraph (a) delete “</w:t>
      </w:r>
      <w:r>
        <w:rPr>
          <w:snapToGrid w:val="0"/>
        </w:rPr>
        <w:t>any building, or part of a building, or improvement on the parcel that is</w:t>
      </w:r>
      <w:r>
        <w:t>” and insert:</w:t>
      </w:r>
    </w:p>
    <w:p>
      <w:pPr>
        <w:pStyle w:val="BlankOpen"/>
      </w:pPr>
    </w:p>
    <w:p>
      <w:pPr>
        <w:pStyle w:val="nzIndenta"/>
      </w:pPr>
      <w:r>
        <w:tab/>
      </w:r>
      <w:r>
        <w:tab/>
      </w:r>
      <w:r>
        <w:rPr>
          <w:snapToGrid w:val="0"/>
        </w:rPr>
        <w:t>insurable assets that are within the</w:t>
      </w:r>
    </w:p>
    <w:p>
      <w:pPr>
        <w:pStyle w:val="BlankClose"/>
      </w:pPr>
    </w:p>
    <w:p>
      <w:pPr>
        <w:pStyle w:val="nzIndenta"/>
      </w:pPr>
      <w:r>
        <w:tab/>
        <w:t>(c)</w:t>
      </w:r>
      <w:r>
        <w:tab/>
        <w:t xml:space="preserve">in paragraph (b) delete “death </w:t>
      </w:r>
      <w:r>
        <w:rPr>
          <w:snapToGrid w:val="0"/>
        </w:rPr>
        <w:t>or bodily injury for which the proprietors</w:t>
      </w:r>
      <w:r>
        <w:t>” and insert:</w:t>
      </w:r>
    </w:p>
    <w:p>
      <w:pPr>
        <w:pStyle w:val="BlankOpen"/>
      </w:pPr>
    </w:p>
    <w:p>
      <w:pPr>
        <w:pStyle w:val="nzIndenta"/>
      </w:pPr>
      <w:r>
        <w:tab/>
      </w:r>
      <w:r>
        <w:tab/>
        <w:t>death, bodily injury or illness for which the owners</w:t>
      </w:r>
    </w:p>
    <w:p>
      <w:pPr>
        <w:pStyle w:val="BlankClose"/>
      </w:pPr>
    </w:p>
    <w:p>
      <w:pPr>
        <w:pStyle w:val="nzSubsection"/>
      </w:pPr>
      <w:r>
        <w:tab/>
        <w:t>(2)</w:t>
      </w:r>
      <w:r>
        <w:tab/>
        <w:t>In section 53C(2):</w:t>
      </w:r>
    </w:p>
    <w:p>
      <w:pPr>
        <w:pStyle w:val="nzIndenta"/>
      </w:pPr>
      <w:r>
        <w:tab/>
        <w:t>(a)</w:t>
      </w:r>
      <w:r>
        <w:tab/>
        <w:t>delete “subsection” and insert:</w:t>
      </w:r>
    </w:p>
    <w:p>
      <w:pPr>
        <w:pStyle w:val="BlankOpen"/>
      </w:pPr>
    </w:p>
    <w:p>
      <w:pPr>
        <w:pStyle w:val="nzIndenta"/>
      </w:pPr>
      <w:r>
        <w:tab/>
      </w:r>
      <w:r>
        <w:tab/>
      </w:r>
      <w:r>
        <w:rPr>
          <w:snapToGrid w:val="0"/>
        </w:rPr>
        <w:t>subclause</w:t>
      </w:r>
    </w:p>
    <w:p>
      <w:pPr>
        <w:pStyle w:val="BlankClose"/>
      </w:pPr>
    </w:p>
    <w:p>
      <w:pPr>
        <w:pStyle w:val="nzIndenta"/>
      </w:pPr>
      <w:r>
        <w:tab/>
        <w:t>(b)</w:t>
      </w:r>
      <w:r>
        <w:tab/>
        <w:t>in paragraph (a)(i) delete “</w:t>
      </w:r>
      <w:r>
        <w:rPr>
          <w:snapToGrid w:val="0"/>
        </w:rPr>
        <w:t>is no building or improvement</w:t>
      </w:r>
      <w:r>
        <w:t>” and insert:</w:t>
      </w:r>
    </w:p>
    <w:p>
      <w:pPr>
        <w:pStyle w:val="BlankOpen"/>
      </w:pPr>
    </w:p>
    <w:p>
      <w:pPr>
        <w:pStyle w:val="nzIndenta"/>
      </w:pPr>
      <w:r>
        <w:tab/>
      </w:r>
      <w:r>
        <w:tab/>
      </w:r>
      <w:r>
        <w:rPr>
          <w:snapToGrid w:val="0"/>
        </w:rPr>
        <w:t>are no insurable assets</w:t>
      </w:r>
    </w:p>
    <w:p>
      <w:pPr>
        <w:pStyle w:val="BlankClose"/>
      </w:pPr>
    </w:p>
    <w:p>
      <w:pPr>
        <w:pStyle w:val="nzIndenta"/>
      </w:pPr>
      <w:r>
        <w:tab/>
        <w:t>(c)</w:t>
      </w:r>
      <w:r>
        <w:tab/>
        <w:t>in paragraph (a)(ii) delete “lot;” and insert:</w:t>
      </w:r>
    </w:p>
    <w:p>
      <w:pPr>
        <w:pStyle w:val="BlankOpen"/>
      </w:pPr>
    </w:p>
    <w:p>
      <w:pPr>
        <w:pStyle w:val="nzIndenta"/>
      </w:pPr>
      <w:r>
        <w:tab/>
      </w:r>
      <w:r>
        <w:tab/>
        <w:t>lot or on the boundary of temporary common property;</w:t>
      </w:r>
    </w:p>
    <w:p>
      <w:pPr>
        <w:pStyle w:val="BlankClose"/>
      </w:pPr>
    </w:p>
    <w:p>
      <w:pPr>
        <w:pStyle w:val="nzIndenta"/>
      </w:pPr>
      <w:r>
        <w:tab/>
        <w:t>(d)</w:t>
      </w:r>
      <w:r>
        <w:tab/>
        <w:t>in paragraph (b) delete “</w:t>
      </w:r>
      <w:r>
        <w:rPr>
          <w:snapToGrid w:val="0"/>
        </w:rPr>
        <w:t>(or unanimous resolution in the case of a two</w:t>
      </w:r>
      <w:r>
        <w:rPr>
          <w:snapToGrid w:val="0"/>
        </w:rPr>
        <w:noBreakHyphen/>
        <w:t>lot scheme) determined that subsection</w:t>
      </w:r>
      <w:r>
        <w:t>” and insert:</w:t>
      </w:r>
    </w:p>
    <w:p>
      <w:pPr>
        <w:pStyle w:val="BlankOpen"/>
      </w:pPr>
    </w:p>
    <w:p>
      <w:pPr>
        <w:pStyle w:val="nzIndenta"/>
      </w:pPr>
      <w:r>
        <w:tab/>
      </w:r>
      <w:r>
        <w:tab/>
      </w:r>
      <w:r>
        <w:rPr>
          <w:snapToGrid w:val="0"/>
        </w:rPr>
        <w:t>determined that subclause</w:t>
      </w:r>
    </w:p>
    <w:p>
      <w:pPr>
        <w:pStyle w:val="BlankClose"/>
      </w:pPr>
    </w:p>
    <w:p>
      <w:pPr>
        <w:pStyle w:val="nzSubsection"/>
      </w:pPr>
      <w:r>
        <w:tab/>
        <w:t>(3)</w:t>
      </w:r>
      <w:r>
        <w:tab/>
        <w:t>Delete section 53C(3) to (5) and insert:</w:t>
      </w:r>
    </w:p>
    <w:p>
      <w:pPr>
        <w:pStyle w:val="BlankOpen"/>
      </w:pPr>
    </w:p>
    <w:p>
      <w:pPr>
        <w:pStyle w:val="nzSubsection"/>
        <w:rPr>
          <w:snapToGrid w:val="0"/>
        </w:rPr>
      </w:pPr>
      <w:r>
        <w:rPr>
          <w:snapToGrid w:val="0"/>
        </w:rPr>
        <w:tab/>
        <w:t>(3)</w:t>
      </w:r>
      <w:r>
        <w:rPr>
          <w:snapToGrid w:val="0"/>
        </w:rPr>
        <w:tab/>
        <w:t>A resolution under subclause (2)(b) remains in force until —</w:t>
      </w:r>
    </w:p>
    <w:p>
      <w:pPr>
        <w:pStyle w:val="nzIndenta"/>
        <w:rPr>
          <w:snapToGrid w:val="0"/>
        </w:rPr>
      </w:pPr>
      <w:r>
        <w:rPr>
          <w:snapToGrid w:val="0"/>
        </w:rPr>
        <w:tab/>
        <w:t>(a)</w:t>
      </w:r>
      <w:r>
        <w:rPr>
          <w:snapToGrid w:val="0"/>
        </w:rPr>
        <w:tab/>
        <w:t>it is revoked; or</w:t>
      </w:r>
    </w:p>
    <w:p>
      <w:pPr>
        <w:pStyle w:val="nzIndenta"/>
        <w:rPr>
          <w:snapToGrid w:val="0"/>
        </w:rPr>
      </w:pPr>
      <w:r>
        <w:rPr>
          <w:snapToGrid w:val="0"/>
        </w:rPr>
        <w:tab/>
        <w:t>(b)</w:t>
      </w:r>
      <w:r>
        <w:rPr>
          <w:snapToGrid w:val="0"/>
        </w:rPr>
        <w:tab/>
        <w:t>it ceases to have effect under subclause (5).</w:t>
      </w:r>
    </w:p>
    <w:p>
      <w:pPr>
        <w:pStyle w:val="nz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nzSubsection"/>
      </w:pPr>
      <w:r>
        <w:tab/>
        <w:t>(5)</w:t>
      </w:r>
      <w:r>
        <w:tab/>
        <w:t>If the owner of a lot serves a notice under subclause (4), the resolution under subclause (2)(b) ceases to have effect at the end of the period of 1 month beginning on the day on which the notice was served.</w:t>
      </w:r>
    </w:p>
    <w:p>
      <w:pPr>
        <w:pStyle w:val="nz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nzIndenta"/>
        <w:rPr>
          <w:snapToGrid w:val="0"/>
        </w:rPr>
      </w:pPr>
      <w:r>
        <w:rPr>
          <w:snapToGrid w:val="0"/>
        </w:rPr>
        <w:tab/>
        <w:t>(a)</w:t>
      </w:r>
      <w:r>
        <w:rPr>
          <w:snapToGrid w:val="0"/>
        </w:rPr>
        <w:tab/>
        <w:t>whether there is insurance in respect of —</w:t>
      </w:r>
    </w:p>
    <w:p>
      <w:pPr>
        <w:pStyle w:val="nzIndenti"/>
        <w:rPr>
          <w:snapToGrid w:val="0"/>
        </w:rPr>
      </w:pPr>
      <w:r>
        <w:rPr>
          <w:snapToGrid w:val="0"/>
        </w:rPr>
        <w:tab/>
        <w:t>(i)</w:t>
      </w:r>
      <w:r>
        <w:rPr>
          <w:snapToGrid w:val="0"/>
        </w:rPr>
        <w:tab/>
        <w:t>the share of the owner of a lot in insurable assets in the scheme that are within the common property; or</w:t>
      </w:r>
    </w:p>
    <w:p>
      <w:pPr>
        <w:pStyle w:val="nzIndenti"/>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nzIndenta"/>
        <w:rPr>
          <w:snapToGrid w:val="0"/>
        </w:rPr>
      </w:pPr>
      <w:r>
        <w:rPr>
          <w:snapToGrid w:val="0"/>
        </w:rPr>
        <w:tab/>
        <w:t>(b)</w:t>
      </w:r>
      <w:r>
        <w:rPr>
          <w:snapToGrid w:val="0"/>
        </w:rPr>
        <w:tab/>
        <w:t>the occurrences to be insured against by the owner of a lot in relation to those matters;</w:t>
      </w:r>
    </w:p>
    <w:p>
      <w:pPr>
        <w:pStyle w:val="nzIndenta"/>
        <w:rPr>
          <w:snapToGrid w:val="0"/>
        </w:rPr>
      </w:pPr>
      <w:r>
        <w:rPr>
          <w:snapToGrid w:val="0"/>
        </w:rPr>
        <w:tab/>
        <w:t>(c)</w:t>
      </w:r>
      <w:r>
        <w:rPr>
          <w:snapToGrid w:val="0"/>
        </w:rPr>
        <w:tab/>
        <w:t>the terms on which insurance is obtained.</w:t>
      </w:r>
    </w:p>
    <w:p>
      <w:pPr>
        <w:pStyle w:val="BlankClose"/>
      </w:pPr>
    </w:p>
    <w:p>
      <w:pPr>
        <w:pStyle w:val="nzPermNoteHeading"/>
      </w:pPr>
      <w:r>
        <w:tab/>
        <w:t>Note:</w:t>
      </w:r>
    </w:p>
    <w:p>
      <w:pPr>
        <w:pStyle w:val="nzPermNoteText"/>
      </w:pPr>
      <w:r>
        <w:tab/>
      </w:r>
      <w:r>
        <w:tab/>
        <w:t>Section 53C (as amended) is redesignated as clause 53C and relocated to Schedule 2A.</w:t>
      </w:r>
    </w:p>
    <w:p>
      <w:pPr>
        <w:pStyle w:val="nzHeading5"/>
      </w:pPr>
      <w:bookmarkStart w:id="587" w:name="_Toc530474318"/>
      <w:bookmarkStart w:id="588" w:name="_Toc530474913"/>
      <w:r>
        <w:rPr>
          <w:rStyle w:val="CharSectno"/>
        </w:rPr>
        <w:t>58</w:t>
      </w:r>
      <w:r>
        <w:t>.</w:t>
      </w:r>
      <w:r>
        <w:tab/>
        <w:t>Section 53D amended</w:t>
      </w:r>
      <w:bookmarkEnd w:id="587"/>
      <w:bookmarkEnd w:id="588"/>
    </w:p>
    <w:p>
      <w:pPr>
        <w:pStyle w:val="nzSubsection"/>
      </w:pPr>
      <w:r>
        <w:tab/>
        <w:t>(1)</w:t>
      </w:r>
      <w:r>
        <w:tab/>
        <w:t>Delete section 53D(1) and (2) and insert:</w:t>
      </w:r>
    </w:p>
    <w:p>
      <w:pPr>
        <w:pStyle w:val="BlankOpen"/>
      </w:pPr>
    </w:p>
    <w:p>
      <w:pPr>
        <w:pStyle w:val="nzSubsection"/>
        <w:rPr>
          <w:snapToGrid w:val="0"/>
        </w:rPr>
      </w:pPr>
      <w:r>
        <w:rPr>
          <w:snapToGrid w:val="0"/>
        </w:rPr>
        <w:tab/>
        <w:t>(1)</w:t>
      </w:r>
      <w:r>
        <w:rPr>
          <w:snapToGrid w:val="0"/>
        </w:rPr>
        <w:tab/>
        <w:t>This clause applies if —</w:t>
      </w:r>
    </w:p>
    <w:p>
      <w:pPr>
        <w:pStyle w:val="nzIndenta"/>
        <w:rPr>
          <w:snapToGrid w:val="0"/>
        </w:rPr>
      </w:pPr>
      <w:r>
        <w:rPr>
          <w:snapToGrid w:val="0"/>
        </w:rPr>
        <w:tab/>
        <w:t>(a)</w:t>
      </w:r>
      <w:r>
        <w:rPr>
          <w:snapToGrid w:val="0"/>
        </w:rPr>
        <w:tab/>
        <w:t>a resolution is in force under clause 53B(2); or</w:t>
      </w:r>
    </w:p>
    <w:p>
      <w:pPr>
        <w:pStyle w:val="nzIndenta"/>
        <w:rPr>
          <w:snapToGrid w:val="0"/>
        </w:rPr>
      </w:pPr>
      <w:r>
        <w:rPr>
          <w:snapToGrid w:val="0"/>
        </w:rPr>
        <w:tab/>
        <w:t>(b)</w:t>
      </w:r>
      <w:r>
        <w:rPr>
          <w:snapToGrid w:val="0"/>
        </w:rPr>
        <w:tab/>
        <w:t>in accordance with clause 53C, a strata company has the obligations described in subclause (1) of that clause.</w:t>
      </w:r>
    </w:p>
    <w:p>
      <w:pPr>
        <w:pStyle w:val="nz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BlankClose"/>
      </w:pPr>
    </w:p>
    <w:p>
      <w:pPr>
        <w:pStyle w:val="nzSubsection"/>
      </w:pPr>
      <w:r>
        <w:tab/>
        <w:t>(2)</w:t>
      </w:r>
      <w:r>
        <w:tab/>
        <w:t>In section 53D(3):</w:t>
      </w:r>
    </w:p>
    <w:p>
      <w:pPr>
        <w:pStyle w:val="nzIndenta"/>
      </w:pPr>
      <w:r>
        <w:tab/>
        <w:t>(a)</w:t>
      </w:r>
      <w:r>
        <w:tab/>
        <w:t>delete “shall —” and insert:</w:t>
      </w:r>
    </w:p>
    <w:p>
      <w:pPr>
        <w:pStyle w:val="BlankOpen"/>
      </w:pPr>
    </w:p>
    <w:p>
      <w:pPr>
        <w:pStyle w:val="nzIndenta"/>
      </w:pPr>
      <w:r>
        <w:tab/>
      </w:r>
      <w:r>
        <w:tab/>
      </w:r>
      <w:r>
        <w:rPr>
          <w:snapToGrid w:val="0"/>
        </w:rPr>
        <w:t>must —</w:t>
      </w:r>
    </w:p>
    <w:p>
      <w:pPr>
        <w:pStyle w:val="BlankClose"/>
      </w:pPr>
    </w:p>
    <w:p>
      <w:pPr>
        <w:pStyle w:val="nzIndenta"/>
      </w:pPr>
      <w:r>
        <w:tab/>
        <w:t>(b)</w:t>
      </w:r>
      <w:r>
        <w:tab/>
        <w:t>delete paragraph (a) and insert:</w:t>
      </w:r>
    </w:p>
    <w:p>
      <w:pPr>
        <w:pStyle w:val="BlankOpen"/>
      </w:pPr>
    </w:p>
    <w:p>
      <w:pPr>
        <w:pStyle w:val="nz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nzIndenti"/>
      </w:pPr>
      <w:r>
        <w:rPr>
          <w:snapToGrid w:val="0"/>
        </w:rPr>
        <w:tab/>
        <w:t>(i)</w:t>
      </w:r>
      <w:r>
        <w:rPr>
          <w:snapToGrid w:val="0"/>
        </w:rPr>
        <w:tab/>
      </w:r>
      <w:r>
        <w:t>to replacement value; or</w:t>
      </w:r>
    </w:p>
    <w:p>
      <w:pPr>
        <w:pStyle w:val="nzIndenti"/>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nzIndenta"/>
        <w:rPr>
          <w:snapToGrid w:val="0"/>
        </w:rPr>
      </w:pPr>
      <w:r>
        <w:rPr>
          <w:snapToGrid w:val="0"/>
        </w:rPr>
        <w:tab/>
      </w:r>
      <w:r>
        <w:rPr>
          <w:snapToGrid w:val="0"/>
        </w:rPr>
        <w:tab/>
        <w:t>and</w:t>
      </w:r>
    </w:p>
    <w:p>
      <w:pPr>
        <w:pStyle w:val="BlankClose"/>
      </w:pPr>
    </w:p>
    <w:p>
      <w:pPr>
        <w:pStyle w:val="nzIndenta"/>
      </w:pPr>
      <w:r>
        <w:tab/>
        <w:t>(c)</w:t>
      </w:r>
      <w:r>
        <w:tab/>
        <w:t>in paragraph (b) delete “</w:t>
      </w:r>
      <w:r>
        <w:rPr>
          <w:snapToGrid w:val="0"/>
        </w:rPr>
        <w:t>or bodily injury for not less than $5 000 000 or such other amount as may be prescribed</w:t>
      </w:r>
      <w:r>
        <w:t>” and insert:</w:t>
      </w:r>
    </w:p>
    <w:p>
      <w:pPr>
        <w:pStyle w:val="BlankOpen"/>
      </w:pPr>
    </w:p>
    <w:p>
      <w:pPr>
        <w:pStyle w:val="nzIndenta"/>
      </w:pPr>
      <w:r>
        <w:tab/>
      </w:r>
      <w:r>
        <w:tab/>
      </w:r>
      <w:r>
        <w:rPr>
          <w:snapToGrid w:val="0"/>
        </w:rPr>
        <w:t>bodily injury or illness for not less than $10 000 000 or such other amount as may be specified in the regulations</w:t>
      </w:r>
    </w:p>
    <w:p>
      <w:pPr>
        <w:pStyle w:val="BlankClose"/>
      </w:pPr>
    </w:p>
    <w:p>
      <w:pPr>
        <w:pStyle w:val="nzSubsection"/>
      </w:pPr>
      <w:r>
        <w:tab/>
        <w:t>(3)</w:t>
      </w:r>
      <w:r>
        <w:tab/>
        <w:t>In section 53D(3) delete the penalty and insert:</w:t>
      </w:r>
    </w:p>
    <w:p>
      <w:pPr>
        <w:pStyle w:val="BlankOpen"/>
      </w:pPr>
    </w:p>
    <w:p>
      <w:pPr>
        <w:pStyle w:val="nzPenstart"/>
        <w:rPr>
          <w:snapToGrid w:val="0"/>
        </w:rPr>
      </w:pPr>
      <w:r>
        <w:rPr>
          <w:snapToGrid w:val="0"/>
        </w:rPr>
        <w:tab/>
        <w:t>Penalty for this subclause: a fine of $3 000.</w:t>
      </w:r>
    </w:p>
    <w:p>
      <w:pPr>
        <w:pStyle w:val="BlankClose"/>
      </w:pPr>
    </w:p>
    <w:p>
      <w:pPr>
        <w:pStyle w:val="nzSubsection"/>
      </w:pPr>
      <w:r>
        <w:tab/>
        <w:t>(4)</w:t>
      </w:r>
      <w:r>
        <w:tab/>
        <w:t>Delete section 53D(4) and insert:</w:t>
      </w:r>
    </w:p>
    <w:p>
      <w:pPr>
        <w:pStyle w:val="BlankOpen"/>
      </w:pPr>
    </w:p>
    <w:p>
      <w:pPr>
        <w:pStyle w:val="nz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BlankClose"/>
      </w:pPr>
    </w:p>
    <w:p>
      <w:pPr>
        <w:pStyle w:val="nzSectAltNote"/>
      </w:pPr>
      <w:r>
        <w:tab/>
        <w:t>Note:</w:t>
      </w:r>
      <w:r>
        <w:tab/>
        <w:t>The heading to amended section 53D is to read:</w:t>
      </w:r>
    </w:p>
    <w:p>
      <w:pPr>
        <w:pStyle w:val="nzSectAltHeading"/>
      </w:pPr>
      <w:r>
        <w:rPr>
          <w:b w:val="0"/>
        </w:rPr>
        <w:tab/>
      </w:r>
      <w:r>
        <w:rPr>
          <w:b w:val="0"/>
        </w:rPr>
        <w:tab/>
      </w:r>
      <w:r>
        <w:t>Strata company’s obligations if it has insurance function in single tier strata scheme</w:t>
      </w:r>
    </w:p>
    <w:p>
      <w:pPr>
        <w:pStyle w:val="nzPermNoteHeading"/>
      </w:pPr>
      <w:r>
        <w:tab/>
        <w:t>Note:</w:t>
      </w:r>
    </w:p>
    <w:p>
      <w:pPr>
        <w:pStyle w:val="nzPermNoteText"/>
      </w:pPr>
      <w:r>
        <w:tab/>
      </w:r>
      <w:r>
        <w:tab/>
        <w:t>Section 53D (as amended) is redesignated as clause 53D and relocated to Schedule 2A.</w:t>
      </w:r>
    </w:p>
    <w:p>
      <w:pPr>
        <w:pStyle w:val="nzHeading5"/>
      </w:pPr>
      <w:bookmarkStart w:id="589" w:name="_Toc530474319"/>
      <w:bookmarkStart w:id="590" w:name="_Toc530474914"/>
      <w:r>
        <w:rPr>
          <w:rStyle w:val="CharSectno"/>
        </w:rPr>
        <w:t>59</w:t>
      </w:r>
      <w:r>
        <w:t>.</w:t>
      </w:r>
      <w:r>
        <w:tab/>
        <w:t>Section 53E amended</w:t>
      </w:r>
      <w:bookmarkEnd w:id="589"/>
      <w:bookmarkEnd w:id="590"/>
    </w:p>
    <w:p>
      <w:pPr>
        <w:pStyle w:val="nzSubsection"/>
      </w:pPr>
      <w:r>
        <w:tab/>
        <w:t>(1)</w:t>
      </w:r>
      <w:r>
        <w:tab/>
        <w:t>Delete section 53E(1) and (2) and insert:</w:t>
      </w:r>
    </w:p>
    <w:p>
      <w:pPr>
        <w:pStyle w:val="BlankOpen"/>
      </w:pPr>
    </w:p>
    <w:p>
      <w:pPr>
        <w:pStyle w:val="nzSubsection"/>
      </w:pPr>
      <w:r>
        <w:tab/>
        <w:t>(1)</w:t>
      </w:r>
      <w:r>
        <w:tab/>
      </w:r>
      <w:r>
        <w:rPr>
          <w:snapToGrid w:val="0"/>
        </w:rPr>
        <w:t>If</w:t>
      </w:r>
      <w:r>
        <w:t> —</w:t>
      </w:r>
    </w:p>
    <w:p>
      <w:pPr>
        <w:pStyle w:val="nzIndenta"/>
        <w:rPr>
          <w:snapToGrid w:val="0"/>
        </w:rPr>
      </w:pPr>
      <w:r>
        <w:rPr>
          <w:snapToGrid w:val="0"/>
        </w:rPr>
        <w:tab/>
        <w:t>(a)</w:t>
      </w:r>
      <w:r>
        <w:rPr>
          <w:snapToGrid w:val="0"/>
        </w:rPr>
        <w:tab/>
        <w:t>in accordance with section 140, an administrative fund is not maintained by a strata company under section 100(1)(a); and</w:t>
      </w:r>
    </w:p>
    <w:p>
      <w:pPr>
        <w:pStyle w:val="nz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nz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nzSubsection"/>
      </w:pPr>
      <w:r>
        <w:tab/>
        <w:t>(2)</w:t>
      </w:r>
      <w:r>
        <w:tab/>
        <w:t>The share payable by the owner of a lot is —</w:t>
      </w:r>
    </w:p>
    <w:p>
      <w:pPr>
        <w:pStyle w:val="nz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nzIndenta"/>
        <w:rPr>
          <w:snapToGrid w:val="0"/>
        </w:rPr>
      </w:pPr>
      <w:r>
        <w:rPr>
          <w:snapToGrid w:val="0"/>
        </w:rPr>
        <w:tab/>
        <w:t>(b)</w:t>
      </w:r>
      <w:r>
        <w:rPr>
          <w:snapToGrid w:val="0"/>
        </w:rPr>
        <w:tab/>
        <w:t>if applicable, a sum fixed under the scheme by</w:t>
      </w:r>
      <w:r>
        <w:rPr>
          <w:snapToGrid w:val="0"/>
        </w:rPr>
        <w:noBreakHyphen/>
        <w:t>laws.</w:t>
      </w:r>
    </w:p>
    <w:p>
      <w:pPr>
        <w:pStyle w:val="BlankClose"/>
      </w:pPr>
    </w:p>
    <w:p>
      <w:pPr>
        <w:pStyle w:val="nzSubsection"/>
      </w:pPr>
      <w:r>
        <w:tab/>
        <w:t>(2)</w:t>
      </w:r>
      <w:r>
        <w:tab/>
        <w:t>In section 53E(3):</w:t>
      </w:r>
    </w:p>
    <w:p>
      <w:pPr>
        <w:pStyle w:val="nzIndenta"/>
      </w:pPr>
      <w:r>
        <w:tab/>
        <w:t>(a)</w:t>
      </w:r>
      <w:r>
        <w:tab/>
        <w:t>delete “Where —” and insert:</w:t>
      </w:r>
    </w:p>
    <w:p>
      <w:pPr>
        <w:pStyle w:val="BlankOpen"/>
      </w:pPr>
    </w:p>
    <w:p>
      <w:pPr>
        <w:pStyle w:val="nzIndenta"/>
        <w:rPr>
          <w:snapToGrid w:val="0"/>
        </w:rPr>
      </w:pPr>
      <w:r>
        <w:tab/>
      </w:r>
      <w:r>
        <w:tab/>
        <w:t>If —</w:t>
      </w:r>
    </w:p>
    <w:p>
      <w:pPr>
        <w:pStyle w:val="BlankClose"/>
      </w:pPr>
    </w:p>
    <w:p>
      <w:pPr>
        <w:pStyle w:val="nzIndenta"/>
      </w:pPr>
      <w:r>
        <w:tab/>
        <w:t>(b)</w:t>
      </w:r>
      <w:r>
        <w:tab/>
        <w:t>delete paragraph (a) and insert:</w:t>
      </w:r>
    </w:p>
    <w:p>
      <w:pPr>
        <w:pStyle w:val="BlankOpen"/>
      </w:pPr>
    </w:p>
    <w:p>
      <w:pPr>
        <w:pStyle w:val="nzIndenta"/>
        <w:rPr>
          <w:snapToGrid w:val="0"/>
        </w:rPr>
      </w:pPr>
      <w:r>
        <w:rPr>
          <w:snapToGrid w:val="0"/>
        </w:rPr>
        <w:tab/>
        <w:t>(a)</w:t>
      </w:r>
      <w:r>
        <w:rPr>
          <w:snapToGrid w:val="0"/>
        </w:rPr>
        <w:tab/>
        <w:t>notice has been given to the owner of a lot under subclause (1); and</w:t>
      </w:r>
    </w:p>
    <w:p>
      <w:pPr>
        <w:pStyle w:val="BlankClose"/>
      </w:pPr>
    </w:p>
    <w:p>
      <w:pPr>
        <w:pStyle w:val="nzIndenta"/>
      </w:pPr>
      <w:r>
        <w:tab/>
        <w:t>(c)</w:t>
      </w:r>
      <w:r>
        <w:tab/>
        <w:t>in paragraph (b) delete “proprietor’s” and insert:</w:t>
      </w:r>
    </w:p>
    <w:p>
      <w:pPr>
        <w:pStyle w:val="BlankOpen"/>
      </w:pPr>
    </w:p>
    <w:p>
      <w:pPr>
        <w:pStyle w:val="nzIndenta"/>
        <w:rPr>
          <w:snapToGrid w:val="0"/>
        </w:rPr>
      </w:pPr>
      <w:r>
        <w:tab/>
      </w:r>
      <w:r>
        <w:tab/>
        <w:t>owner’s</w:t>
      </w:r>
    </w:p>
    <w:p>
      <w:pPr>
        <w:pStyle w:val="BlankClose"/>
      </w:pPr>
    </w:p>
    <w:p>
      <w:pPr>
        <w:pStyle w:val="nzIndenta"/>
      </w:pPr>
      <w:r>
        <w:tab/>
        <w:t>(d)</w:t>
      </w:r>
      <w:r>
        <w:tab/>
        <w:t>delete “proprietor” and insert:</w:t>
      </w:r>
    </w:p>
    <w:p>
      <w:pPr>
        <w:pStyle w:val="BlankOpen"/>
      </w:pPr>
    </w:p>
    <w:p>
      <w:pPr>
        <w:pStyle w:val="nzIndenta"/>
        <w:rPr>
          <w:snapToGrid w:val="0"/>
        </w:rPr>
      </w:pPr>
      <w:r>
        <w:tab/>
      </w:r>
      <w:r>
        <w:tab/>
        <w:t>owner</w:t>
      </w:r>
    </w:p>
    <w:p>
      <w:pPr>
        <w:pStyle w:val="BlankClose"/>
      </w:pPr>
    </w:p>
    <w:p>
      <w:pPr>
        <w:pStyle w:val="nzSubsection"/>
      </w:pPr>
      <w:r>
        <w:tab/>
        <w:t>(3)</w:t>
      </w:r>
      <w:r>
        <w:tab/>
        <w:t>Delete section 53E(4) and insert:</w:t>
      </w:r>
    </w:p>
    <w:p>
      <w:pPr>
        <w:pStyle w:val="BlankOpen"/>
      </w:pPr>
    </w:p>
    <w:p>
      <w:pPr>
        <w:pStyle w:val="nzSubsection"/>
      </w:pPr>
      <w:r>
        <w:tab/>
        <w:t>(4)</w:t>
      </w:r>
      <w:r>
        <w:tab/>
        <w:t xml:space="preserve">If </w:t>
      </w:r>
      <w:r>
        <w:rPr>
          <w:snapToGrid w:val="0"/>
        </w:rPr>
        <w:t>the</w:t>
      </w:r>
      <w:r>
        <w:t xml:space="preserve"> amount of an owner’s share has become due to the strata company but has not been paid, the owner of another lot may —</w:t>
      </w:r>
    </w:p>
    <w:p>
      <w:pPr>
        <w:pStyle w:val="nzIndenta"/>
        <w:rPr>
          <w:snapToGrid w:val="0"/>
        </w:rPr>
      </w:pPr>
      <w:r>
        <w:rPr>
          <w:snapToGrid w:val="0"/>
        </w:rPr>
        <w:tab/>
        <w:t>(a)</w:t>
      </w:r>
      <w:r>
        <w:rPr>
          <w:snapToGrid w:val="0"/>
        </w:rPr>
        <w:tab/>
        <w:t>pay the amount; and</w:t>
      </w:r>
    </w:p>
    <w:p>
      <w:pPr>
        <w:pStyle w:val="nzIndenta"/>
        <w:rPr>
          <w:snapToGrid w:val="0"/>
        </w:rPr>
      </w:pPr>
      <w:r>
        <w:rPr>
          <w:snapToGrid w:val="0"/>
        </w:rPr>
        <w:tab/>
        <w:t>(b)</w:t>
      </w:r>
      <w:r>
        <w:rPr>
          <w:snapToGrid w:val="0"/>
        </w:rPr>
        <w:tab/>
        <w:t>recover the amount as a debt on application to the Tribunal.</w:t>
      </w:r>
    </w:p>
    <w:p>
      <w:pPr>
        <w:pStyle w:val="BlankClose"/>
      </w:pPr>
    </w:p>
    <w:p>
      <w:pPr>
        <w:pStyle w:val="nzSectAltNote"/>
      </w:pPr>
      <w:r>
        <w:tab/>
        <w:t>Note:</w:t>
      </w:r>
      <w:r>
        <w:tab/>
        <w:t>The heading to amended section 53E is to read:</w:t>
      </w:r>
    </w:p>
    <w:p>
      <w:pPr>
        <w:pStyle w:val="nzSectAltHeading"/>
      </w:pPr>
      <w:r>
        <w:rPr>
          <w:b w:val="0"/>
        </w:rPr>
        <w:tab/>
      </w:r>
      <w:r>
        <w:rPr>
          <w:b w:val="0"/>
        </w:rPr>
        <w:tab/>
      </w:r>
      <w:r>
        <w:t>Recovery of premium by strata company or owner if no administrative fund in single tier strata schemes</w:t>
      </w:r>
    </w:p>
    <w:p>
      <w:pPr>
        <w:pStyle w:val="nzPermNoteHeading"/>
      </w:pPr>
      <w:r>
        <w:tab/>
        <w:t>Note:</w:t>
      </w:r>
    </w:p>
    <w:p>
      <w:pPr>
        <w:pStyle w:val="nzPermNoteText"/>
      </w:pPr>
      <w:r>
        <w:tab/>
      </w:r>
      <w:r>
        <w:tab/>
        <w:t>Section 53E (as amended) is redesignated as clause 53E and relocated to Schedule 2A.</w:t>
      </w:r>
    </w:p>
    <w:p>
      <w:pPr>
        <w:pStyle w:val="nzHeading5"/>
      </w:pPr>
      <w:bookmarkStart w:id="591" w:name="_Toc530474320"/>
      <w:bookmarkStart w:id="592" w:name="_Toc530474915"/>
      <w:r>
        <w:rPr>
          <w:rStyle w:val="CharSectno"/>
        </w:rPr>
        <w:t>60</w:t>
      </w:r>
      <w:r>
        <w:t>.</w:t>
      </w:r>
      <w:r>
        <w:tab/>
        <w:t>Section 57 amended</w:t>
      </w:r>
      <w:bookmarkEnd w:id="591"/>
      <w:bookmarkEnd w:id="592"/>
    </w:p>
    <w:p>
      <w:pPr>
        <w:pStyle w:val="nzSubsection"/>
      </w:pPr>
      <w:r>
        <w:tab/>
        <w:t>(1)</w:t>
      </w:r>
      <w:r>
        <w:tab/>
        <w:t>Delete section 57(1) and insert:</w:t>
      </w:r>
    </w:p>
    <w:p>
      <w:pPr>
        <w:pStyle w:val="BlankOpen"/>
      </w:pPr>
    </w:p>
    <w:p>
      <w:pPr>
        <w:pStyle w:val="nz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BlankClose"/>
      </w:pPr>
    </w:p>
    <w:p>
      <w:pPr>
        <w:pStyle w:val="nzSubsection"/>
      </w:pPr>
      <w:r>
        <w:tab/>
        <w:t>(2)</w:t>
      </w:r>
      <w:r>
        <w:tab/>
        <w:t>In section 57(2):</w:t>
      </w:r>
    </w:p>
    <w:p>
      <w:pPr>
        <w:pStyle w:val="nzIndenta"/>
      </w:pPr>
      <w:r>
        <w:tab/>
        <w:t>(a)</w:t>
      </w:r>
      <w:r>
        <w:tab/>
        <w:t>delete “Where any</w:t>
      </w:r>
      <w:r>
        <w:rPr>
          <w:snapToGrid w:val="0"/>
        </w:rPr>
        <w:t xml:space="preserve"> contract of insurance of the kind authorised by subsection (1)</w:t>
      </w:r>
      <w:r>
        <w:t>” and insert:</w:t>
      </w:r>
    </w:p>
    <w:p>
      <w:pPr>
        <w:pStyle w:val="BlankOpen"/>
      </w:pPr>
    </w:p>
    <w:p>
      <w:pPr>
        <w:pStyle w:val="nzIndenta"/>
      </w:pPr>
      <w:r>
        <w:tab/>
      </w:r>
      <w:r>
        <w:tab/>
        <w:t xml:space="preserve">If a </w:t>
      </w:r>
      <w:r>
        <w:rPr>
          <w:snapToGrid w:val="0"/>
        </w:rPr>
        <w:t>contract of mortgage insurance</w:t>
      </w:r>
    </w:p>
    <w:p>
      <w:pPr>
        <w:pStyle w:val="BlankClose"/>
      </w:pPr>
    </w:p>
    <w:p>
      <w:pPr>
        <w:pStyle w:val="nzIndenta"/>
      </w:pPr>
      <w:r>
        <w:tab/>
        <w:t>(b)</w:t>
      </w:r>
      <w:r>
        <w:tab/>
        <w:t>in paragraph (a) delete “shall” and insert:</w:t>
      </w:r>
    </w:p>
    <w:p>
      <w:pPr>
        <w:pStyle w:val="BlankOpen"/>
      </w:pPr>
    </w:p>
    <w:p>
      <w:pPr>
        <w:pStyle w:val="nzIndenta"/>
      </w:pPr>
      <w:r>
        <w:tab/>
      </w:r>
      <w:r>
        <w:tab/>
        <w:t>must</w:t>
      </w:r>
    </w:p>
    <w:p>
      <w:pPr>
        <w:pStyle w:val="BlankClose"/>
      </w:pPr>
    </w:p>
    <w:p>
      <w:pPr>
        <w:pStyle w:val="nzIndenta"/>
      </w:pPr>
      <w:r>
        <w:tab/>
        <w:t>(c)</w:t>
      </w:r>
      <w:r>
        <w:tab/>
        <w:t>in paragraph (a) delete “thereon” and insert:</w:t>
      </w:r>
    </w:p>
    <w:p>
      <w:pPr>
        <w:pStyle w:val="BlankOpen"/>
      </w:pPr>
    </w:p>
    <w:p>
      <w:pPr>
        <w:pStyle w:val="nzIndenta"/>
      </w:pPr>
      <w:r>
        <w:tab/>
      </w:r>
      <w:r>
        <w:tab/>
        <w:t>in the contract</w:t>
      </w:r>
    </w:p>
    <w:p>
      <w:pPr>
        <w:pStyle w:val="BlankClose"/>
      </w:pPr>
    </w:p>
    <w:p>
      <w:pPr>
        <w:pStyle w:val="nzIndenta"/>
      </w:pPr>
      <w:r>
        <w:tab/>
        <w:t>(d)</w:t>
      </w:r>
      <w:r>
        <w:tab/>
        <w:t>in paragraph (b) delete “thereunder —” and insert:</w:t>
      </w:r>
    </w:p>
    <w:p>
      <w:pPr>
        <w:pStyle w:val="BlankOpen"/>
      </w:pPr>
    </w:p>
    <w:p>
      <w:pPr>
        <w:pStyle w:val="nzIndenta"/>
      </w:pPr>
      <w:r>
        <w:tab/>
      </w:r>
      <w:r>
        <w:tab/>
        <w:t>the lesser of the following —</w:t>
      </w:r>
    </w:p>
    <w:p>
      <w:pPr>
        <w:pStyle w:val="BlankClose"/>
      </w:pPr>
    </w:p>
    <w:p>
      <w:pPr>
        <w:pStyle w:val="nzIndenta"/>
      </w:pPr>
      <w:r>
        <w:tab/>
        <w:t>(e)</w:t>
      </w:r>
      <w:r>
        <w:tab/>
        <w:t>in paragraph (b)(iii) delete “charged upon the lot,” and insert:</w:t>
      </w:r>
    </w:p>
    <w:p>
      <w:pPr>
        <w:pStyle w:val="BlankOpen"/>
      </w:pPr>
    </w:p>
    <w:p>
      <w:pPr>
        <w:pStyle w:val="nzIndenta"/>
      </w:pPr>
      <w:r>
        <w:tab/>
      </w:r>
      <w:r>
        <w:tab/>
        <w:t>of the lot;</w:t>
      </w:r>
    </w:p>
    <w:p>
      <w:pPr>
        <w:pStyle w:val="BlankClose"/>
      </w:pPr>
    </w:p>
    <w:p>
      <w:pPr>
        <w:pStyle w:val="nzIndenta"/>
      </w:pPr>
      <w:r>
        <w:tab/>
        <w:t>(f)</w:t>
      </w:r>
      <w:r>
        <w:tab/>
        <w:t>in paragraph (b) delete “whichever is the least amount;”;</w:t>
      </w:r>
    </w:p>
    <w:p>
      <w:pPr>
        <w:pStyle w:val="nzIndenta"/>
      </w:pPr>
      <w:r>
        <w:tab/>
        <w:t>(g)</w:t>
      </w:r>
      <w:r>
        <w:tab/>
        <w:t>in paragraph (c) delete “where” and insert:</w:t>
      </w:r>
    </w:p>
    <w:p>
      <w:pPr>
        <w:pStyle w:val="BlankOpen"/>
      </w:pPr>
    </w:p>
    <w:p>
      <w:pPr>
        <w:pStyle w:val="nzIndenta"/>
      </w:pPr>
      <w:r>
        <w:tab/>
      </w:r>
      <w:r>
        <w:tab/>
        <w:t>if</w:t>
      </w:r>
    </w:p>
    <w:p>
      <w:pPr>
        <w:pStyle w:val="BlankClose"/>
      </w:pPr>
    </w:p>
    <w:p>
      <w:pPr>
        <w:pStyle w:val="nzIndenta"/>
      </w:pPr>
      <w:r>
        <w:tab/>
        <w:t>(h)</w:t>
      </w:r>
      <w:r>
        <w:tab/>
        <w:t xml:space="preserve">in paragraph (c) delete “charged upon” and insert </w:t>
      </w:r>
    </w:p>
    <w:p>
      <w:pPr>
        <w:pStyle w:val="BlankOpen"/>
      </w:pPr>
    </w:p>
    <w:p>
      <w:pPr>
        <w:pStyle w:val="nzIndenta"/>
      </w:pPr>
      <w:r>
        <w:tab/>
      </w:r>
      <w:r>
        <w:tab/>
        <w:t>of</w:t>
      </w:r>
    </w:p>
    <w:p>
      <w:pPr>
        <w:pStyle w:val="BlankClose"/>
      </w:pPr>
    </w:p>
    <w:p>
      <w:pPr>
        <w:pStyle w:val="nzIndenta"/>
      </w:pPr>
      <w:r>
        <w:tab/>
        <w:t>(i)</w:t>
      </w:r>
      <w:r>
        <w:tab/>
        <w:t>in paragraph (d) delete “where” and insert:</w:t>
      </w:r>
    </w:p>
    <w:p>
      <w:pPr>
        <w:pStyle w:val="BlankOpen"/>
      </w:pPr>
    </w:p>
    <w:p>
      <w:pPr>
        <w:pStyle w:val="nzIndenta"/>
      </w:pPr>
      <w:r>
        <w:tab/>
      </w:r>
      <w:r>
        <w:tab/>
        <w:t>if</w:t>
      </w:r>
    </w:p>
    <w:p>
      <w:pPr>
        <w:pStyle w:val="BlankClose"/>
      </w:pPr>
    </w:p>
    <w:p>
      <w:pPr>
        <w:pStyle w:val="nzIndenta"/>
      </w:pPr>
      <w:r>
        <w:tab/>
        <w:t>(j)</w:t>
      </w:r>
      <w:r>
        <w:tab/>
        <w:t>in paragraph (d) delete “shall be” and insert:</w:t>
      </w:r>
    </w:p>
    <w:p>
      <w:pPr>
        <w:pStyle w:val="BlankOpen"/>
      </w:pPr>
    </w:p>
    <w:p>
      <w:pPr>
        <w:pStyle w:val="nzIndenta"/>
      </w:pPr>
      <w:r>
        <w:tab/>
      </w:r>
      <w:r>
        <w:tab/>
        <w:t>is</w:t>
      </w:r>
    </w:p>
    <w:p>
      <w:pPr>
        <w:pStyle w:val="BlankClose"/>
      </w:pPr>
    </w:p>
    <w:p>
      <w:pPr>
        <w:pStyle w:val="nzSubsection"/>
      </w:pPr>
      <w:r>
        <w:tab/>
        <w:t>(3)</w:t>
      </w:r>
      <w:r>
        <w:tab/>
        <w:t>In section 57(2) after each of paragraphs (a), (b) and (c) insert:</w:t>
      </w:r>
    </w:p>
    <w:p>
      <w:pPr>
        <w:pStyle w:val="BlankOpen"/>
      </w:pPr>
    </w:p>
    <w:p>
      <w:pPr>
        <w:pStyle w:val="nzSubsection"/>
      </w:pPr>
      <w:r>
        <w:tab/>
      </w:r>
      <w:r>
        <w:tab/>
        <w:t>and</w:t>
      </w:r>
    </w:p>
    <w:p>
      <w:pPr>
        <w:pStyle w:val="BlankClose"/>
      </w:pPr>
    </w:p>
    <w:p>
      <w:pPr>
        <w:pStyle w:val="nzSubsection"/>
      </w:pPr>
      <w:r>
        <w:tab/>
        <w:t>(4)</w:t>
      </w:r>
      <w:r>
        <w:tab/>
        <w:t>Delete section 57(3), (4) and (5) and insert:</w:t>
      </w:r>
    </w:p>
    <w:p>
      <w:pPr>
        <w:pStyle w:val="BlankOpen"/>
      </w:pPr>
    </w:p>
    <w:p>
      <w:pPr>
        <w:pStyle w:val="nzSubsection"/>
      </w:pPr>
      <w:r>
        <w:tab/>
        <w:t>(3)</w:t>
      </w:r>
      <w:r>
        <w:tab/>
        <w:t>A contract of mortgage insurance is not liable to be brought into contribution with any other such contract of mortgage insurance unless both contracts cover the same lot and relate to the same mortgage debt.</w:t>
      </w:r>
    </w:p>
    <w:p>
      <w:pPr>
        <w:pStyle w:val="nzSubsection"/>
      </w:pPr>
      <w:r>
        <w:tab/>
        <w:t>(4)</w:t>
      </w:r>
      <w:r>
        <w:tab/>
        <w:t>Nothing in this Act limits the right of the owner of a lot to effect insurance for the lot.</w:t>
      </w:r>
    </w:p>
    <w:p>
      <w:pPr>
        <w:pStyle w:val="BlankClose"/>
        <w:keepNext/>
      </w:pPr>
    </w:p>
    <w:p>
      <w:pPr>
        <w:pStyle w:val="nzSectAltNote"/>
      </w:pPr>
      <w:r>
        <w:tab/>
        <w:t>Note:</w:t>
      </w:r>
      <w:r>
        <w:tab/>
        <w:t>The heading to amended section 57 is to read:</w:t>
      </w:r>
    </w:p>
    <w:p>
      <w:pPr>
        <w:pStyle w:val="nzSectAltHeading"/>
      </w:pPr>
      <w:r>
        <w:rPr>
          <w:b w:val="0"/>
        </w:rPr>
        <w:tab/>
      </w:r>
      <w:r>
        <w:rPr>
          <w:b w:val="0"/>
        </w:rPr>
        <w:tab/>
      </w:r>
      <w:r>
        <w:t>Insurance for lot</w:t>
      </w:r>
    </w:p>
    <w:p>
      <w:pPr>
        <w:pStyle w:val="nzPermNoteHeading"/>
      </w:pPr>
      <w:r>
        <w:tab/>
        <w:t>Note:</w:t>
      </w:r>
    </w:p>
    <w:p>
      <w:pPr>
        <w:pStyle w:val="nzPermNoteText"/>
      </w:pPr>
      <w:r>
        <w:tab/>
      </w:r>
      <w:r>
        <w:tab/>
        <w:t>Section 57 (as amended) is renumbered as section 84 and relocated to Part 7 Division 1.</w:t>
      </w:r>
    </w:p>
    <w:p>
      <w:pPr>
        <w:pStyle w:val="nzHeading5"/>
      </w:pPr>
      <w:bookmarkStart w:id="593" w:name="_Toc530474321"/>
      <w:bookmarkStart w:id="594" w:name="_Toc530474916"/>
      <w:r>
        <w:rPr>
          <w:rStyle w:val="CharSectno"/>
        </w:rPr>
        <w:t>61</w:t>
      </w:r>
      <w:r>
        <w:t>.</w:t>
      </w:r>
      <w:r>
        <w:tab/>
        <w:t>Section 60 amended</w:t>
      </w:r>
      <w:bookmarkEnd w:id="593"/>
      <w:bookmarkEnd w:id="594"/>
    </w:p>
    <w:p>
      <w:pPr>
        <w:pStyle w:val="nzSubsection"/>
      </w:pPr>
      <w:r>
        <w:tab/>
        <w:t>(1)</w:t>
      </w:r>
      <w:r>
        <w:tab/>
        <w:t>In section 60(1):</w:t>
      </w:r>
    </w:p>
    <w:p>
      <w:pPr>
        <w:pStyle w:val="nzIndenta"/>
      </w:pPr>
      <w:r>
        <w:tab/>
        <w:t>(a)</w:t>
      </w:r>
      <w:r>
        <w:tab/>
        <w:t>delete “any plan” and insert:</w:t>
      </w:r>
    </w:p>
    <w:p>
      <w:pPr>
        <w:pStyle w:val="BlankOpen"/>
      </w:pPr>
    </w:p>
    <w:p>
      <w:pPr>
        <w:pStyle w:val="nzIndenta"/>
      </w:pPr>
      <w:r>
        <w:tab/>
      </w:r>
      <w:r>
        <w:tab/>
        <w:t>a scheme plan or an amendment of a scheme plan</w:t>
      </w:r>
    </w:p>
    <w:p>
      <w:pPr>
        <w:pStyle w:val="BlankClose"/>
      </w:pPr>
    </w:p>
    <w:p>
      <w:pPr>
        <w:pStyle w:val="nzIndenta"/>
      </w:pPr>
      <w:r>
        <w:tab/>
        <w:t>(b)</w:t>
      </w:r>
      <w:r>
        <w:tab/>
        <w:t>delete “shall” and insert:</w:t>
      </w:r>
    </w:p>
    <w:p>
      <w:pPr>
        <w:pStyle w:val="BlankOpen"/>
      </w:pPr>
    </w:p>
    <w:p>
      <w:pPr>
        <w:pStyle w:val="nzIndenta"/>
      </w:pPr>
      <w:r>
        <w:tab/>
      </w:r>
      <w:r>
        <w:tab/>
        <w:t>must</w:t>
      </w:r>
    </w:p>
    <w:p>
      <w:pPr>
        <w:pStyle w:val="BlankClose"/>
      </w:pPr>
    </w:p>
    <w:p>
      <w:pPr>
        <w:pStyle w:val="nzSubsection"/>
      </w:pPr>
      <w:r>
        <w:tab/>
        <w:t>(2)</w:t>
      </w:r>
      <w:r>
        <w:tab/>
        <w:t>Delete section 60(2).</w:t>
      </w:r>
    </w:p>
    <w:p>
      <w:pPr>
        <w:pStyle w:val="nzSubsection"/>
      </w:pPr>
      <w:r>
        <w:tab/>
        <w:t>(3)</w:t>
      </w:r>
      <w:r>
        <w:tab/>
        <w:t>In section 60(3):</w:t>
      </w:r>
    </w:p>
    <w:p>
      <w:pPr>
        <w:pStyle w:val="nzIndenta"/>
      </w:pPr>
      <w:r>
        <w:tab/>
        <w:t>(a)</w:t>
      </w:r>
      <w:r>
        <w:tab/>
        <w:t>after “plan” insert:</w:t>
      </w:r>
    </w:p>
    <w:p>
      <w:pPr>
        <w:pStyle w:val="BlankOpen"/>
      </w:pPr>
    </w:p>
    <w:p>
      <w:pPr>
        <w:pStyle w:val="nzIndenta"/>
      </w:pPr>
      <w:r>
        <w:tab/>
      </w:r>
      <w:r>
        <w:tab/>
        <w:t>or amended plan</w:t>
      </w:r>
    </w:p>
    <w:p>
      <w:pPr>
        <w:pStyle w:val="BlankClose"/>
      </w:pPr>
    </w:p>
    <w:p>
      <w:pPr>
        <w:pStyle w:val="nzIndenta"/>
      </w:pPr>
      <w:r>
        <w:tab/>
        <w:t>(b)</w:t>
      </w:r>
      <w:r>
        <w:tab/>
        <w:t>delete “shall” and insert:</w:t>
      </w:r>
    </w:p>
    <w:p>
      <w:pPr>
        <w:pStyle w:val="BlankOpen"/>
      </w:pPr>
    </w:p>
    <w:p>
      <w:pPr>
        <w:pStyle w:val="nzIndenta"/>
      </w:pPr>
      <w:r>
        <w:tab/>
      </w:r>
      <w:r>
        <w:tab/>
        <w:t>must</w:t>
      </w:r>
    </w:p>
    <w:p>
      <w:pPr>
        <w:pStyle w:val="BlankClose"/>
      </w:pPr>
    </w:p>
    <w:p>
      <w:pPr>
        <w:pStyle w:val="nzSectAltNote"/>
      </w:pPr>
      <w:r>
        <w:tab/>
        <w:t>Note:</w:t>
      </w:r>
      <w:r>
        <w:tab/>
        <w:t>The heading to amended section 60 is to read:</w:t>
      </w:r>
    </w:p>
    <w:p>
      <w:pPr>
        <w:pStyle w:val="nzSectAltHeading"/>
      </w:pPr>
      <w:r>
        <w:rPr>
          <w:b w:val="0"/>
        </w:rPr>
        <w:tab/>
      </w:r>
      <w:r>
        <w:rPr>
          <w:b w:val="0"/>
        </w:rPr>
        <w:tab/>
      </w:r>
      <w:r>
        <w:t>Registrar of Titles to deliver copies of plans</w:t>
      </w:r>
    </w:p>
    <w:p>
      <w:pPr>
        <w:pStyle w:val="nzPermNoteHeading"/>
      </w:pPr>
      <w:r>
        <w:tab/>
        <w:t>Note:</w:t>
      </w:r>
    </w:p>
    <w:p>
      <w:pPr>
        <w:pStyle w:val="nzPermNoteText"/>
      </w:pPr>
      <w:r>
        <w:tab/>
      </w:r>
      <w:r>
        <w:tab/>
        <w:t>Section 60 (as amended) is renumbered as section 67 and relocated to Part 5 Division 4.</w:t>
      </w:r>
    </w:p>
    <w:p>
      <w:pPr>
        <w:pStyle w:val="nzHeading5"/>
      </w:pPr>
      <w:bookmarkStart w:id="595" w:name="_Toc530474322"/>
      <w:bookmarkStart w:id="596" w:name="_Toc530474917"/>
      <w:r>
        <w:rPr>
          <w:rStyle w:val="CharSectno"/>
        </w:rPr>
        <w:t>62</w:t>
      </w:r>
      <w:r>
        <w:t>.</w:t>
      </w:r>
      <w:r>
        <w:tab/>
        <w:t>Section 61 amended</w:t>
      </w:r>
      <w:bookmarkEnd w:id="595"/>
      <w:bookmarkEnd w:id="596"/>
    </w:p>
    <w:p>
      <w:pPr>
        <w:pStyle w:val="nzSubsection"/>
      </w:pPr>
      <w:r>
        <w:tab/>
      </w:r>
      <w:r>
        <w:tab/>
        <w:t>In section 61:</w:t>
      </w:r>
    </w:p>
    <w:p>
      <w:pPr>
        <w:pStyle w:val="nzIndenta"/>
        <w:rPr>
          <w:snapToGrid w:val="0"/>
        </w:rPr>
      </w:pPr>
      <w:r>
        <w:tab/>
        <w:t>(a)</w:t>
      </w:r>
      <w:r>
        <w:tab/>
        <w:t>delete “</w:t>
      </w:r>
      <w:r>
        <w:rPr>
          <w:snapToGrid w:val="0"/>
        </w:rPr>
        <w:t>all purposes in relation to”;</w:t>
      </w:r>
    </w:p>
    <w:p>
      <w:pPr>
        <w:pStyle w:val="nzIndenta"/>
      </w:pPr>
      <w:r>
        <w:tab/>
        <w:t>(b)</w:t>
      </w:r>
      <w:r>
        <w:tab/>
        <w:t>delete “</w:t>
      </w:r>
      <w:r>
        <w:rPr>
          <w:snapToGrid w:val="0"/>
        </w:rPr>
        <w:t>the parcel or any part of the” and insert:</w:t>
      </w:r>
    </w:p>
    <w:p>
      <w:pPr>
        <w:pStyle w:val="BlankOpen"/>
        <w:rPr>
          <w:snapToGrid w:val="0"/>
        </w:rPr>
      </w:pPr>
    </w:p>
    <w:p>
      <w:pPr>
        <w:pStyle w:val="nzIndenta"/>
        <w:rPr>
          <w:snapToGrid w:val="0"/>
        </w:rPr>
      </w:pPr>
      <w:r>
        <w:rPr>
          <w:snapToGrid w:val="0"/>
        </w:rPr>
        <w:tab/>
      </w:r>
      <w:r>
        <w:rPr>
          <w:snapToGrid w:val="0"/>
        </w:rPr>
        <w:tab/>
        <w:t>a parcel or part of a</w:t>
      </w:r>
    </w:p>
    <w:p>
      <w:pPr>
        <w:pStyle w:val="BlankClose"/>
      </w:pPr>
    </w:p>
    <w:p>
      <w:pPr>
        <w:pStyle w:val="nzIndenta"/>
      </w:pPr>
      <w:r>
        <w:tab/>
        <w:t>(c)</w:t>
      </w:r>
      <w:r>
        <w:tab/>
        <w:t>in paragraph (a) delete “certified copy of the strata/survey</w:t>
      </w:r>
      <w:r>
        <w:noBreakHyphen/>
        <w:t>strata plan, plan of re</w:t>
      </w:r>
      <w:r>
        <w:noBreakHyphen/>
        <w:t>subdivision or consolidation for a scheme or transfer” and insert:</w:t>
      </w:r>
    </w:p>
    <w:p>
      <w:pPr>
        <w:pStyle w:val="BlankOpen"/>
      </w:pPr>
    </w:p>
    <w:p>
      <w:pPr>
        <w:pStyle w:val="nzIndenta"/>
      </w:pPr>
      <w:r>
        <w:tab/>
      </w:r>
      <w:r>
        <w:tab/>
        <w:t>copy of the scheme plan or amended plan</w:t>
      </w:r>
    </w:p>
    <w:p>
      <w:pPr>
        <w:pStyle w:val="BlankClose"/>
      </w:pPr>
    </w:p>
    <w:p>
      <w:pPr>
        <w:pStyle w:val="nzIndenta"/>
      </w:pPr>
      <w:r>
        <w:tab/>
        <w:t>(d)</w:t>
      </w:r>
      <w:r>
        <w:tab/>
        <w:t>in paragraph (a) delete “section 60,” and insert:</w:t>
      </w:r>
    </w:p>
    <w:p>
      <w:pPr>
        <w:pStyle w:val="BlankOpen"/>
      </w:pPr>
    </w:p>
    <w:p>
      <w:pPr>
        <w:pStyle w:val="nzIndenta"/>
      </w:pPr>
      <w:r>
        <w:tab/>
      </w:r>
      <w:r>
        <w:tab/>
        <w:t>section 67,</w:t>
      </w:r>
    </w:p>
    <w:p>
      <w:pPr>
        <w:pStyle w:val="BlankClose"/>
      </w:pPr>
    </w:p>
    <w:p>
      <w:pPr>
        <w:pStyle w:val="nzIndenta"/>
      </w:pPr>
      <w:r>
        <w:tab/>
        <w:t>(e)</w:t>
      </w:r>
      <w:r>
        <w:tab/>
        <w:t>in paragraph (b) delete “certified” (each occurrence);</w:t>
      </w:r>
    </w:p>
    <w:p>
      <w:pPr>
        <w:pStyle w:val="nzIndenta"/>
      </w:pPr>
      <w:r>
        <w:tab/>
        <w:t>(f)</w:t>
      </w:r>
      <w:r>
        <w:tab/>
        <w:t>in paragraph (b) delete “transfer” and insert:</w:t>
      </w:r>
    </w:p>
    <w:p>
      <w:pPr>
        <w:pStyle w:val="BlankOpen"/>
      </w:pPr>
    </w:p>
    <w:p>
      <w:pPr>
        <w:pStyle w:val="nzIndenta"/>
      </w:pPr>
      <w:r>
        <w:tab/>
      </w:r>
      <w:r>
        <w:tab/>
        <w:t>amended plan</w:t>
      </w:r>
    </w:p>
    <w:p>
      <w:pPr>
        <w:pStyle w:val="BlankClose"/>
        <w:keepNext/>
      </w:pPr>
    </w:p>
    <w:p>
      <w:pPr>
        <w:pStyle w:val="nzPermNoteHeading"/>
      </w:pPr>
      <w:r>
        <w:tab/>
        <w:t>Note:</w:t>
      </w:r>
    </w:p>
    <w:p>
      <w:pPr>
        <w:pStyle w:val="nzPermNoteText"/>
      </w:pPr>
      <w:r>
        <w:tab/>
      </w:r>
      <w:r>
        <w:tab/>
        <w:t>Section 61 (as amended) is renumbered as section 68 and relocated to Part 5 Division 4.</w:t>
      </w:r>
    </w:p>
    <w:p>
      <w:pPr>
        <w:pStyle w:val="nzHeading5"/>
      </w:pPr>
      <w:bookmarkStart w:id="597" w:name="_Toc530474323"/>
      <w:bookmarkStart w:id="598" w:name="_Toc530474918"/>
      <w:r>
        <w:rPr>
          <w:rStyle w:val="CharSectno"/>
        </w:rPr>
        <w:t>63</w:t>
      </w:r>
      <w:r>
        <w:t>.</w:t>
      </w:r>
      <w:r>
        <w:tab/>
        <w:t>Section 62 amended</w:t>
      </w:r>
      <w:bookmarkEnd w:id="597"/>
      <w:bookmarkEnd w:id="598"/>
    </w:p>
    <w:p>
      <w:pPr>
        <w:pStyle w:val="nzSubsection"/>
      </w:pPr>
      <w:r>
        <w:tab/>
        <w:t>(1)</w:t>
      </w:r>
      <w:r>
        <w:tab/>
        <w:t>In section 62(1):</w:t>
      </w:r>
    </w:p>
    <w:p>
      <w:pPr>
        <w:pStyle w:val="nzIndenta"/>
      </w:pPr>
      <w:r>
        <w:tab/>
        <w:t>(a)</w:t>
      </w:r>
      <w:r>
        <w:tab/>
        <w:t>delete “Where” and insert:</w:t>
      </w:r>
    </w:p>
    <w:p>
      <w:pPr>
        <w:pStyle w:val="BlankOpen"/>
      </w:pPr>
    </w:p>
    <w:p>
      <w:pPr>
        <w:pStyle w:val="nzIndenta"/>
      </w:pPr>
      <w:r>
        <w:tab/>
      </w:r>
      <w:r>
        <w:tab/>
        <w:t>If</w:t>
      </w:r>
    </w:p>
    <w:p>
      <w:pPr>
        <w:pStyle w:val="BlankClose"/>
      </w:pPr>
    </w:p>
    <w:p>
      <w:pPr>
        <w:pStyle w:val="nzIndenta"/>
      </w:pPr>
      <w:r>
        <w:tab/>
        <w:t>(b)</w:t>
      </w:r>
      <w:r>
        <w:tab/>
        <w:t>delete “in a strata plan” and insert:</w:t>
      </w:r>
    </w:p>
    <w:p>
      <w:pPr>
        <w:pStyle w:val="BlankOpen"/>
      </w:pPr>
    </w:p>
    <w:p>
      <w:pPr>
        <w:pStyle w:val="nzIndenta"/>
      </w:pPr>
      <w:r>
        <w:tab/>
      </w:r>
      <w:r>
        <w:tab/>
        <w:t>subdivided by a strata scheme</w:t>
      </w:r>
    </w:p>
    <w:p>
      <w:pPr>
        <w:pStyle w:val="BlankClose"/>
      </w:pPr>
    </w:p>
    <w:p>
      <w:pPr>
        <w:pStyle w:val="nzIndenta"/>
      </w:pPr>
      <w:r>
        <w:tab/>
        <w:t>(c)</w:t>
      </w:r>
      <w:r>
        <w:tab/>
        <w:t>delete “shall, notwithstanding” and insert:</w:t>
      </w:r>
    </w:p>
    <w:p>
      <w:pPr>
        <w:pStyle w:val="BlankOpen"/>
      </w:pPr>
    </w:p>
    <w:p>
      <w:pPr>
        <w:pStyle w:val="nzIndenta"/>
      </w:pPr>
      <w:r>
        <w:tab/>
      </w:r>
      <w:r>
        <w:tab/>
        <w:t>must, despite</w:t>
      </w:r>
    </w:p>
    <w:p>
      <w:pPr>
        <w:pStyle w:val="BlankClose"/>
      </w:pPr>
    </w:p>
    <w:p>
      <w:pPr>
        <w:pStyle w:val="nzSubsection"/>
      </w:pPr>
      <w:r>
        <w:tab/>
        <w:t>(2)</w:t>
      </w:r>
      <w:r>
        <w:tab/>
        <w:t>In section 62(2):</w:t>
      </w:r>
    </w:p>
    <w:p>
      <w:pPr>
        <w:pStyle w:val="nzIndenta"/>
      </w:pPr>
      <w:r>
        <w:tab/>
        <w:t>(a)</w:t>
      </w:r>
      <w:r>
        <w:tab/>
        <w:t>delete “thereto,” and insert:</w:t>
      </w:r>
    </w:p>
    <w:p>
      <w:pPr>
        <w:pStyle w:val="BlankOpen"/>
      </w:pPr>
    </w:p>
    <w:p>
      <w:pPr>
        <w:pStyle w:val="nzIndenta"/>
      </w:pPr>
      <w:r>
        <w:tab/>
      </w:r>
      <w:r>
        <w:tab/>
        <w:t>to the valuation,</w:t>
      </w:r>
    </w:p>
    <w:p>
      <w:pPr>
        <w:pStyle w:val="BlankClose"/>
      </w:pPr>
    </w:p>
    <w:p>
      <w:pPr>
        <w:pStyle w:val="nzIndenta"/>
      </w:pPr>
      <w:r>
        <w:tab/>
        <w:t>(b)</w:t>
      </w:r>
      <w:r>
        <w:tab/>
        <w:t>delete “thereon shall be deemed” and insert:</w:t>
      </w:r>
    </w:p>
    <w:p>
      <w:pPr>
        <w:pStyle w:val="BlankOpen"/>
      </w:pPr>
    </w:p>
    <w:p>
      <w:pPr>
        <w:pStyle w:val="nzIndenta"/>
      </w:pPr>
      <w:r>
        <w:tab/>
      </w:r>
      <w:r>
        <w:tab/>
        <w:t>on the parcel are taken</w:t>
      </w:r>
    </w:p>
    <w:p>
      <w:pPr>
        <w:pStyle w:val="BlankClose"/>
      </w:pPr>
    </w:p>
    <w:p>
      <w:pPr>
        <w:pStyle w:val="nzSubsection"/>
      </w:pPr>
      <w:r>
        <w:tab/>
        <w:t>(3)</w:t>
      </w:r>
      <w:r>
        <w:tab/>
        <w:t>In section 62(3):</w:t>
      </w:r>
    </w:p>
    <w:p>
      <w:pPr>
        <w:pStyle w:val="nzIndenta"/>
      </w:pPr>
      <w:r>
        <w:tab/>
        <w:t>(a)</w:t>
      </w:r>
      <w:r>
        <w:tab/>
        <w:t>delete “strata/survey</w:t>
      </w:r>
      <w:r>
        <w:noBreakHyphen/>
        <w:t>strata plan” and insert:</w:t>
      </w:r>
    </w:p>
    <w:p>
      <w:pPr>
        <w:pStyle w:val="BlankOpen"/>
      </w:pPr>
    </w:p>
    <w:p>
      <w:pPr>
        <w:pStyle w:val="nzIndenta"/>
      </w:pPr>
      <w:r>
        <w:tab/>
      </w:r>
      <w:r>
        <w:tab/>
        <w:t>strata scheme</w:t>
      </w:r>
    </w:p>
    <w:p>
      <w:pPr>
        <w:pStyle w:val="BlankClose"/>
      </w:pPr>
    </w:p>
    <w:p>
      <w:pPr>
        <w:pStyle w:val="nzIndenta"/>
      </w:pPr>
      <w:r>
        <w:tab/>
        <w:t>(b)</w:t>
      </w:r>
      <w:r>
        <w:tab/>
        <w:t>delete “shall for the purposes of this section be deemed” and insert:</w:t>
      </w:r>
    </w:p>
    <w:p>
      <w:pPr>
        <w:pStyle w:val="BlankOpen"/>
      </w:pPr>
    </w:p>
    <w:p>
      <w:pPr>
        <w:pStyle w:val="nzIndenta"/>
      </w:pPr>
      <w:r>
        <w:tab/>
      </w:r>
      <w:r>
        <w:tab/>
        <w:t>is taken, for the purposes of this section,</w:t>
      </w:r>
    </w:p>
    <w:p>
      <w:pPr>
        <w:pStyle w:val="BlankClose"/>
      </w:pPr>
    </w:p>
    <w:p>
      <w:pPr>
        <w:pStyle w:val="nzSubsection"/>
      </w:pPr>
      <w:r>
        <w:tab/>
        <w:t>(4)</w:t>
      </w:r>
      <w:r>
        <w:tab/>
        <w:t>In section 62(4):</w:t>
      </w:r>
    </w:p>
    <w:p>
      <w:pPr>
        <w:pStyle w:val="nzIndenta"/>
      </w:pPr>
      <w:r>
        <w:tab/>
        <w:t>(a)</w:t>
      </w:r>
      <w:r>
        <w:tab/>
        <w:t>delete “where” and insert:</w:t>
      </w:r>
    </w:p>
    <w:p>
      <w:pPr>
        <w:pStyle w:val="BlankOpen"/>
      </w:pPr>
    </w:p>
    <w:p>
      <w:pPr>
        <w:pStyle w:val="nzIndenta"/>
      </w:pPr>
      <w:r>
        <w:tab/>
      </w:r>
      <w:r>
        <w:tab/>
        <w:t>if</w:t>
      </w:r>
    </w:p>
    <w:p>
      <w:pPr>
        <w:pStyle w:val="BlankClose"/>
      </w:pPr>
    </w:p>
    <w:p>
      <w:pPr>
        <w:pStyle w:val="nzIndenta"/>
      </w:pPr>
      <w:r>
        <w:tab/>
        <w:t>(b)</w:t>
      </w:r>
      <w:r>
        <w:tab/>
        <w:t>delete “in this section called”.</w:t>
      </w:r>
    </w:p>
    <w:p>
      <w:pPr>
        <w:pStyle w:val="nzIndenta"/>
      </w:pPr>
      <w:r>
        <w:tab/>
        <w:t>(c)</w:t>
      </w:r>
      <w:r>
        <w:tab/>
        <w:t>in paragraph (a) delete “shall” and insert:</w:t>
      </w:r>
    </w:p>
    <w:p>
      <w:pPr>
        <w:pStyle w:val="BlankOpen"/>
      </w:pPr>
    </w:p>
    <w:p>
      <w:pPr>
        <w:pStyle w:val="nzIndenta"/>
      </w:pPr>
      <w:r>
        <w:tab/>
      </w:r>
      <w:r>
        <w:tab/>
        <w:t>must</w:t>
      </w:r>
    </w:p>
    <w:p>
      <w:pPr>
        <w:pStyle w:val="BlankClose"/>
      </w:pPr>
    </w:p>
    <w:p>
      <w:pPr>
        <w:pStyle w:val="nzIndenta"/>
      </w:pPr>
      <w:r>
        <w:tab/>
        <w:t>(d)</w:t>
      </w:r>
      <w:r>
        <w:tab/>
        <w:t>in paragraph (a) delete “as shown on the registered strata plan;” and insert:</w:t>
      </w:r>
    </w:p>
    <w:p>
      <w:pPr>
        <w:pStyle w:val="BlankOpen"/>
      </w:pPr>
    </w:p>
    <w:p>
      <w:pPr>
        <w:pStyle w:val="nzIndenta"/>
      </w:pPr>
      <w:r>
        <w:tab/>
      </w:r>
      <w:r>
        <w:tab/>
        <w:t xml:space="preserve">in the strata scheme; </w:t>
      </w:r>
    </w:p>
    <w:p>
      <w:pPr>
        <w:pStyle w:val="BlankClose"/>
      </w:pPr>
    </w:p>
    <w:p>
      <w:pPr>
        <w:pStyle w:val="nzIndenta"/>
      </w:pPr>
      <w:r>
        <w:tab/>
        <w:t>(e)</w:t>
      </w:r>
      <w:r>
        <w:tab/>
        <w:t>in paragraph (c) delete “proprietor” and insert:</w:t>
      </w:r>
    </w:p>
    <w:p>
      <w:pPr>
        <w:pStyle w:val="BlankOpen"/>
      </w:pPr>
    </w:p>
    <w:p>
      <w:pPr>
        <w:pStyle w:val="nzIndenta"/>
      </w:pPr>
      <w:r>
        <w:tab/>
      </w:r>
      <w:r>
        <w:tab/>
        <w:t>owner</w:t>
      </w:r>
    </w:p>
    <w:p>
      <w:pPr>
        <w:pStyle w:val="BlankClose"/>
      </w:pPr>
    </w:p>
    <w:p>
      <w:pPr>
        <w:pStyle w:val="nzIndenta"/>
      </w:pPr>
      <w:r>
        <w:tab/>
        <w:t>(f)</w:t>
      </w:r>
      <w:r>
        <w:tab/>
        <w:t>in paragraph (c) delete “deemed” and insert:</w:t>
      </w:r>
    </w:p>
    <w:p>
      <w:pPr>
        <w:pStyle w:val="BlankOpen"/>
      </w:pPr>
    </w:p>
    <w:p>
      <w:pPr>
        <w:pStyle w:val="nzIndenta"/>
      </w:pPr>
      <w:r>
        <w:tab/>
      </w:r>
      <w:r>
        <w:tab/>
        <w:t>taken</w:t>
      </w:r>
    </w:p>
    <w:p>
      <w:pPr>
        <w:pStyle w:val="BlankClose"/>
      </w:pPr>
    </w:p>
    <w:p>
      <w:pPr>
        <w:pStyle w:val="nzSubsection"/>
      </w:pPr>
      <w:r>
        <w:tab/>
        <w:t>(5)</w:t>
      </w:r>
      <w:r>
        <w:tab/>
        <w:t>In section 62(5):</w:t>
      </w:r>
    </w:p>
    <w:p>
      <w:pPr>
        <w:pStyle w:val="nzIndenta"/>
      </w:pPr>
      <w:r>
        <w:tab/>
        <w:t>(a)</w:t>
      </w:r>
      <w:r>
        <w:tab/>
        <w:t xml:space="preserve">delete “Where —” and insert: </w:t>
      </w:r>
    </w:p>
    <w:p>
      <w:pPr>
        <w:pStyle w:val="BlankOpen"/>
      </w:pPr>
    </w:p>
    <w:p>
      <w:pPr>
        <w:pStyle w:val="nzIndenta"/>
      </w:pPr>
      <w:r>
        <w:tab/>
      </w:r>
      <w:r>
        <w:tab/>
        <w:t>If —</w:t>
      </w:r>
    </w:p>
    <w:p>
      <w:pPr>
        <w:pStyle w:val="BlankClose"/>
      </w:pPr>
    </w:p>
    <w:p>
      <w:pPr>
        <w:pStyle w:val="nzIndenta"/>
      </w:pPr>
      <w:r>
        <w:tab/>
        <w:t>(b)</w:t>
      </w:r>
      <w:r>
        <w:tab/>
        <w:t>in paragraph (a) delete “shall” and insert:</w:t>
      </w:r>
    </w:p>
    <w:p>
      <w:pPr>
        <w:pStyle w:val="BlankOpen"/>
      </w:pPr>
    </w:p>
    <w:p>
      <w:pPr>
        <w:pStyle w:val="nzIndenta"/>
      </w:pPr>
      <w:r>
        <w:tab/>
      </w:r>
      <w:r>
        <w:tab/>
        <w:t>must</w:t>
      </w:r>
    </w:p>
    <w:p>
      <w:pPr>
        <w:pStyle w:val="BlankClose"/>
      </w:pPr>
    </w:p>
    <w:p>
      <w:pPr>
        <w:pStyle w:val="nzIndenta"/>
      </w:pPr>
      <w:r>
        <w:tab/>
        <w:t>(c)</w:t>
      </w:r>
      <w:r>
        <w:tab/>
        <w:t>in paragraph (a) delete “upon” and insert:</w:t>
      </w:r>
    </w:p>
    <w:p>
      <w:pPr>
        <w:pStyle w:val="BlankOpen"/>
      </w:pPr>
    </w:p>
    <w:p>
      <w:pPr>
        <w:pStyle w:val="nzIndenta"/>
      </w:pPr>
      <w:r>
        <w:tab/>
      </w:r>
      <w:r>
        <w:tab/>
        <w:t>on</w:t>
      </w:r>
    </w:p>
    <w:p>
      <w:pPr>
        <w:pStyle w:val="BlankClose"/>
      </w:pPr>
    </w:p>
    <w:p>
      <w:pPr>
        <w:pStyle w:val="nzIndenta"/>
      </w:pPr>
      <w:r>
        <w:tab/>
        <w:t>(d)</w:t>
      </w:r>
      <w:r>
        <w:tab/>
        <w:t>in paragraph (b) delete “shall” and insert:</w:t>
      </w:r>
    </w:p>
    <w:p>
      <w:pPr>
        <w:pStyle w:val="BlankOpen"/>
      </w:pPr>
    </w:p>
    <w:p>
      <w:pPr>
        <w:pStyle w:val="nzIndenta"/>
      </w:pPr>
      <w:r>
        <w:tab/>
      </w:r>
      <w:r>
        <w:tab/>
        <w:t>is to</w:t>
      </w:r>
    </w:p>
    <w:p>
      <w:pPr>
        <w:pStyle w:val="BlankClose"/>
      </w:pPr>
    </w:p>
    <w:p>
      <w:pPr>
        <w:pStyle w:val="nzIndenta"/>
      </w:pPr>
      <w:r>
        <w:tab/>
        <w:t>(e)</w:t>
      </w:r>
      <w:r>
        <w:tab/>
        <w:t>in paragraph (b) delete “ therefrom”;</w:t>
      </w:r>
    </w:p>
    <w:p>
      <w:pPr>
        <w:pStyle w:val="nzIndenta"/>
      </w:pPr>
      <w:r>
        <w:tab/>
        <w:t>(f)</w:t>
      </w:r>
      <w:r>
        <w:tab/>
        <w:t>in paragraph (b) delete “such” and insert:</w:t>
      </w:r>
    </w:p>
    <w:p>
      <w:pPr>
        <w:pStyle w:val="BlankOpen"/>
      </w:pPr>
    </w:p>
    <w:p>
      <w:pPr>
        <w:pStyle w:val="nzIndenta"/>
      </w:pPr>
      <w:r>
        <w:tab/>
      </w:r>
      <w:r>
        <w:tab/>
        <w:t>the</w:t>
      </w:r>
    </w:p>
    <w:p>
      <w:pPr>
        <w:pStyle w:val="BlankClose"/>
      </w:pPr>
    </w:p>
    <w:p>
      <w:pPr>
        <w:pStyle w:val="nzSectAltNote"/>
      </w:pPr>
      <w:r>
        <w:tab/>
        <w:t>Note:</w:t>
      </w:r>
      <w:r>
        <w:tab/>
        <w:t>The heading to amended section 62 is to read:</w:t>
      </w:r>
    </w:p>
    <w:p>
      <w:pPr>
        <w:pStyle w:val="nzSectAltHeading"/>
      </w:pPr>
      <w:r>
        <w:rPr>
          <w:b w:val="0"/>
        </w:rPr>
        <w:tab/>
      </w:r>
      <w:r>
        <w:rPr>
          <w:b w:val="0"/>
        </w:rPr>
        <w:tab/>
      </w:r>
      <w:r>
        <w:t>Rating for strata schemes</w:t>
      </w:r>
    </w:p>
    <w:p>
      <w:pPr>
        <w:pStyle w:val="nzPermNoteHeading"/>
      </w:pPr>
      <w:r>
        <w:tab/>
        <w:t>Note:</w:t>
      </w:r>
    </w:p>
    <w:p>
      <w:pPr>
        <w:pStyle w:val="nzPermNoteText"/>
      </w:pPr>
      <w:r>
        <w:tab/>
      </w:r>
      <w:r>
        <w:tab/>
        <w:t>Section 62 (as amended) is renumbered as section 69 and relocated to Part 5 Division 4.</w:t>
      </w:r>
    </w:p>
    <w:p>
      <w:pPr>
        <w:pStyle w:val="nzHeading5"/>
      </w:pPr>
      <w:bookmarkStart w:id="599" w:name="_Toc530474324"/>
      <w:bookmarkStart w:id="600" w:name="_Toc530474919"/>
      <w:r>
        <w:rPr>
          <w:rStyle w:val="CharSectno"/>
        </w:rPr>
        <w:t>64</w:t>
      </w:r>
      <w:r>
        <w:t>.</w:t>
      </w:r>
      <w:r>
        <w:tab/>
        <w:t>Section 62A amended</w:t>
      </w:r>
      <w:bookmarkEnd w:id="599"/>
      <w:bookmarkEnd w:id="600"/>
    </w:p>
    <w:p>
      <w:pPr>
        <w:pStyle w:val="nzSubsection"/>
      </w:pPr>
      <w:r>
        <w:tab/>
        <w:t>(1)</w:t>
      </w:r>
      <w:r>
        <w:tab/>
        <w:t>In section 62A(2):</w:t>
      </w:r>
    </w:p>
    <w:p>
      <w:pPr>
        <w:pStyle w:val="nzIndenta"/>
      </w:pPr>
      <w:r>
        <w:tab/>
        <w:t>(a)</w:t>
      </w:r>
      <w:r>
        <w:tab/>
        <w:t>delete “shall” and insert:</w:t>
      </w:r>
    </w:p>
    <w:p>
      <w:pPr>
        <w:pStyle w:val="BlankOpen"/>
      </w:pPr>
    </w:p>
    <w:p>
      <w:pPr>
        <w:pStyle w:val="nzIndenta"/>
      </w:pPr>
      <w:r>
        <w:tab/>
      </w:r>
      <w:r>
        <w:tab/>
        <w:t>must</w:t>
      </w:r>
    </w:p>
    <w:p>
      <w:pPr>
        <w:pStyle w:val="BlankClose"/>
      </w:pPr>
    </w:p>
    <w:p>
      <w:pPr>
        <w:pStyle w:val="nzIndenta"/>
      </w:pPr>
      <w:r>
        <w:tab/>
        <w:t>(b)</w:t>
      </w:r>
      <w:r>
        <w:tab/>
        <w:t>delete “any” and insert:</w:t>
      </w:r>
    </w:p>
    <w:p>
      <w:pPr>
        <w:pStyle w:val="BlankOpen"/>
      </w:pPr>
    </w:p>
    <w:p>
      <w:pPr>
        <w:pStyle w:val="nzIndenta"/>
      </w:pPr>
      <w:r>
        <w:tab/>
      </w:r>
      <w:r>
        <w:tab/>
        <w:t>a</w:t>
      </w:r>
    </w:p>
    <w:p>
      <w:pPr>
        <w:pStyle w:val="BlankClose"/>
      </w:pPr>
    </w:p>
    <w:p>
      <w:pPr>
        <w:pStyle w:val="nzSubsection"/>
      </w:pPr>
      <w:r>
        <w:tab/>
        <w:t>(2)</w:t>
      </w:r>
      <w:r>
        <w:tab/>
        <w:t>In section 62A(3):</w:t>
      </w:r>
    </w:p>
    <w:p>
      <w:pPr>
        <w:pStyle w:val="nzIndenta"/>
      </w:pPr>
      <w:r>
        <w:tab/>
        <w:t>(a)</w:t>
      </w:r>
      <w:r>
        <w:tab/>
        <w:t>delete “shall” and insert:</w:t>
      </w:r>
    </w:p>
    <w:p>
      <w:pPr>
        <w:pStyle w:val="BlankOpen"/>
      </w:pPr>
    </w:p>
    <w:p>
      <w:pPr>
        <w:pStyle w:val="nzIndenta"/>
      </w:pPr>
      <w:r>
        <w:tab/>
      </w:r>
      <w:r>
        <w:tab/>
        <w:t>must</w:t>
      </w:r>
    </w:p>
    <w:p>
      <w:pPr>
        <w:pStyle w:val="BlankClose"/>
      </w:pPr>
    </w:p>
    <w:p>
      <w:pPr>
        <w:pStyle w:val="nzIndenta"/>
      </w:pPr>
      <w:r>
        <w:tab/>
        <w:t>(b)</w:t>
      </w:r>
      <w:r>
        <w:tab/>
        <w:t>delete “any”.</w:t>
      </w:r>
    </w:p>
    <w:p>
      <w:pPr>
        <w:pStyle w:val="nzSubsection"/>
      </w:pPr>
      <w:r>
        <w:tab/>
        <w:t>(3)</w:t>
      </w:r>
      <w:r>
        <w:tab/>
        <w:t>In section 62A(4):</w:t>
      </w:r>
    </w:p>
    <w:p>
      <w:pPr>
        <w:pStyle w:val="nzIndenta"/>
      </w:pPr>
      <w:r>
        <w:tab/>
        <w:t>(a)</w:t>
      </w:r>
      <w:r>
        <w:tab/>
        <w:t>delete “Where” and insert:</w:t>
      </w:r>
    </w:p>
    <w:p>
      <w:pPr>
        <w:pStyle w:val="BlankOpen"/>
      </w:pPr>
    </w:p>
    <w:p>
      <w:pPr>
        <w:pStyle w:val="nzIndenta"/>
      </w:pPr>
      <w:r>
        <w:tab/>
      </w:r>
      <w:r>
        <w:tab/>
        <w:t>If</w:t>
      </w:r>
    </w:p>
    <w:p>
      <w:pPr>
        <w:pStyle w:val="BlankClose"/>
      </w:pPr>
    </w:p>
    <w:p>
      <w:pPr>
        <w:pStyle w:val="nzIndenta"/>
      </w:pPr>
      <w:r>
        <w:tab/>
        <w:t>(b)</w:t>
      </w:r>
      <w:r>
        <w:tab/>
        <w:t>delete “any” and insert:</w:t>
      </w:r>
    </w:p>
    <w:p>
      <w:pPr>
        <w:pStyle w:val="BlankOpen"/>
      </w:pPr>
    </w:p>
    <w:p>
      <w:pPr>
        <w:pStyle w:val="nzIndenta"/>
      </w:pPr>
      <w:r>
        <w:tab/>
      </w:r>
      <w:r>
        <w:tab/>
        <w:t>a</w:t>
      </w:r>
    </w:p>
    <w:p>
      <w:pPr>
        <w:pStyle w:val="BlankClose"/>
      </w:pPr>
    </w:p>
    <w:p>
      <w:pPr>
        <w:pStyle w:val="nzIndenta"/>
      </w:pPr>
      <w:r>
        <w:tab/>
        <w:t>(c)</w:t>
      </w:r>
      <w:r>
        <w:tab/>
        <w:t>delete “shall” and insert:</w:t>
      </w:r>
    </w:p>
    <w:p>
      <w:pPr>
        <w:pStyle w:val="BlankOpen"/>
      </w:pPr>
    </w:p>
    <w:p>
      <w:pPr>
        <w:pStyle w:val="nzIndenta"/>
      </w:pPr>
      <w:r>
        <w:tab/>
      </w:r>
      <w:r>
        <w:tab/>
        <w:t>must</w:t>
      </w:r>
    </w:p>
    <w:p>
      <w:pPr>
        <w:pStyle w:val="BlankClose"/>
      </w:pPr>
    </w:p>
    <w:p>
      <w:pPr>
        <w:pStyle w:val="nzIndenta"/>
      </w:pPr>
      <w:r>
        <w:tab/>
        <w:t>(d)</w:t>
      </w:r>
      <w:r>
        <w:tab/>
        <w:t>delete “upon” and insert:</w:t>
      </w:r>
    </w:p>
    <w:p>
      <w:pPr>
        <w:pStyle w:val="BlankOpen"/>
      </w:pPr>
    </w:p>
    <w:p>
      <w:pPr>
        <w:pStyle w:val="nzIndenta"/>
      </w:pPr>
      <w:r>
        <w:tab/>
      </w:r>
      <w:r>
        <w:tab/>
        <w:t>on</w:t>
      </w:r>
    </w:p>
    <w:p>
      <w:pPr>
        <w:pStyle w:val="BlankClose"/>
      </w:pPr>
    </w:p>
    <w:p>
      <w:pPr>
        <w:pStyle w:val="nzPermNoteHeading"/>
      </w:pPr>
      <w:r>
        <w:tab/>
        <w:t>Note:</w:t>
      </w:r>
    </w:p>
    <w:p>
      <w:pPr>
        <w:pStyle w:val="nzPermNoteText"/>
      </w:pPr>
      <w:r>
        <w:tab/>
      </w:r>
      <w:r>
        <w:tab/>
        <w:t>Section 62A (as amended) is renumbered as section 70 and relocated to Part 5 Division 4.</w:t>
      </w:r>
    </w:p>
    <w:p>
      <w:pPr>
        <w:pStyle w:val="nzHeading5"/>
      </w:pPr>
      <w:bookmarkStart w:id="601" w:name="_Toc530474325"/>
      <w:bookmarkStart w:id="602" w:name="_Toc530474920"/>
      <w:r>
        <w:rPr>
          <w:rStyle w:val="CharSectno"/>
        </w:rPr>
        <w:t>65</w:t>
      </w:r>
      <w:r>
        <w:t>.</w:t>
      </w:r>
      <w:r>
        <w:tab/>
        <w:t>Section 63 amended</w:t>
      </w:r>
      <w:bookmarkEnd w:id="601"/>
      <w:bookmarkEnd w:id="602"/>
    </w:p>
    <w:p>
      <w:pPr>
        <w:pStyle w:val="nzSubsection"/>
      </w:pPr>
      <w:r>
        <w:tab/>
        <w:t>(1)</w:t>
      </w:r>
      <w:r>
        <w:tab/>
        <w:t>In section 63(1):</w:t>
      </w:r>
    </w:p>
    <w:p>
      <w:pPr>
        <w:pStyle w:val="nzIndenta"/>
      </w:pPr>
      <w:r>
        <w:tab/>
        <w:t>(a)</w:t>
      </w:r>
      <w:r>
        <w:tab/>
        <w:t>delete “Where” and insert:</w:t>
      </w:r>
    </w:p>
    <w:p>
      <w:pPr>
        <w:pStyle w:val="BlankOpen"/>
      </w:pPr>
    </w:p>
    <w:p>
      <w:pPr>
        <w:pStyle w:val="nzIndenta"/>
      </w:pPr>
      <w:r>
        <w:tab/>
      </w:r>
      <w:r>
        <w:tab/>
        <w:t>If</w:t>
      </w:r>
    </w:p>
    <w:p>
      <w:pPr>
        <w:pStyle w:val="BlankClose"/>
      </w:pPr>
    </w:p>
    <w:p>
      <w:pPr>
        <w:pStyle w:val="nzIndenta"/>
      </w:pPr>
      <w:r>
        <w:tab/>
        <w:t>(b)</w:t>
      </w:r>
      <w:r>
        <w:tab/>
        <w:t>delete “shall, notwithstanding” and insert:</w:t>
      </w:r>
    </w:p>
    <w:p>
      <w:pPr>
        <w:pStyle w:val="BlankOpen"/>
      </w:pPr>
    </w:p>
    <w:p>
      <w:pPr>
        <w:pStyle w:val="nzIndenta"/>
      </w:pPr>
      <w:r>
        <w:tab/>
      </w:r>
      <w:r>
        <w:tab/>
        <w:t>must, despite</w:t>
      </w:r>
    </w:p>
    <w:p>
      <w:pPr>
        <w:pStyle w:val="BlankClose"/>
      </w:pPr>
    </w:p>
    <w:p>
      <w:pPr>
        <w:pStyle w:val="nzSubsection"/>
      </w:pPr>
      <w:r>
        <w:tab/>
        <w:t>(2)</w:t>
      </w:r>
      <w:r>
        <w:tab/>
        <w:t>In section 63(2):</w:t>
      </w:r>
    </w:p>
    <w:p>
      <w:pPr>
        <w:pStyle w:val="nzIndenta"/>
      </w:pPr>
      <w:r>
        <w:tab/>
        <w:t>(a)</w:t>
      </w:r>
      <w:r>
        <w:tab/>
        <w:t>delete “where” and insert:</w:t>
      </w:r>
    </w:p>
    <w:p>
      <w:pPr>
        <w:pStyle w:val="BlankOpen"/>
      </w:pPr>
    </w:p>
    <w:p>
      <w:pPr>
        <w:pStyle w:val="nzIndenta"/>
      </w:pPr>
      <w:r>
        <w:tab/>
      </w:r>
      <w:r>
        <w:tab/>
        <w:t>if</w:t>
      </w:r>
    </w:p>
    <w:p>
      <w:pPr>
        <w:pStyle w:val="BlankClose"/>
      </w:pPr>
    </w:p>
    <w:p>
      <w:pPr>
        <w:pStyle w:val="nzIndenta"/>
      </w:pPr>
      <w:r>
        <w:tab/>
        <w:t>(b)</w:t>
      </w:r>
      <w:r>
        <w:tab/>
        <w:t>delete “in this subsection called”.</w:t>
      </w:r>
    </w:p>
    <w:p>
      <w:pPr>
        <w:pStyle w:val="nzIndenta"/>
      </w:pPr>
      <w:r>
        <w:tab/>
        <w:t>(c)</w:t>
      </w:r>
      <w:r>
        <w:tab/>
        <w:t>in paragraph (a) delete “of the parcel for any” and insert:</w:t>
      </w:r>
    </w:p>
    <w:p>
      <w:pPr>
        <w:pStyle w:val="BlankOpen"/>
      </w:pPr>
    </w:p>
    <w:p>
      <w:pPr>
        <w:pStyle w:val="nzIndenta"/>
      </w:pPr>
      <w:r>
        <w:tab/>
      </w:r>
      <w:r>
        <w:tab/>
        <w:t>for a</w:t>
      </w:r>
    </w:p>
    <w:p>
      <w:pPr>
        <w:pStyle w:val="BlankClose"/>
      </w:pPr>
    </w:p>
    <w:p>
      <w:pPr>
        <w:pStyle w:val="nzIndenta"/>
      </w:pPr>
      <w:r>
        <w:tab/>
        <w:t>(d)</w:t>
      </w:r>
      <w:r>
        <w:tab/>
        <w:t>in paragraph (b) delete “proprietor” and insert:</w:t>
      </w:r>
    </w:p>
    <w:p>
      <w:pPr>
        <w:pStyle w:val="BlankOpen"/>
      </w:pPr>
    </w:p>
    <w:p>
      <w:pPr>
        <w:pStyle w:val="nzIndenta"/>
      </w:pPr>
      <w:r>
        <w:tab/>
      </w:r>
      <w:r>
        <w:tab/>
        <w:t>owner</w:t>
      </w:r>
    </w:p>
    <w:p>
      <w:pPr>
        <w:pStyle w:val="BlankClose"/>
      </w:pPr>
    </w:p>
    <w:p>
      <w:pPr>
        <w:pStyle w:val="nzIndenta"/>
      </w:pPr>
      <w:r>
        <w:tab/>
        <w:t>(e)</w:t>
      </w:r>
      <w:r>
        <w:tab/>
        <w:t>in paragraph (b) delete “any rate” and insert:</w:t>
      </w:r>
    </w:p>
    <w:p>
      <w:pPr>
        <w:pStyle w:val="BlankOpen"/>
      </w:pPr>
    </w:p>
    <w:p>
      <w:pPr>
        <w:pStyle w:val="nzIndenta"/>
      </w:pPr>
      <w:r>
        <w:tab/>
      </w:r>
      <w:r>
        <w:tab/>
        <w:t>a rate</w:t>
      </w:r>
    </w:p>
    <w:p>
      <w:pPr>
        <w:pStyle w:val="BlankClose"/>
      </w:pPr>
    </w:p>
    <w:p>
      <w:pPr>
        <w:pStyle w:val="nzSubsection"/>
      </w:pPr>
      <w:r>
        <w:tab/>
        <w:t>(3)</w:t>
      </w:r>
      <w:r>
        <w:tab/>
        <w:t>In section 63(3):</w:t>
      </w:r>
    </w:p>
    <w:p>
      <w:pPr>
        <w:pStyle w:val="nzIndenta"/>
      </w:pPr>
      <w:r>
        <w:tab/>
        <w:t>(a)</w:t>
      </w:r>
      <w:r>
        <w:tab/>
        <w:t>delete “Where” and insert:</w:t>
      </w:r>
    </w:p>
    <w:p>
      <w:pPr>
        <w:pStyle w:val="BlankOpen"/>
      </w:pPr>
    </w:p>
    <w:p>
      <w:pPr>
        <w:pStyle w:val="nzIndenta"/>
      </w:pPr>
      <w:r>
        <w:tab/>
      </w:r>
      <w:r>
        <w:tab/>
        <w:t>If</w:t>
      </w:r>
    </w:p>
    <w:p>
      <w:pPr>
        <w:pStyle w:val="BlankClose"/>
      </w:pPr>
    </w:p>
    <w:p>
      <w:pPr>
        <w:pStyle w:val="nzIndenta"/>
      </w:pPr>
      <w:r>
        <w:tab/>
        <w:t>(b)</w:t>
      </w:r>
      <w:r>
        <w:tab/>
        <w:t>delete “any” and insert:</w:t>
      </w:r>
    </w:p>
    <w:p>
      <w:pPr>
        <w:pStyle w:val="BlankOpen"/>
      </w:pPr>
    </w:p>
    <w:p>
      <w:pPr>
        <w:pStyle w:val="nzIndenta"/>
      </w:pPr>
      <w:r>
        <w:tab/>
      </w:r>
      <w:r>
        <w:tab/>
        <w:t>a</w:t>
      </w:r>
    </w:p>
    <w:p>
      <w:pPr>
        <w:pStyle w:val="BlankClose"/>
      </w:pPr>
    </w:p>
    <w:p>
      <w:pPr>
        <w:pStyle w:val="nzIndenta"/>
      </w:pPr>
      <w:r>
        <w:tab/>
        <w:t>(c)</w:t>
      </w:r>
      <w:r>
        <w:tab/>
        <w:t>delete “shall” and insert:</w:t>
      </w:r>
    </w:p>
    <w:p>
      <w:pPr>
        <w:pStyle w:val="BlankOpen"/>
      </w:pPr>
    </w:p>
    <w:p>
      <w:pPr>
        <w:pStyle w:val="nzIndenta"/>
      </w:pPr>
      <w:r>
        <w:tab/>
      </w:r>
      <w:r>
        <w:tab/>
        <w:t>must</w:t>
      </w:r>
    </w:p>
    <w:p>
      <w:pPr>
        <w:pStyle w:val="BlankClose"/>
      </w:pPr>
    </w:p>
    <w:p>
      <w:pPr>
        <w:pStyle w:val="nzIndenta"/>
      </w:pPr>
      <w:r>
        <w:tab/>
        <w:t>(d)</w:t>
      </w:r>
      <w:r>
        <w:tab/>
        <w:t>delete “upon” and insert:</w:t>
      </w:r>
    </w:p>
    <w:p>
      <w:pPr>
        <w:pStyle w:val="BlankOpen"/>
      </w:pPr>
    </w:p>
    <w:p>
      <w:pPr>
        <w:pStyle w:val="nzIndenta"/>
      </w:pPr>
      <w:r>
        <w:tab/>
      </w:r>
      <w:r>
        <w:tab/>
        <w:t>on</w:t>
      </w:r>
    </w:p>
    <w:p>
      <w:pPr>
        <w:pStyle w:val="BlankClose"/>
      </w:pPr>
    </w:p>
    <w:p>
      <w:pPr>
        <w:pStyle w:val="nzPermNoteHeading"/>
      </w:pPr>
      <w:r>
        <w:tab/>
        <w:t>Note:</w:t>
      </w:r>
    </w:p>
    <w:p>
      <w:pPr>
        <w:pStyle w:val="nzPermNoteText"/>
      </w:pPr>
      <w:r>
        <w:tab/>
      </w:r>
      <w:r>
        <w:tab/>
        <w:t>Section 63 (as amended) is renumbered as section 71 and relocated to Part 5 Division 4.</w:t>
      </w:r>
    </w:p>
    <w:p>
      <w:pPr>
        <w:pStyle w:val="nzHeading5"/>
      </w:pPr>
      <w:bookmarkStart w:id="603" w:name="_Toc530474326"/>
      <w:bookmarkStart w:id="604" w:name="_Toc530474921"/>
      <w:r>
        <w:rPr>
          <w:rStyle w:val="CharSectno"/>
        </w:rPr>
        <w:t>66</w:t>
      </w:r>
      <w:r>
        <w:t>.</w:t>
      </w:r>
      <w:r>
        <w:tab/>
        <w:t>Section 64 amended</w:t>
      </w:r>
      <w:bookmarkEnd w:id="603"/>
      <w:bookmarkEnd w:id="604"/>
    </w:p>
    <w:p>
      <w:pPr>
        <w:pStyle w:val="nzSubsection"/>
      </w:pPr>
      <w:r>
        <w:tab/>
        <w:t>(1)</w:t>
      </w:r>
      <w:r>
        <w:tab/>
        <w:t>In section 64(1):</w:t>
      </w:r>
    </w:p>
    <w:p>
      <w:pPr>
        <w:pStyle w:val="nzIndenta"/>
      </w:pPr>
      <w:r>
        <w:tab/>
        <w:t>(a)</w:t>
      </w:r>
      <w:r>
        <w:tab/>
        <w:t>delete “Notwithstanding section 62(2)” and insert:</w:t>
      </w:r>
    </w:p>
    <w:p>
      <w:pPr>
        <w:pStyle w:val="BlankOpen"/>
      </w:pPr>
    </w:p>
    <w:p>
      <w:pPr>
        <w:pStyle w:val="nzIndenta"/>
      </w:pPr>
      <w:r>
        <w:tab/>
      </w:r>
      <w:r>
        <w:tab/>
        <w:t>Despite section 69(2)</w:t>
      </w:r>
    </w:p>
    <w:p>
      <w:pPr>
        <w:pStyle w:val="BlankClose"/>
      </w:pPr>
    </w:p>
    <w:p>
      <w:pPr>
        <w:pStyle w:val="nzIndenta"/>
      </w:pPr>
      <w:r>
        <w:tab/>
        <w:t>(b)</w:t>
      </w:r>
      <w:r>
        <w:tab/>
        <w:t>delete “where” and insert:</w:t>
      </w:r>
    </w:p>
    <w:p>
      <w:pPr>
        <w:pStyle w:val="BlankOpen"/>
      </w:pPr>
    </w:p>
    <w:p>
      <w:pPr>
        <w:pStyle w:val="nzIndenta"/>
      </w:pPr>
      <w:r>
        <w:tab/>
      </w:r>
      <w:r>
        <w:tab/>
        <w:t>if</w:t>
      </w:r>
    </w:p>
    <w:p>
      <w:pPr>
        <w:pStyle w:val="BlankClose"/>
      </w:pPr>
    </w:p>
    <w:p>
      <w:pPr>
        <w:pStyle w:val="nzIndenta"/>
      </w:pPr>
      <w:r>
        <w:tab/>
        <w:t>(c)</w:t>
      </w:r>
      <w:r>
        <w:tab/>
        <w:t>delete “proprietor” (each occurrence) and insert:</w:t>
      </w:r>
    </w:p>
    <w:p>
      <w:pPr>
        <w:pStyle w:val="BlankOpen"/>
      </w:pPr>
    </w:p>
    <w:p>
      <w:pPr>
        <w:pStyle w:val="nzIndenta"/>
      </w:pPr>
      <w:r>
        <w:tab/>
      </w:r>
      <w:r>
        <w:tab/>
        <w:t>owner</w:t>
      </w:r>
    </w:p>
    <w:p>
      <w:pPr>
        <w:pStyle w:val="BlankClose"/>
      </w:pPr>
    </w:p>
    <w:p>
      <w:pPr>
        <w:pStyle w:val="nzIndenta"/>
      </w:pPr>
      <w:r>
        <w:tab/>
        <w:t>(d)</w:t>
      </w:r>
      <w:r>
        <w:tab/>
        <w:t>delete “shall be” and insert:</w:t>
      </w:r>
    </w:p>
    <w:p>
      <w:pPr>
        <w:pStyle w:val="BlankOpen"/>
      </w:pPr>
    </w:p>
    <w:p>
      <w:pPr>
        <w:pStyle w:val="nzIndenta"/>
      </w:pPr>
      <w:r>
        <w:tab/>
      </w:r>
      <w:r>
        <w:tab/>
        <w:t>is</w:t>
      </w:r>
    </w:p>
    <w:p>
      <w:pPr>
        <w:pStyle w:val="BlankClose"/>
      </w:pPr>
    </w:p>
    <w:p>
      <w:pPr>
        <w:pStyle w:val="nzSubsection"/>
      </w:pPr>
      <w:r>
        <w:tab/>
        <w:t>(2)</w:t>
      </w:r>
      <w:r>
        <w:tab/>
        <w:t>In section 64(2):</w:t>
      </w:r>
    </w:p>
    <w:p>
      <w:pPr>
        <w:pStyle w:val="nzIndenta"/>
      </w:pPr>
      <w:r>
        <w:tab/>
        <w:t>(a)</w:t>
      </w:r>
      <w:r>
        <w:tab/>
        <w:t>delete “Upon” and insert:</w:t>
      </w:r>
    </w:p>
    <w:p>
      <w:pPr>
        <w:pStyle w:val="BlankOpen"/>
      </w:pPr>
    </w:p>
    <w:p>
      <w:pPr>
        <w:pStyle w:val="nzIndenta"/>
      </w:pPr>
      <w:r>
        <w:tab/>
      </w:r>
      <w:r>
        <w:tab/>
        <w:t>On</w:t>
      </w:r>
    </w:p>
    <w:p>
      <w:pPr>
        <w:pStyle w:val="BlankClose"/>
      </w:pPr>
    </w:p>
    <w:p>
      <w:pPr>
        <w:pStyle w:val="nzIndenta"/>
      </w:pPr>
      <w:r>
        <w:tab/>
        <w:t>(b)</w:t>
      </w:r>
      <w:r>
        <w:tab/>
        <w:t>delete “a proprietor” and insert:</w:t>
      </w:r>
    </w:p>
    <w:p>
      <w:pPr>
        <w:pStyle w:val="BlankOpen"/>
      </w:pPr>
    </w:p>
    <w:p>
      <w:pPr>
        <w:pStyle w:val="nzIndenta"/>
      </w:pPr>
      <w:r>
        <w:tab/>
      </w:r>
      <w:r>
        <w:tab/>
        <w:t>the owner</w:t>
      </w:r>
    </w:p>
    <w:p>
      <w:pPr>
        <w:pStyle w:val="BlankClose"/>
      </w:pPr>
    </w:p>
    <w:p>
      <w:pPr>
        <w:pStyle w:val="nzIndenta"/>
      </w:pPr>
      <w:r>
        <w:tab/>
        <w:t>(c)</w:t>
      </w:r>
      <w:r>
        <w:tab/>
        <w:t>delete “pursuant to” and insert:</w:t>
      </w:r>
    </w:p>
    <w:p>
      <w:pPr>
        <w:pStyle w:val="BlankOpen"/>
      </w:pPr>
    </w:p>
    <w:p>
      <w:pPr>
        <w:pStyle w:val="nzIndenta"/>
      </w:pPr>
      <w:r>
        <w:tab/>
      </w:r>
      <w:r>
        <w:tab/>
        <w:t>under</w:t>
      </w:r>
    </w:p>
    <w:p>
      <w:pPr>
        <w:pStyle w:val="BlankClose"/>
      </w:pPr>
    </w:p>
    <w:p>
      <w:pPr>
        <w:pStyle w:val="nzIndenta"/>
      </w:pPr>
      <w:r>
        <w:tab/>
        <w:t>(d)</w:t>
      </w:r>
      <w:r>
        <w:tab/>
        <w:t>in paragraph (a) delete “shall” and insert:</w:t>
      </w:r>
    </w:p>
    <w:p>
      <w:pPr>
        <w:pStyle w:val="BlankOpen"/>
      </w:pPr>
    </w:p>
    <w:p>
      <w:pPr>
        <w:pStyle w:val="nzIndenta"/>
      </w:pPr>
      <w:r>
        <w:tab/>
      </w:r>
      <w:r>
        <w:tab/>
        <w:t>must</w:t>
      </w:r>
    </w:p>
    <w:p>
      <w:pPr>
        <w:pStyle w:val="BlankClose"/>
      </w:pPr>
    </w:p>
    <w:p>
      <w:pPr>
        <w:pStyle w:val="nzIndenta"/>
      </w:pPr>
      <w:r>
        <w:tab/>
        <w:t>(e)</w:t>
      </w:r>
      <w:r>
        <w:tab/>
        <w:t>in paragraph (a) delete “upon” and insert:</w:t>
      </w:r>
    </w:p>
    <w:p>
      <w:pPr>
        <w:pStyle w:val="BlankOpen"/>
      </w:pPr>
    </w:p>
    <w:p>
      <w:pPr>
        <w:pStyle w:val="nzIndenta"/>
      </w:pPr>
      <w:r>
        <w:tab/>
      </w:r>
      <w:r>
        <w:tab/>
        <w:t>on</w:t>
      </w:r>
    </w:p>
    <w:p>
      <w:pPr>
        <w:pStyle w:val="BlankClose"/>
      </w:pPr>
    </w:p>
    <w:p>
      <w:pPr>
        <w:pStyle w:val="nzIndenta"/>
      </w:pPr>
      <w:r>
        <w:tab/>
        <w:t>(f)</w:t>
      </w:r>
      <w:r>
        <w:tab/>
        <w:t>in paragraph (b) delete “such” and insert:</w:t>
      </w:r>
    </w:p>
    <w:p>
      <w:pPr>
        <w:pStyle w:val="BlankOpen"/>
      </w:pPr>
    </w:p>
    <w:p>
      <w:pPr>
        <w:pStyle w:val="nzIndenta"/>
      </w:pPr>
      <w:r>
        <w:tab/>
      </w:r>
      <w:r>
        <w:tab/>
        <w:t>the</w:t>
      </w:r>
    </w:p>
    <w:p>
      <w:pPr>
        <w:pStyle w:val="BlankClose"/>
      </w:pPr>
    </w:p>
    <w:p>
      <w:pPr>
        <w:pStyle w:val="nzSectAltNote"/>
      </w:pPr>
      <w:r>
        <w:tab/>
        <w:t>Note:</w:t>
      </w:r>
      <w:r>
        <w:tab/>
        <w:t>The heading to amended section 64 is to read:</w:t>
      </w:r>
    </w:p>
    <w:p>
      <w:pPr>
        <w:pStyle w:val="nzSectAltHeading"/>
      </w:pPr>
      <w:r>
        <w:rPr>
          <w:b w:val="0"/>
        </w:rPr>
        <w:tab/>
      </w:r>
      <w:r>
        <w:rPr>
          <w:b w:val="0"/>
        </w:rPr>
        <w:tab/>
      </w:r>
      <w:r>
        <w:t>Owner may seek a review of unimproved value of parcel</w:t>
      </w:r>
    </w:p>
    <w:p>
      <w:pPr>
        <w:pStyle w:val="nzPermNoteHeading"/>
      </w:pPr>
      <w:r>
        <w:tab/>
        <w:t>Note:</w:t>
      </w:r>
    </w:p>
    <w:p>
      <w:pPr>
        <w:pStyle w:val="nzPermNoteText"/>
      </w:pPr>
      <w:r>
        <w:tab/>
      </w:r>
      <w:r>
        <w:tab/>
        <w:t>Section 64 (as amended) is renumbered as section 72 and relocated to Part 5 Division 4.</w:t>
      </w:r>
    </w:p>
    <w:p>
      <w:pPr>
        <w:pStyle w:val="nzHeading5"/>
      </w:pPr>
      <w:bookmarkStart w:id="605" w:name="_Toc530474327"/>
      <w:bookmarkStart w:id="606" w:name="_Toc530474922"/>
      <w:r>
        <w:rPr>
          <w:rStyle w:val="CharSectno"/>
        </w:rPr>
        <w:t>67</w:t>
      </w:r>
      <w:r>
        <w:t>.</w:t>
      </w:r>
      <w:r>
        <w:tab/>
        <w:t>Section 65 amended</w:t>
      </w:r>
      <w:bookmarkEnd w:id="605"/>
      <w:bookmarkEnd w:id="606"/>
    </w:p>
    <w:p>
      <w:pPr>
        <w:pStyle w:val="nzSubsection"/>
      </w:pPr>
      <w:r>
        <w:tab/>
        <w:t>(1)</w:t>
      </w:r>
      <w:r>
        <w:tab/>
        <w:t>In section 65(1):</w:t>
      </w:r>
    </w:p>
    <w:p>
      <w:pPr>
        <w:pStyle w:val="nzIndenta"/>
      </w:pPr>
      <w:r>
        <w:tab/>
        <w:t>(a)</w:t>
      </w:r>
      <w:r>
        <w:tab/>
        <w:t>delete “(1) For all” and insert:</w:t>
      </w:r>
    </w:p>
    <w:p>
      <w:pPr>
        <w:pStyle w:val="BlankOpen"/>
      </w:pPr>
    </w:p>
    <w:p>
      <w:pPr>
        <w:pStyle w:val="nzIndenta"/>
      </w:pPr>
      <w:r>
        <w:tab/>
      </w:r>
      <w:r>
        <w:tab/>
        <w:t>For all</w:t>
      </w:r>
    </w:p>
    <w:p>
      <w:pPr>
        <w:pStyle w:val="BlankClose"/>
      </w:pPr>
    </w:p>
    <w:p>
      <w:pPr>
        <w:pStyle w:val="nzIndenta"/>
      </w:pPr>
      <w:r>
        <w:tab/>
        <w:t>(b)</w:t>
      </w:r>
      <w:r>
        <w:tab/>
        <w:t>delete “the parcel in a strata plan,” and insert:</w:t>
      </w:r>
    </w:p>
    <w:p>
      <w:pPr>
        <w:pStyle w:val="BlankOpen"/>
      </w:pPr>
    </w:p>
    <w:p>
      <w:pPr>
        <w:pStyle w:val="nzIndenta"/>
      </w:pPr>
      <w:r>
        <w:tab/>
      </w:r>
      <w:r>
        <w:tab/>
        <w:t>a parcel subdivided by a strata scheme,</w:t>
      </w:r>
    </w:p>
    <w:p>
      <w:pPr>
        <w:pStyle w:val="BlankClose"/>
      </w:pPr>
    </w:p>
    <w:p>
      <w:pPr>
        <w:pStyle w:val="nzIndenta"/>
      </w:pPr>
      <w:r>
        <w:tab/>
        <w:t>(c)</w:t>
      </w:r>
      <w:r>
        <w:tab/>
        <w:t>in paragraph (a) delete “shall” and insert:</w:t>
      </w:r>
    </w:p>
    <w:p>
      <w:pPr>
        <w:pStyle w:val="BlankOpen"/>
      </w:pPr>
    </w:p>
    <w:p>
      <w:pPr>
        <w:pStyle w:val="nzIndenta"/>
      </w:pPr>
      <w:r>
        <w:tab/>
      </w:r>
      <w:r>
        <w:tab/>
        <w:t>must</w:t>
      </w:r>
    </w:p>
    <w:p>
      <w:pPr>
        <w:pStyle w:val="BlankClose"/>
      </w:pPr>
    </w:p>
    <w:p>
      <w:pPr>
        <w:pStyle w:val="nzIndenta"/>
      </w:pPr>
      <w:r>
        <w:tab/>
        <w:t>(d)</w:t>
      </w:r>
      <w:r>
        <w:tab/>
        <w:t>in paragraph (a) delete “lots as shown on the registered strata plan; and” and insert:</w:t>
      </w:r>
    </w:p>
    <w:p>
      <w:pPr>
        <w:pStyle w:val="BlankOpen"/>
      </w:pPr>
    </w:p>
    <w:p>
      <w:pPr>
        <w:pStyle w:val="nzIndenta"/>
      </w:pPr>
      <w:r>
        <w:tab/>
      </w:r>
      <w:r>
        <w:tab/>
        <w:t>lots;</w:t>
      </w:r>
    </w:p>
    <w:p>
      <w:pPr>
        <w:pStyle w:val="BlankClose"/>
      </w:pPr>
    </w:p>
    <w:p>
      <w:pPr>
        <w:pStyle w:val="nzIndenta"/>
      </w:pPr>
      <w:r>
        <w:tab/>
        <w:t>(e)</w:t>
      </w:r>
      <w:r>
        <w:tab/>
        <w:t>in paragraph (b) delete “improvement tax; and” and insert:</w:t>
      </w:r>
    </w:p>
    <w:p>
      <w:pPr>
        <w:pStyle w:val="BlankOpen"/>
      </w:pPr>
    </w:p>
    <w:p>
      <w:pPr>
        <w:pStyle w:val="nzIndenta"/>
      </w:pPr>
      <w:r>
        <w:tab/>
      </w:r>
      <w:r>
        <w:tab/>
        <w:t>improvement tax;</w:t>
      </w:r>
    </w:p>
    <w:p>
      <w:pPr>
        <w:pStyle w:val="BlankClose"/>
      </w:pPr>
    </w:p>
    <w:p>
      <w:pPr>
        <w:pStyle w:val="nzIndenta"/>
      </w:pPr>
      <w:r>
        <w:tab/>
        <w:t>(f)</w:t>
      </w:r>
      <w:r>
        <w:tab/>
        <w:t>in paragraph (c) delete “shall be deemed” and insert:</w:t>
      </w:r>
    </w:p>
    <w:p>
      <w:pPr>
        <w:pStyle w:val="BlankOpen"/>
      </w:pPr>
    </w:p>
    <w:p>
      <w:pPr>
        <w:pStyle w:val="nzIndenta"/>
      </w:pPr>
      <w:r>
        <w:tab/>
      </w:r>
      <w:r>
        <w:tab/>
        <w:t>is taken</w:t>
      </w:r>
    </w:p>
    <w:p>
      <w:pPr>
        <w:pStyle w:val="BlankClose"/>
      </w:pPr>
    </w:p>
    <w:p>
      <w:pPr>
        <w:pStyle w:val="nzSubsection"/>
      </w:pPr>
      <w:r>
        <w:tab/>
        <w:t>(2)</w:t>
      </w:r>
      <w:r>
        <w:tab/>
        <w:t>Delete section 65(2).</w:t>
      </w:r>
    </w:p>
    <w:p>
      <w:pPr>
        <w:pStyle w:val="nzSectAltNote"/>
      </w:pPr>
      <w:r>
        <w:tab/>
        <w:t>Note:</w:t>
      </w:r>
      <w:r>
        <w:tab/>
        <w:t>The heading to amended section 65 is to read:</w:t>
      </w:r>
    </w:p>
    <w:p>
      <w:pPr>
        <w:pStyle w:val="nzSectAltHeading"/>
      </w:pPr>
      <w:r>
        <w:rPr>
          <w:b w:val="0"/>
        </w:rPr>
        <w:tab/>
      </w:r>
      <w:r>
        <w:rPr>
          <w:b w:val="0"/>
        </w:rPr>
        <w:tab/>
      </w:r>
      <w:r>
        <w:t>Land tax and metropolitan region improvement tax: strata schemes</w:t>
      </w:r>
    </w:p>
    <w:p>
      <w:pPr>
        <w:pStyle w:val="nzPermNoteHeading"/>
      </w:pPr>
      <w:r>
        <w:tab/>
        <w:t>Note:</w:t>
      </w:r>
    </w:p>
    <w:p>
      <w:pPr>
        <w:pStyle w:val="nzPermNoteText"/>
      </w:pPr>
      <w:r>
        <w:tab/>
      </w:r>
      <w:r>
        <w:tab/>
        <w:t>Section 65 (as amended) is renumbered as section 73 and relocated to Part 5 Division 4.</w:t>
      </w:r>
    </w:p>
    <w:p>
      <w:pPr>
        <w:pStyle w:val="nzHeading5"/>
      </w:pPr>
      <w:bookmarkStart w:id="607" w:name="_Toc530474328"/>
      <w:bookmarkStart w:id="608" w:name="_Toc530474923"/>
      <w:r>
        <w:rPr>
          <w:rStyle w:val="CharSectno"/>
        </w:rPr>
        <w:t>68</w:t>
      </w:r>
      <w:r>
        <w:t>.</w:t>
      </w:r>
      <w:r>
        <w:tab/>
        <w:t>Section 65A amended</w:t>
      </w:r>
      <w:bookmarkEnd w:id="607"/>
      <w:bookmarkEnd w:id="608"/>
    </w:p>
    <w:p>
      <w:pPr>
        <w:pStyle w:val="nzSubsection"/>
      </w:pPr>
      <w:r>
        <w:tab/>
      </w:r>
      <w:r>
        <w:tab/>
        <w:t>In section 65A(2):</w:t>
      </w:r>
    </w:p>
    <w:p>
      <w:pPr>
        <w:pStyle w:val="nzIndenta"/>
      </w:pPr>
      <w:r>
        <w:tab/>
        <w:t>(a)</w:t>
      </w:r>
      <w:r>
        <w:tab/>
        <w:t>in paragraph (a) delete “shall” and insert:</w:t>
      </w:r>
    </w:p>
    <w:p>
      <w:pPr>
        <w:pStyle w:val="BlankOpen"/>
      </w:pPr>
    </w:p>
    <w:p>
      <w:pPr>
        <w:pStyle w:val="nzIndenta"/>
      </w:pPr>
      <w:r>
        <w:tab/>
      </w:r>
      <w:r>
        <w:tab/>
        <w:t>must</w:t>
      </w:r>
    </w:p>
    <w:p>
      <w:pPr>
        <w:pStyle w:val="BlankClose"/>
      </w:pPr>
    </w:p>
    <w:p>
      <w:pPr>
        <w:pStyle w:val="nzIndenta"/>
      </w:pPr>
      <w:r>
        <w:tab/>
        <w:t>(b)</w:t>
      </w:r>
      <w:r>
        <w:tab/>
        <w:t>in paragraph (a) delete “section 62A,” and insert:</w:t>
      </w:r>
    </w:p>
    <w:p>
      <w:pPr>
        <w:pStyle w:val="BlankOpen"/>
      </w:pPr>
    </w:p>
    <w:p>
      <w:pPr>
        <w:pStyle w:val="nzIndenta"/>
      </w:pPr>
      <w:r>
        <w:tab/>
      </w:r>
      <w:r>
        <w:tab/>
        <w:t>section 70,</w:t>
      </w:r>
    </w:p>
    <w:p>
      <w:pPr>
        <w:pStyle w:val="BlankClose"/>
      </w:pPr>
    </w:p>
    <w:p>
      <w:pPr>
        <w:pStyle w:val="nzIndenta"/>
      </w:pPr>
      <w:r>
        <w:tab/>
        <w:t>(c)</w:t>
      </w:r>
      <w:r>
        <w:tab/>
        <w:t>in paragraph (b) delete “lot; and” and insert:</w:t>
      </w:r>
    </w:p>
    <w:p>
      <w:pPr>
        <w:pStyle w:val="BlankOpen"/>
      </w:pPr>
    </w:p>
    <w:p>
      <w:pPr>
        <w:pStyle w:val="nzIndenta"/>
      </w:pPr>
      <w:r>
        <w:tab/>
      </w:r>
      <w:r>
        <w:tab/>
        <w:t>lot.</w:t>
      </w:r>
    </w:p>
    <w:p>
      <w:pPr>
        <w:pStyle w:val="BlankClose"/>
      </w:pPr>
    </w:p>
    <w:p>
      <w:pPr>
        <w:pStyle w:val="nzIndenta"/>
      </w:pPr>
      <w:r>
        <w:tab/>
        <w:t>(d)</w:t>
      </w:r>
      <w:r>
        <w:tab/>
        <w:t>delete paragraph (c).</w:t>
      </w:r>
    </w:p>
    <w:p>
      <w:pPr>
        <w:pStyle w:val="nzSectAltNote"/>
      </w:pPr>
      <w:r>
        <w:tab/>
        <w:t>Note:</w:t>
      </w:r>
      <w:r>
        <w:tab/>
        <w:t>The heading to amended section 65A is to read:</w:t>
      </w:r>
    </w:p>
    <w:p>
      <w:pPr>
        <w:pStyle w:val="nzSectAltHeading"/>
      </w:pPr>
      <w:r>
        <w:rPr>
          <w:b w:val="0"/>
        </w:rPr>
        <w:tab/>
      </w:r>
      <w:r>
        <w:rPr>
          <w:b w:val="0"/>
        </w:rPr>
        <w:tab/>
      </w:r>
      <w:r>
        <w:t>Land tax and metropolitan region improvement tax: survey</w:t>
      </w:r>
      <w:r>
        <w:noBreakHyphen/>
        <w:t>strata schemes</w:t>
      </w:r>
    </w:p>
    <w:p>
      <w:pPr>
        <w:pStyle w:val="nzPermNoteHeading"/>
      </w:pPr>
      <w:r>
        <w:tab/>
        <w:t>Note:</w:t>
      </w:r>
    </w:p>
    <w:p>
      <w:pPr>
        <w:pStyle w:val="nzPermNoteText"/>
      </w:pPr>
      <w:r>
        <w:tab/>
      </w:r>
      <w:r>
        <w:tab/>
        <w:t>Section 65A (as amended) is renumbered as section 74 and relocated to Part 5 Division 4.</w:t>
      </w:r>
    </w:p>
    <w:p>
      <w:pPr>
        <w:pStyle w:val="nzHeading5"/>
      </w:pPr>
      <w:bookmarkStart w:id="609" w:name="_Toc530474329"/>
      <w:bookmarkStart w:id="610" w:name="_Toc530474924"/>
      <w:r>
        <w:rPr>
          <w:rStyle w:val="CharSectno"/>
        </w:rPr>
        <w:t>69</w:t>
      </w:r>
      <w:r>
        <w:t>.</w:t>
      </w:r>
      <w:r>
        <w:tab/>
        <w:t>Section 66 amended</w:t>
      </w:r>
      <w:bookmarkEnd w:id="609"/>
      <w:bookmarkEnd w:id="610"/>
    </w:p>
    <w:p>
      <w:pPr>
        <w:pStyle w:val="nzSubsection"/>
      </w:pPr>
      <w:r>
        <w:tab/>
      </w:r>
      <w:r>
        <w:tab/>
        <w:t>In section 66:</w:t>
      </w:r>
    </w:p>
    <w:p>
      <w:pPr>
        <w:pStyle w:val="nzIndenta"/>
      </w:pPr>
      <w:r>
        <w:tab/>
        <w:t>(a)</w:t>
      </w:r>
      <w:r>
        <w:tab/>
        <w:t>delete “Where</w:t>
      </w:r>
      <w:r>
        <w:rPr>
          <w:snapToGrid w:val="0"/>
        </w:rPr>
        <w:t xml:space="preserve"> in relation to a scheme</w:t>
      </w:r>
      <w:r>
        <w:t>” and insert:</w:t>
      </w:r>
    </w:p>
    <w:p>
      <w:pPr>
        <w:pStyle w:val="BlankOpen"/>
      </w:pPr>
    </w:p>
    <w:p>
      <w:pPr>
        <w:pStyle w:val="nzIndenta"/>
      </w:pPr>
      <w:r>
        <w:tab/>
      </w:r>
      <w:r>
        <w:tab/>
        <w:t xml:space="preserve">If, </w:t>
      </w:r>
      <w:r>
        <w:rPr>
          <w:snapToGrid w:val="0"/>
        </w:rPr>
        <w:t>in relation to a strata titles scheme,</w:t>
      </w:r>
    </w:p>
    <w:p>
      <w:pPr>
        <w:pStyle w:val="BlankClose"/>
      </w:pPr>
    </w:p>
    <w:p>
      <w:pPr>
        <w:pStyle w:val="nzIndenta"/>
      </w:pPr>
      <w:r>
        <w:tab/>
        <w:t>(b)</w:t>
      </w:r>
      <w:r>
        <w:tab/>
        <w:t>delete “as defined” and insert:</w:t>
      </w:r>
    </w:p>
    <w:p>
      <w:pPr>
        <w:pStyle w:val="BlankOpen"/>
      </w:pPr>
    </w:p>
    <w:p>
      <w:pPr>
        <w:pStyle w:val="nzIndenta"/>
      </w:pPr>
      <w:r>
        <w:tab/>
      </w:r>
      <w:r>
        <w:tab/>
        <w:t>within the meaning given</w:t>
      </w:r>
    </w:p>
    <w:p>
      <w:pPr>
        <w:pStyle w:val="BlankClose"/>
      </w:pPr>
    </w:p>
    <w:p>
      <w:pPr>
        <w:pStyle w:val="nzIndenta"/>
      </w:pPr>
      <w:r>
        <w:tab/>
        <w:t>(c)</w:t>
      </w:r>
      <w:r>
        <w:tab/>
        <w:t>delete “one” and insert:</w:t>
      </w:r>
    </w:p>
    <w:p>
      <w:pPr>
        <w:pStyle w:val="BlankOpen"/>
      </w:pPr>
    </w:p>
    <w:p>
      <w:pPr>
        <w:pStyle w:val="nzIndenta"/>
      </w:pPr>
      <w:r>
        <w:tab/>
      </w:r>
      <w:r>
        <w:tab/>
        <w:t>1</w:t>
      </w:r>
    </w:p>
    <w:p>
      <w:pPr>
        <w:pStyle w:val="BlankClose"/>
      </w:pPr>
    </w:p>
    <w:p>
      <w:pPr>
        <w:pStyle w:val="nzIndenta"/>
      </w:pPr>
      <w:r>
        <w:tab/>
        <w:t>(d)</w:t>
      </w:r>
      <w:r>
        <w:tab/>
        <w:t>delete “all the proprietors” and insert:</w:t>
      </w:r>
    </w:p>
    <w:p>
      <w:pPr>
        <w:pStyle w:val="BlankOpen"/>
      </w:pPr>
    </w:p>
    <w:p>
      <w:pPr>
        <w:pStyle w:val="nzIndenta"/>
      </w:pPr>
      <w:r>
        <w:tab/>
      </w:r>
      <w:r>
        <w:tab/>
        <w:t>the parcel</w:t>
      </w:r>
    </w:p>
    <w:p>
      <w:pPr>
        <w:pStyle w:val="BlankClose"/>
      </w:pPr>
    </w:p>
    <w:p>
      <w:pPr>
        <w:pStyle w:val="nzIndenta"/>
      </w:pPr>
      <w:r>
        <w:tab/>
        <w:t>(e)</w:t>
      </w:r>
      <w:r>
        <w:tab/>
        <w:t>delete “proprietor” and insert:</w:t>
      </w:r>
    </w:p>
    <w:p>
      <w:pPr>
        <w:pStyle w:val="BlankOpen"/>
      </w:pPr>
    </w:p>
    <w:p>
      <w:pPr>
        <w:pStyle w:val="nzIndenta"/>
      </w:pPr>
      <w:r>
        <w:tab/>
      </w:r>
      <w:r>
        <w:tab/>
        <w:t>lot</w:t>
      </w:r>
    </w:p>
    <w:p>
      <w:pPr>
        <w:pStyle w:val="BlankClose"/>
      </w:pPr>
    </w:p>
    <w:p>
      <w:pPr>
        <w:pStyle w:val="nzIndenta"/>
      </w:pPr>
      <w:r>
        <w:tab/>
        <w:t>(f)</w:t>
      </w:r>
      <w:r>
        <w:tab/>
        <w:t>delete “any” and insert:</w:t>
      </w:r>
    </w:p>
    <w:p>
      <w:pPr>
        <w:pStyle w:val="BlankOpen"/>
      </w:pPr>
    </w:p>
    <w:p>
      <w:pPr>
        <w:pStyle w:val="nzIndenta"/>
      </w:pPr>
      <w:r>
        <w:tab/>
      </w:r>
      <w:r>
        <w:tab/>
        <w:t>the</w:t>
      </w:r>
    </w:p>
    <w:p>
      <w:pPr>
        <w:pStyle w:val="BlankClose"/>
      </w:pPr>
    </w:p>
    <w:p>
      <w:pPr>
        <w:pStyle w:val="nzIndenta"/>
      </w:pPr>
      <w:r>
        <w:tab/>
        <w:t>(g)</w:t>
      </w:r>
      <w:r>
        <w:tab/>
        <w:t>delete “shall be” and insert:</w:t>
      </w:r>
    </w:p>
    <w:p>
      <w:pPr>
        <w:pStyle w:val="BlankOpen"/>
      </w:pPr>
    </w:p>
    <w:p>
      <w:pPr>
        <w:pStyle w:val="nzIndenta"/>
      </w:pPr>
      <w:r>
        <w:tab/>
      </w:r>
      <w:r>
        <w:tab/>
        <w:t>are</w:t>
      </w:r>
    </w:p>
    <w:p>
      <w:pPr>
        <w:pStyle w:val="BlankClose"/>
      </w:pPr>
    </w:p>
    <w:p>
      <w:pPr>
        <w:pStyle w:val="nzPermNoteHeading"/>
      </w:pPr>
      <w:r>
        <w:tab/>
        <w:t>Note:</w:t>
      </w:r>
    </w:p>
    <w:p>
      <w:pPr>
        <w:pStyle w:val="nzPermNoteText"/>
      </w:pPr>
      <w:r>
        <w:tab/>
      </w:r>
      <w:r>
        <w:tab/>
        <w:t>Section 66 (as amended) is renumbered as section 75 and relocated to Part 5 Division 4.</w:t>
      </w:r>
    </w:p>
    <w:p>
      <w:pPr>
        <w:pStyle w:val="nzHeading5"/>
      </w:pPr>
      <w:bookmarkStart w:id="611" w:name="_Toc530474330"/>
      <w:bookmarkStart w:id="612" w:name="_Toc530474925"/>
      <w:r>
        <w:rPr>
          <w:rStyle w:val="CharSectno"/>
        </w:rPr>
        <w:t>70</w:t>
      </w:r>
      <w:r>
        <w:t>.</w:t>
      </w:r>
      <w:r>
        <w:tab/>
        <w:t>Section 67 amended</w:t>
      </w:r>
      <w:bookmarkEnd w:id="611"/>
      <w:bookmarkEnd w:id="612"/>
    </w:p>
    <w:p>
      <w:pPr>
        <w:pStyle w:val="nzSubsection"/>
      </w:pPr>
      <w:r>
        <w:tab/>
      </w:r>
      <w:r>
        <w:tab/>
        <w:t>In section 67:</w:t>
      </w:r>
    </w:p>
    <w:p>
      <w:pPr>
        <w:pStyle w:val="nzIndenta"/>
      </w:pPr>
      <w:r>
        <w:tab/>
        <w:t>(a)</w:t>
      </w:r>
      <w:r>
        <w:tab/>
        <w:t>in paragraph (a) delete “as defined” and insert:</w:t>
      </w:r>
    </w:p>
    <w:p>
      <w:pPr>
        <w:pStyle w:val="BlankOpen"/>
      </w:pPr>
    </w:p>
    <w:p>
      <w:pPr>
        <w:pStyle w:val="nzIndenta"/>
      </w:pPr>
      <w:r>
        <w:tab/>
      </w:r>
      <w:r>
        <w:tab/>
        <w:t>within the meaning given</w:t>
      </w:r>
    </w:p>
    <w:p>
      <w:pPr>
        <w:pStyle w:val="BlankClose"/>
      </w:pPr>
    </w:p>
    <w:p>
      <w:pPr>
        <w:pStyle w:val="nzIndenta"/>
      </w:pPr>
      <w:r>
        <w:tab/>
        <w:t>(b)</w:t>
      </w:r>
      <w:r>
        <w:tab/>
        <w:t>in paragraph (a) and (b) delete “to be taken” and insert:</w:t>
      </w:r>
    </w:p>
    <w:p>
      <w:pPr>
        <w:pStyle w:val="BlankOpen"/>
      </w:pPr>
    </w:p>
    <w:p>
      <w:pPr>
        <w:pStyle w:val="nzIndenta"/>
      </w:pPr>
      <w:r>
        <w:tab/>
      </w:r>
      <w:r>
        <w:tab/>
        <w:t>taken</w:t>
      </w:r>
    </w:p>
    <w:p>
      <w:pPr>
        <w:pStyle w:val="BlankClose"/>
      </w:pPr>
    </w:p>
    <w:p>
      <w:pPr>
        <w:pStyle w:val="nzPermNoteHeading"/>
      </w:pPr>
      <w:r>
        <w:tab/>
        <w:t>Note:</w:t>
      </w:r>
    </w:p>
    <w:p>
      <w:pPr>
        <w:pStyle w:val="nzPermNoteText"/>
      </w:pPr>
      <w:r>
        <w:tab/>
      </w:r>
      <w:r>
        <w:tab/>
        <w:t>Section 67 (as amended) is renumbered as section 76 and relocated to Part 5 Division 4.</w:t>
      </w:r>
    </w:p>
    <w:p>
      <w:pPr>
        <w:pStyle w:val="nzHeading5"/>
      </w:pPr>
      <w:bookmarkStart w:id="613" w:name="_Toc530474331"/>
      <w:bookmarkStart w:id="614" w:name="_Toc530474926"/>
      <w:r>
        <w:rPr>
          <w:rStyle w:val="CharSectno"/>
        </w:rPr>
        <w:t>71</w:t>
      </w:r>
      <w:r>
        <w:t>.</w:t>
      </w:r>
      <w:r>
        <w:tab/>
        <w:t>Section 122 amended</w:t>
      </w:r>
      <w:bookmarkEnd w:id="613"/>
      <w:bookmarkEnd w:id="614"/>
    </w:p>
    <w:p>
      <w:pPr>
        <w:pStyle w:val="nzSubsection"/>
      </w:pPr>
      <w:r>
        <w:tab/>
        <w:t>(1)</w:t>
      </w:r>
      <w:r>
        <w:tab/>
        <w:t>In section 122(1):</w:t>
      </w:r>
    </w:p>
    <w:p>
      <w:pPr>
        <w:pStyle w:val="nzIndenta"/>
      </w:pPr>
      <w:r>
        <w:tab/>
        <w:t>(a)</w:t>
      </w:r>
      <w:r>
        <w:tab/>
        <w:t>delete “</w:t>
      </w:r>
      <w:r>
        <w:rPr>
          <w:snapToGrid w:val="0"/>
        </w:rPr>
        <w:t>any rights or remedies that a strata company, a proprietor</w:t>
      </w:r>
      <w:r>
        <w:t>” and insert:</w:t>
      </w:r>
    </w:p>
    <w:p>
      <w:pPr>
        <w:pStyle w:val="BlankOpen"/>
      </w:pPr>
    </w:p>
    <w:p>
      <w:pPr>
        <w:pStyle w:val="nzIndenta"/>
      </w:pPr>
      <w:r>
        <w:tab/>
      </w:r>
      <w:r>
        <w:tab/>
        <w:t>rights</w:t>
      </w:r>
      <w:r>
        <w:rPr>
          <w:snapToGrid w:val="0"/>
        </w:rPr>
        <w:t xml:space="preserve"> or remedies that a strata company, an owner</w:t>
      </w:r>
    </w:p>
    <w:p>
      <w:pPr>
        <w:pStyle w:val="BlankClose"/>
      </w:pPr>
    </w:p>
    <w:p>
      <w:pPr>
        <w:pStyle w:val="nzIndenta"/>
      </w:pPr>
      <w:r>
        <w:tab/>
        <w:t>(b)</w:t>
      </w:r>
      <w:r>
        <w:tab/>
        <w:t xml:space="preserve">delete “or </w:t>
      </w:r>
      <w:r>
        <w:rPr>
          <w:snapToGrid w:val="0"/>
        </w:rPr>
        <w:t>an occupier may have in relation to any</w:t>
      </w:r>
      <w:r>
        <w:t>” and insert:</w:t>
      </w:r>
    </w:p>
    <w:p>
      <w:pPr>
        <w:pStyle w:val="BlankOpen"/>
      </w:pPr>
    </w:p>
    <w:p>
      <w:pPr>
        <w:pStyle w:val="nzIndenta"/>
      </w:pPr>
      <w:r>
        <w:tab/>
      </w:r>
      <w:r>
        <w:tab/>
        <w:t>or</w:t>
      </w:r>
      <w:r>
        <w:rPr>
          <w:snapToGrid w:val="0"/>
        </w:rPr>
        <w:t>, an owner of a leasehold scheme or an occupier may have in relation to a</w:t>
      </w:r>
    </w:p>
    <w:p>
      <w:pPr>
        <w:pStyle w:val="BlankClose"/>
      </w:pPr>
    </w:p>
    <w:p>
      <w:pPr>
        <w:pStyle w:val="nzSubsection"/>
      </w:pPr>
      <w:r>
        <w:tab/>
        <w:t>(2)</w:t>
      </w:r>
      <w:r>
        <w:tab/>
        <w:t>In section 122(2):</w:t>
      </w:r>
    </w:p>
    <w:p>
      <w:pPr>
        <w:pStyle w:val="nzIndenta"/>
      </w:pPr>
      <w:r>
        <w:tab/>
        <w:t>(a)</w:t>
      </w:r>
      <w:r>
        <w:tab/>
        <w:t>delete “</w:t>
      </w:r>
      <w:r>
        <w:rPr>
          <w:snapToGrid w:val="0"/>
        </w:rPr>
        <w:t>Where a court in which any proceedings to enforce any</w:t>
      </w:r>
      <w:r>
        <w:t>” and insert:</w:t>
      </w:r>
    </w:p>
    <w:p>
      <w:pPr>
        <w:pStyle w:val="BlankOpen"/>
      </w:pPr>
    </w:p>
    <w:p>
      <w:pPr>
        <w:pStyle w:val="nzIndenta"/>
      </w:pPr>
      <w:r>
        <w:tab/>
      </w:r>
      <w:r>
        <w:tab/>
      </w:r>
      <w:r>
        <w:rPr>
          <w:snapToGrid w:val="0"/>
        </w:rPr>
        <w:t>If a court in which proceedings to enforce</w:t>
      </w:r>
    </w:p>
    <w:p>
      <w:pPr>
        <w:pStyle w:val="BlankClose"/>
      </w:pPr>
    </w:p>
    <w:p>
      <w:pPr>
        <w:pStyle w:val="nzIndenta"/>
      </w:pPr>
      <w:r>
        <w:tab/>
        <w:t>(b)</w:t>
      </w:r>
      <w:r>
        <w:tab/>
        <w:t>delete “</w:t>
      </w:r>
      <w:r>
        <w:rPr>
          <w:snapToGrid w:val="0"/>
        </w:rPr>
        <w:t>Part VI makes adequate provision for the enforcement of those rights or remedies, the court shall</w:t>
      </w:r>
      <w:r>
        <w:t>” and insert:</w:t>
      </w:r>
    </w:p>
    <w:p>
      <w:pPr>
        <w:pStyle w:val="BlankOpen"/>
      </w:pPr>
    </w:p>
    <w:p>
      <w:pPr>
        <w:pStyle w:val="nzIndenta"/>
      </w:pPr>
      <w:r>
        <w:tab/>
      </w:r>
      <w:r>
        <w:tab/>
      </w:r>
      <w:r>
        <w:rPr>
          <w:snapToGrid w:val="0"/>
        </w:rPr>
        <w:t>proceedings under this Act make adequate provision for the enforcement of those rights or remedies, the court must</w:t>
      </w:r>
    </w:p>
    <w:p>
      <w:pPr>
        <w:pStyle w:val="BlankClose"/>
      </w:pPr>
    </w:p>
    <w:p>
      <w:pPr>
        <w:pStyle w:val="nzPermNoteHeading"/>
      </w:pPr>
      <w:r>
        <w:tab/>
        <w:t>Note:</w:t>
      </w:r>
    </w:p>
    <w:p>
      <w:pPr>
        <w:pStyle w:val="nzPermNoteText"/>
      </w:pPr>
      <w:r>
        <w:tab/>
      </w:r>
      <w:r>
        <w:tab/>
        <w:t>Section 122 (as amended) is renumbered as section 211 and relocated to Part 14.</w:t>
      </w:r>
    </w:p>
    <w:p>
      <w:pPr>
        <w:pStyle w:val="nzHeading5"/>
      </w:pPr>
      <w:bookmarkStart w:id="615" w:name="_Toc530474332"/>
      <w:bookmarkStart w:id="616" w:name="_Toc530474927"/>
      <w:r>
        <w:rPr>
          <w:rStyle w:val="CharSectno"/>
        </w:rPr>
        <w:t>72</w:t>
      </w:r>
      <w:r>
        <w:t>.</w:t>
      </w:r>
      <w:r>
        <w:tab/>
        <w:t>Section 122A amended</w:t>
      </w:r>
      <w:bookmarkEnd w:id="615"/>
      <w:bookmarkEnd w:id="616"/>
    </w:p>
    <w:p>
      <w:pPr>
        <w:pStyle w:val="nzSubsection"/>
      </w:pPr>
      <w:r>
        <w:tab/>
        <w:t>(1)</w:t>
      </w:r>
      <w:r>
        <w:tab/>
        <w:t>In section 122A(1) delete the passage that begins with “</w:t>
      </w:r>
      <w:r>
        <w:rPr>
          <w:snapToGrid w:val="0"/>
        </w:rPr>
        <w:t>or re</w:t>
      </w:r>
      <w:r>
        <w:rPr>
          <w:snapToGrid w:val="0"/>
        </w:rPr>
        <w:noBreakHyphen/>
        <w:t xml:space="preserve">subdivided under this Act” and continues until the end of the subsection </w:t>
      </w:r>
      <w:r>
        <w:t>and insert:</w:t>
      </w:r>
    </w:p>
    <w:p>
      <w:pPr>
        <w:pStyle w:val="BlankOpen"/>
      </w:pPr>
    </w:p>
    <w:p>
      <w:pPr>
        <w:pStyle w:val="nzSubsection"/>
      </w:pPr>
      <w:r>
        <w:tab/>
      </w:r>
      <w:r>
        <w:tab/>
      </w:r>
      <w:r>
        <w:rPr>
          <w:snapToGrid w:val="0"/>
        </w:rPr>
        <w:t>by a strata titles scheme if that subdivision would result in there being a caravan park on more than 1 lot, a camping ground on more than 1 lot or a caravan park and camping ground on more than 1 lot.</w:t>
      </w:r>
    </w:p>
    <w:p>
      <w:pPr>
        <w:pStyle w:val="BlankClose"/>
      </w:pPr>
    </w:p>
    <w:p>
      <w:pPr>
        <w:pStyle w:val="nzSubsection"/>
      </w:pPr>
      <w:r>
        <w:tab/>
        <w:t>(2)</w:t>
      </w:r>
      <w:r>
        <w:tab/>
        <w:t>In section 122A(2) delete “</w:t>
      </w:r>
      <w:r>
        <w:rPr>
          <w:snapToGrid w:val="0"/>
        </w:rPr>
        <w:t>re</w:t>
      </w:r>
      <w:r>
        <w:rPr>
          <w:snapToGrid w:val="0"/>
        </w:rPr>
        <w:noBreakHyphen/>
        <w:t>subdivided where that re</w:t>
      </w:r>
      <w:r>
        <w:rPr>
          <w:snapToGrid w:val="0"/>
        </w:rPr>
        <w:noBreakHyphen/>
        <w:t>subdivision would not result in the land being re</w:t>
      </w:r>
      <w:r>
        <w:rPr>
          <w:snapToGrid w:val="0"/>
        </w:rPr>
        <w:noBreakHyphen/>
        <w:t>subdivided</w:t>
      </w:r>
      <w:r>
        <w:t>” and insert:</w:t>
      </w:r>
    </w:p>
    <w:p>
      <w:pPr>
        <w:pStyle w:val="BlankOpen"/>
      </w:pPr>
    </w:p>
    <w:p>
      <w:pPr>
        <w:pStyle w:val="nzSubsection"/>
      </w:pPr>
      <w:r>
        <w:tab/>
      </w:r>
      <w:r>
        <w:tab/>
      </w:r>
      <w:r>
        <w:rPr>
          <w:snapToGrid w:val="0"/>
        </w:rPr>
        <w:t>subdivided by registration of a strata titles scheme if that subdivision would not result in the land being subdivided</w:t>
      </w:r>
    </w:p>
    <w:p>
      <w:pPr>
        <w:pStyle w:val="BlankClose"/>
      </w:pPr>
    </w:p>
    <w:p>
      <w:pPr>
        <w:pStyle w:val="nzSubsection"/>
      </w:pPr>
      <w:r>
        <w:tab/>
        <w:t>(3)</w:t>
      </w:r>
      <w:r>
        <w:tab/>
        <w:t>In section 122A(3) delete “</w:t>
      </w:r>
      <w:r>
        <w:rPr>
          <w:snapToGrid w:val="0"/>
        </w:rPr>
        <w:t xml:space="preserve">meaning as they have for the purposes of the </w:t>
      </w:r>
      <w:r>
        <w:rPr>
          <w:i/>
          <w:snapToGrid w:val="0"/>
        </w:rPr>
        <w:t>Caravan Parks and Camping Grounds Act 1995</w:t>
      </w:r>
      <w:r>
        <w:rPr>
          <w:snapToGrid w:val="0"/>
        </w:rPr>
        <w:t>.</w:t>
      </w:r>
      <w:r>
        <w:t>” and insert:</w:t>
      </w:r>
    </w:p>
    <w:p>
      <w:pPr>
        <w:pStyle w:val="BlankOpen"/>
      </w:pPr>
    </w:p>
    <w:p>
      <w:pPr>
        <w:pStyle w:val="nzSubsection"/>
      </w:pPr>
      <w:r>
        <w:tab/>
      </w:r>
      <w:r>
        <w:tab/>
      </w:r>
      <w:r>
        <w:rPr>
          <w:snapToGrid w:val="0"/>
        </w:rPr>
        <w:t xml:space="preserve">meanings as they have in the </w:t>
      </w:r>
      <w:r>
        <w:rPr>
          <w:i/>
          <w:snapToGrid w:val="0"/>
        </w:rPr>
        <w:t>Caravan Parks and Camping Grounds Act 1995</w:t>
      </w:r>
      <w:r>
        <w:rPr>
          <w:snapToGrid w:val="0"/>
        </w:rPr>
        <w:t xml:space="preserve"> section 5.</w:t>
      </w:r>
    </w:p>
    <w:p>
      <w:pPr>
        <w:pStyle w:val="BlankClose"/>
      </w:pPr>
    </w:p>
    <w:p>
      <w:pPr>
        <w:pStyle w:val="nzPermNoteHeading"/>
      </w:pPr>
      <w:r>
        <w:tab/>
        <w:t>Note:</w:t>
      </w:r>
    </w:p>
    <w:p>
      <w:pPr>
        <w:pStyle w:val="nzPermNoteText"/>
      </w:pPr>
      <w:r>
        <w:tab/>
      </w:r>
      <w:r>
        <w:tab/>
        <w:t>Section 122A (as amended) is renumbered as section 212 and relocated to Part 14.</w:t>
      </w:r>
    </w:p>
    <w:p>
      <w:pPr>
        <w:pStyle w:val="nzHeading5"/>
      </w:pPr>
      <w:bookmarkStart w:id="617" w:name="_Toc530474333"/>
      <w:bookmarkStart w:id="618" w:name="_Toc530474928"/>
      <w:r>
        <w:rPr>
          <w:rStyle w:val="CharSectno"/>
        </w:rPr>
        <w:t>73</w:t>
      </w:r>
      <w:r>
        <w:t>.</w:t>
      </w:r>
      <w:r>
        <w:tab/>
        <w:t>Section 123 amended</w:t>
      </w:r>
      <w:bookmarkEnd w:id="617"/>
      <w:bookmarkEnd w:id="618"/>
    </w:p>
    <w:p>
      <w:pPr>
        <w:pStyle w:val="nzSubsection"/>
      </w:pPr>
      <w:r>
        <w:tab/>
        <w:t>(1)</w:t>
      </w:r>
      <w:r>
        <w:tab/>
        <w:t>In section 123(1) after “land in a” insert:</w:t>
      </w:r>
    </w:p>
    <w:p>
      <w:pPr>
        <w:pStyle w:val="BlankOpen"/>
      </w:pPr>
    </w:p>
    <w:p>
      <w:pPr>
        <w:pStyle w:val="nzSubsection"/>
      </w:pPr>
      <w:r>
        <w:tab/>
      </w:r>
      <w:r>
        <w:tab/>
      </w:r>
      <w:r>
        <w:rPr>
          <w:snapToGrid w:val="0"/>
        </w:rPr>
        <w:t>strata titles</w:t>
      </w:r>
    </w:p>
    <w:p>
      <w:pPr>
        <w:pStyle w:val="BlankClose"/>
      </w:pPr>
    </w:p>
    <w:p>
      <w:pPr>
        <w:pStyle w:val="nzSubsection"/>
      </w:pPr>
      <w:r>
        <w:tab/>
        <w:t>(2)</w:t>
      </w:r>
      <w:r>
        <w:tab/>
        <w:t>Delete section 123(2) to (4) and insert:</w:t>
      </w:r>
    </w:p>
    <w:p>
      <w:pPr>
        <w:pStyle w:val="BlankOpen"/>
      </w:pPr>
    </w:p>
    <w:p>
      <w:pPr>
        <w:pStyle w:val="nz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nz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nzIndenta"/>
        <w:rPr>
          <w:snapToGrid w:val="0"/>
        </w:rPr>
      </w:pPr>
      <w:r>
        <w:rPr>
          <w:snapToGrid w:val="0"/>
        </w:rPr>
        <w:tab/>
        <w:t>(a)</w:t>
      </w:r>
      <w:r>
        <w:rPr>
          <w:snapToGrid w:val="0"/>
        </w:rPr>
        <w:tab/>
        <w:t>in the case of a lot, the owner of the lot; and</w:t>
      </w:r>
    </w:p>
    <w:p>
      <w:pPr>
        <w:pStyle w:val="nz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nz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nzSubsection"/>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BlankClose"/>
      </w:pPr>
    </w:p>
    <w:p>
      <w:pPr>
        <w:pStyle w:val="nzPermNoteHeading"/>
      </w:pPr>
      <w:r>
        <w:tab/>
        <w:t>Note:</w:t>
      </w:r>
    </w:p>
    <w:p>
      <w:pPr>
        <w:pStyle w:val="nzPermNoteText"/>
      </w:pPr>
      <w:r>
        <w:tab/>
      </w:r>
      <w:r>
        <w:tab/>
        <w:t>Section 123 (as amended) is renumbered as section 213 and relocated to Part 14.</w:t>
      </w:r>
    </w:p>
    <w:p>
      <w:pPr>
        <w:pStyle w:val="nzHeading5"/>
      </w:pPr>
      <w:bookmarkStart w:id="619" w:name="_Toc530474334"/>
      <w:bookmarkStart w:id="620" w:name="_Toc530474929"/>
      <w:r>
        <w:rPr>
          <w:rStyle w:val="CharSectno"/>
        </w:rPr>
        <w:t>74</w:t>
      </w:r>
      <w:r>
        <w:t>.</w:t>
      </w:r>
      <w:r>
        <w:tab/>
        <w:t>Section 123B amended</w:t>
      </w:r>
      <w:bookmarkEnd w:id="619"/>
      <w:bookmarkEnd w:id="620"/>
    </w:p>
    <w:p>
      <w:pPr>
        <w:pStyle w:val="nzSubsection"/>
      </w:pPr>
      <w:r>
        <w:tab/>
        <w:t>(1)</w:t>
      </w:r>
      <w:r>
        <w:tab/>
        <w:t>In section 123B(1):</w:t>
      </w:r>
    </w:p>
    <w:p>
      <w:pPr>
        <w:pStyle w:val="nzIndenta"/>
      </w:pPr>
      <w:r>
        <w:tab/>
        <w:t>(a)</w:t>
      </w:r>
      <w:r>
        <w:tab/>
        <w:t>delete “and a single tier strata scheme”;</w:t>
      </w:r>
    </w:p>
    <w:p>
      <w:pPr>
        <w:pStyle w:val="nzIndenta"/>
      </w:pPr>
      <w:r>
        <w:tab/>
        <w:t>(b)</w:t>
      </w:r>
      <w:r>
        <w:tab/>
        <w:t>in paragraph (b) delete “a proprietor” and insert:</w:t>
      </w:r>
    </w:p>
    <w:p>
      <w:pPr>
        <w:pStyle w:val="BlankOpen"/>
      </w:pPr>
    </w:p>
    <w:p>
      <w:pPr>
        <w:pStyle w:val="nzIndenta"/>
      </w:pPr>
      <w:r>
        <w:tab/>
      </w:r>
      <w:r>
        <w:tab/>
      </w:r>
      <w:r>
        <w:rPr>
          <w:snapToGrid w:val="0"/>
        </w:rPr>
        <w:t>an owner</w:t>
      </w:r>
    </w:p>
    <w:p>
      <w:pPr>
        <w:pStyle w:val="BlankClose"/>
      </w:pPr>
    </w:p>
    <w:p>
      <w:pPr>
        <w:pStyle w:val="nzSubsection"/>
      </w:pPr>
      <w:r>
        <w:tab/>
        <w:t>(2)</w:t>
      </w:r>
      <w:r>
        <w:tab/>
        <w:t>Delete section 123B(2) and insert:</w:t>
      </w:r>
    </w:p>
    <w:p>
      <w:pPr>
        <w:pStyle w:val="BlankOpen"/>
      </w:pPr>
    </w:p>
    <w:p>
      <w:pPr>
        <w:pStyle w:val="nz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nzSubsection"/>
        <w:rPr>
          <w:snapToGrid w:val="0"/>
        </w:rPr>
      </w:pPr>
      <w:r>
        <w:rPr>
          <w:snapToGrid w:val="0"/>
        </w:rPr>
        <w:tab/>
        <w:t>(3)</w:t>
      </w:r>
      <w:r>
        <w:rPr>
          <w:snapToGrid w:val="0"/>
        </w:rPr>
        <w:tab/>
        <w:t>This section has effect subject to the scheme by</w:t>
      </w:r>
      <w:r>
        <w:rPr>
          <w:snapToGrid w:val="0"/>
        </w:rPr>
        <w:noBreakHyphen/>
        <w:t>laws.</w:t>
      </w:r>
    </w:p>
    <w:p>
      <w:pPr>
        <w:pStyle w:val="BlankClose"/>
      </w:pPr>
    </w:p>
    <w:p>
      <w:pPr>
        <w:pStyle w:val="nzPermNoteHeading"/>
      </w:pPr>
      <w:r>
        <w:tab/>
        <w:t>Note:</w:t>
      </w:r>
    </w:p>
    <w:p>
      <w:pPr>
        <w:pStyle w:val="nzPermNoteText"/>
      </w:pPr>
      <w:r>
        <w:tab/>
      </w:r>
      <w:r>
        <w:tab/>
        <w:t>Section 123B (as amended) is renumbered as section 214 and relocated to Part 14.</w:t>
      </w:r>
    </w:p>
    <w:p>
      <w:pPr>
        <w:pStyle w:val="nzHeading5"/>
      </w:pPr>
      <w:bookmarkStart w:id="621" w:name="_Toc530474335"/>
      <w:bookmarkStart w:id="622" w:name="_Toc530474930"/>
      <w:r>
        <w:rPr>
          <w:rStyle w:val="CharSectno"/>
        </w:rPr>
        <w:t>75</w:t>
      </w:r>
      <w:r>
        <w:t>.</w:t>
      </w:r>
      <w:r>
        <w:tab/>
        <w:t>Section 124 amended</w:t>
      </w:r>
      <w:bookmarkEnd w:id="621"/>
      <w:bookmarkEnd w:id="622"/>
    </w:p>
    <w:p>
      <w:pPr>
        <w:pStyle w:val="nzSubsection"/>
      </w:pPr>
      <w:r>
        <w:tab/>
        <w:t>(1)</w:t>
      </w:r>
      <w:r>
        <w:tab/>
        <w:t>In section 124(1) delete “</w:t>
      </w:r>
      <w:r>
        <w:rPr>
          <w:snapToGrid w:val="0"/>
        </w:rPr>
        <w:t>District Court may, in respect of any proceedings on an application for an order under section 28, 29 or 31,</w:t>
      </w:r>
      <w:r>
        <w:t>” and insert:</w:t>
      </w:r>
    </w:p>
    <w:p>
      <w:pPr>
        <w:pStyle w:val="BlankOpen"/>
      </w:pPr>
    </w:p>
    <w:p>
      <w:pPr>
        <w:pStyle w:val="nzSubsection"/>
      </w:pPr>
      <w:r>
        <w:tab/>
      </w:r>
      <w:r>
        <w:tab/>
      </w:r>
      <w:r>
        <w:rPr>
          <w:snapToGrid w:val="0"/>
        </w:rPr>
        <w:t>Tribunal may, in proceedings on an application for an order under section 166, 167 or 168,</w:t>
      </w:r>
    </w:p>
    <w:p>
      <w:pPr>
        <w:pStyle w:val="BlankClose"/>
      </w:pPr>
    </w:p>
    <w:p>
      <w:pPr>
        <w:pStyle w:val="nzSubsection"/>
      </w:pPr>
      <w:r>
        <w:tab/>
        <w:t>(2)</w:t>
      </w:r>
      <w:r>
        <w:tab/>
        <w:t>In section 124(2):</w:t>
      </w:r>
    </w:p>
    <w:p>
      <w:pPr>
        <w:pStyle w:val="nzIndenta"/>
      </w:pPr>
      <w:r>
        <w:tab/>
        <w:t>(a)</w:t>
      </w:r>
      <w:r>
        <w:tab/>
        <w:t>delete “</w:t>
      </w:r>
      <w:r>
        <w:rPr>
          <w:snapToGrid w:val="0"/>
        </w:rPr>
        <w:t>rules of court, the District Court shall not make an order referred to in subsection (1)(b) in respect of any person unless the District Court</w:t>
      </w:r>
      <w:r>
        <w:t>” and insert:</w:t>
      </w:r>
    </w:p>
    <w:p>
      <w:pPr>
        <w:pStyle w:val="BlankOpen"/>
      </w:pPr>
    </w:p>
    <w:p>
      <w:pPr>
        <w:pStyle w:val="nzIndenta"/>
      </w:pPr>
      <w:r>
        <w:tab/>
      </w:r>
      <w:r>
        <w:tab/>
      </w:r>
      <w:r>
        <w:rPr>
          <w:snapToGrid w:val="0"/>
        </w:rPr>
        <w:t>the rules of the Tribunal, the Tribunal must not make an order referred to in subsection (1)(b) in respect of a person unless the Tribunal</w:t>
      </w:r>
    </w:p>
    <w:p>
      <w:pPr>
        <w:pStyle w:val="BlankClose"/>
      </w:pPr>
    </w:p>
    <w:p>
      <w:pPr>
        <w:pStyle w:val="nzIndenta"/>
      </w:pPr>
      <w:r>
        <w:tab/>
        <w:t>(b)</w:t>
      </w:r>
      <w:r>
        <w:tab/>
        <w:t>in paragraph (c) delete “upon” and insert:</w:t>
      </w:r>
    </w:p>
    <w:p>
      <w:pPr>
        <w:pStyle w:val="BlankOpen"/>
      </w:pPr>
    </w:p>
    <w:p>
      <w:pPr>
        <w:pStyle w:val="nzIndenta"/>
      </w:pPr>
      <w:r>
        <w:tab/>
      </w:r>
      <w:r>
        <w:tab/>
      </w:r>
      <w:r>
        <w:rPr>
          <w:snapToGrid w:val="0"/>
        </w:rPr>
        <w:t>on</w:t>
      </w:r>
    </w:p>
    <w:p>
      <w:pPr>
        <w:pStyle w:val="BlankClose"/>
        <w:keepNext/>
      </w:pPr>
    </w:p>
    <w:p>
      <w:pPr>
        <w:pStyle w:val="nzIndenta"/>
      </w:pPr>
      <w:r>
        <w:tab/>
        <w:t>(c)</w:t>
      </w:r>
      <w:r>
        <w:tab/>
        <w:t>in paragraph (c) delete “his” and insert:</w:t>
      </w:r>
    </w:p>
    <w:p>
      <w:pPr>
        <w:pStyle w:val="BlankOpen"/>
      </w:pPr>
    </w:p>
    <w:p>
      <w:pPr>
        <w:pStyle w:val="nzIndenta"/>
      </w:pPr>
      <w:r>
        <w:tab/>
      </w:r>
      <w:r>
        <w:tab/>
      </w:r>
      <w:r>
        <w:rPr>
          <w:snapToGrid w:val="0"/>
        </w:rPr>
        <w:t>the person’s</w:t>
      </w:r>
    </w:p>
    <w:p>
      <w:pPr>
        <w:pStyle w:val="BlankClose"/>
      </w:pPr>
    </w:p>
    <w:p>
      <w:pPr>
        <w:pStyle w:val="nzSectAltNote"/>
      </w:pPr>
      <w:r>
        <w:tab/>
        <w:t>Note:</w:t>
      </w:r>
      <w:r>
        <w:tab/>
        <w:t>The heading to amended section 124 is to read:</w:t>
      </w:r>
    </w:p>
    <w:p>
      <w:pPr>
        <w:pStyle w:val="nzSectAltHeading"/>
        <w:rPr>
          <w:snapToGrid w:val="0"/>
        </w:rPr>
      </w:pPr>
      <w:r>
        <w:tab/>
      </w:r>
      <w:r>
        <w:tab/>
      </w:r>
      <w:r>
        <w:rPr>
          <w:snapToGrid w:val="0"/>
        </w:rPr>
        <w:t>Notice of application for order under section 166, 167 or 168</w:t>
      </w:r>
    </w:p>
    <w:p>
      <w:pPr>
        <w:pStyle w:val="nzPermNoteHeading"/>
      </w:pPr>
      <w:r>
        <w:tab/>
        <w:t>Note:</w:t>
      </w:r>
    </w:p>
    <w:p>
      <w:pPr>
        <w:pStyle w:val="nzPermNoteText"/>
      </w:pPr>
      <w:r>
        <w:tab/>
      </w:r>
      <w:r>
        <w:tab/>
        <w:t>Section 124 (as amended) is renumbered as section 170 and relocated to Part 11 Division 3.</w:t>
      </w:r>
    </w:p>
    <w:p>
      <w:pPr>
        <w:pStyle w:val="nzHeading5"/>
      </w:pPr>
      <w:bookmarkStart w:id="623" w:name="_Toc530474336"/>
      <w:bookmarkStart w:id="624" w:name="_Toc530474931"/>
      <w:r>
        <w:rPr>
          <w:rStyle w:val="CharSectno"/>
        </w:rPr>
        <w:t>76</w:t>
      </w:r>
      <w:r>
        <w:t>.</w:t>
      </w:r>
      <w:r>
        <w:tab/>
        <w:t>Section 126 amended</w:t>
      </w:r>
      <w:bookmarkEnd w:id="623"/>
      <w:bookmarkEnd w:id="624"/>
    </w:p>
    <w:p>
      <w:pPr>
        <w:pStyle w:val="nzSubsection"/>
      </w:pPr>
      <w:r>
        <w:tab/>
      </w:r>
      <w:r>
        <w:tab/>
        <w:t>In section 126 delete “</w:t>
      </w:r>
      <w:r>
        <w:rPr>
          <w:snapToGrid w:val="0"/>
        </w:rPr>
        <w:t>public authority or local government which is authorised by any Act to enter upon part of a parcel for the purpose of exercising any power conferred on it may enter upon</w:t>
      </w:r>
      <w:r>
        <w:t>” and insert:</w:t>
      </w:r>
    </w:p>
    <w:p>
      <w:pPr>
        <w:pStyle w:val="BlankOpen"/>
      </w:pPr>
    </w:p>
    <w:p>
      <w:pPr>
        <w:pStyle w:val="nzSubsection"/>
      </w:pPr>
      <w:r>
        <w:tab/>
      </w:r>
      <w:r>
        <w:tab/>
      </w:r>
      <w:r>
        <w:rPr>
          <w:snapToGrid w:val="0"/>
        </w:rPr>
        <w:t>person who is authorised under a written law to enter on part of a parcel for the purpose of exercising a power conferred on the person may enter on</w:t>
      </w:r>
    </w:p>
    <w:p>
      <w:pPr>
        <w:pStyle w:val="BlankClose"/>
      </w:pPr>
    </w:p>
    <w:p>
      <w:pPr>
        <w:pStyle w:val="nzSectAltNote"/>
      </w:pPr>
      <w:r>
        <w:tab/>
        <w:t>Note:</w:t>
      </w:r>
      <w:r>
        <w:tab/>
        <w:t>The heading to amended 126 is to read:</w:t>
      </w:r>
    </w:p>
    <w:p>
      <w:pPr>
        <w:pStyle w:val="nzSectAltHeading"/>
      </w:pPr>
      <w:r>
        <w:rPr>
          <w:b w:val="0"/>
        </w:rPr>
        <w:tab/>
      </w:r>
      <w:r>
        <w:rPr>
          <w:b w:val="0"/>
        </w:rPr>
        <w:tab/>
      </w:r>
      <w:r>
        <w:t>Powers of entry under written laws</w:t>
      </w:r>
    </w:p>
    <w:p>
      <w:pPr>
        <w:pStyle w:val="nzPermNoteHeading"/>
      </w:pPr>
      <w:r>
        <w:tab/>
        <w:t>Note:</w:t>
      </w:r>
    </w:p>
    <w:p>
      <w:pPr>
        <w:pStyle w:val="nzPermNoteText"/>
      </w:pPr>
      <w:r>
        <w:tab/>
      </w:r>
      <w:r>
        <w:tab/>
        <w:t>Section 126 (as amended) is renumbered as section 217 and relocated to Part 14.</w:t>
      </w:r>
    </w:p>
    <w:p>
      <w:pPr>
        <w:pStyle w:val="nzHeading5"/>
      </w:pPr>
      <w:bookmarkStart w:id="625" w:name="_Toc530474337"/>
      <w:bookmarkStart w:id="626" w:name="_Toc530474932"/>
      <w:r>
        <w:rPr>
          <w:rStyle w:val="CharSectno"/>
        </w:rPr>
        <w:t>77</w:t>
      </w:r>
      <w:r>
        <w:t>.</w:t>
      </w:r>
      <w:r>
        <w:tab/>
        <w:t>Section 129B amended</w:t>
      </w:r>
      <w:bookmarkEnd w:id="625"/>
      <w:bookmarkEnd w:id="626"/>
    </w:p>
    <w:p>
      <w:pPr>
        <w:pStyle w:val="nzSubsection"/>
      </w:pPr>
      <w:r>
        <w:tab/>
        <w:t>(1)</w:t>
      </w:r>
      <w:r>
        <w:tab/>
        <w:t>In section 129B(1) delete “power that section 129A gives the Commissioner to any other” and insert:</w:t>
      </w:r>
    </w:p>
    <w:p>
      <w:pPr>
        <w:pStyle w:val="BlankOpen"/>
      </w:pPr>
    </w:p>
    <w:p>
      <w:pPr>
        <w:pStyle w:val="nzSubsection"/>
      </w:pPr>
      <w:r>
        <w:tab/>
      </w:r>
      <w:r>
        <w:tab/>
        <w:t>Commissioner’s functions under section 218 to a</w:t>
      </w:r>
    </w:p>
    <w:p>
      <w:pPr>
        <w:pStyle w:val="BlankClose"/>
      </w:pPr>
    </w:p>
    <w:p>
      <w:pPr>
        <w:pStyle w:val="nzSubsection"/>
      </w:pPr>
      <w:r>
        <w:tab/>
        <w:t>(2)</w:t>
      </w:r>
      <w:r>
        <w:tab/>
        <w:t>In section 129B(2) delete “Commissioner.” insert:</w:t>
      </w:r>
    </w:p>
    <w:p>
      <w:pPr>
        <w:pStyle w:val="BlankOpen"/>
      </w:pPr>
    </w:p>
    <w:p>
      <w:pPr>
        <w:pStyle w:val="nzSubsection"/>
      </w:pPr>
      <w:r>
        <w:tab/>
      </w:r>
      <w:r>
        <w:tab/>
        <w:t>Commissioner of Titles.</w:t>
      </w:r>
    </w:p>
    <w:p>
      <w:pPr>
        <w:pStyle w:val="BlankClose"/>
      </w:pPr>
    </w:p>
    <w:p>
      <w:pPr>
        <w:pStyle w:val="nzSubsection"/>
      </w:pPr>
      <w:r>
        <w:tab/>
        <w:t>(3)</w:t>
      </w:r>
      <w:r>
        <w:tab/>
        <w:t>In section 129B(3):</w:t>
      </w:r>
    </w:p>
    <w:p>
      <w:pPr>
        <w:pStyle w:val="nzIndenta"/>
      </w:pPr>
      <w:r>
        <w:tab/>
        <w:t>(a)</w:t>
      </w:r>
      <w:r>
        <w:tab/>
        <w:t>delete “power or duty” and insert:</w:t>
      </w:r>
    </w:p>
    <w:p>
      <w:pPr>
        <w:pStyle w:val="BlankOpen"/>
      </w:pPr>
    </w:p>
    <w:p>
      <w:pPr>
        <w:pStyle w:val="nzIndenta"/>
      </w:pPr>
      <w:r>
        <w:tab/>
      </w:r>
      <w:r>
        <w:tab/>
        <w:t>function</w:t>
      </w:r>
    </w:p>
    <w:p>
      <w:pPr>
        <w:pStyle w:val="BlankClose"/>
      </w:pPr>
    </w:p>
    <w:p>
      <w:pPr>
        <w:pStyle w:val="nzIndenta"/>
      </w:pPr>
      <w:r>
        <w:tab/>
        <w:t>(b)</w:t>
      </w:r>
      <w:r>
        <w:tab/>
        <w:t>delete “power or duty.” and insert:</w:t>
      </w:r>
    </w:p>
    <w:p>
      <w:pPr>
        <w:pStyle w:val="BlankOpen"/>
      </w:pPr>
    </w:p>
    <w:p>
      <w:pPr>
        <w:pStyle w:val="nzIndenta"/>
      </w:pPr>
      <w:r>
        <w:tab/>
      </w:r>
      <w:r>
        <w:tab/>
        <w:t>function.</w:t>
      </w:r>
    </w:p>
    <w:p>
      <w:pPr>
        <w:pStyle w:val="BlankClose"/>
      </w:pPr>
    </w:p>
    <w:p>
      <w:pPr>
        <w:pStyle w:val="nzSubsection"/>
      </w:pPr>
      <w:r>
        <w:tab/>
        <w:t>(4)</w:t>
      </w:r>
      <w:r>
        <w:tab/>
        <w:t>In section 129B(4) delete “exercising or performing a power or duty that has been delegated to the person under this section is to be” and insert:</w:t>
      </w:r>
    </w:p>
    <w:p>
      <w:pPr>
        <w:pStyle w:val="BlankOpen"/>
      </w:pPr>
    </w:p>
    <w:p>
      <w:pPr>
        <w:pStyle w:val="nzSubsection"/>
      </w:pPr>
      <w:r>
        <w:tab/>
      </w:r>
      <w:r>
        <w:tab/>
        <w:t>performing a function that has been delegated to the person under this section is</w:t>
      </w:r>
    </w:p>
    <w:p>
      <w:pPr>
        <w:pStyle w:val="BlankClose"/>
      </w:pPr>
    </w:p>
    <w:p>
      <w:pPr>
        <w:pStyle w:val="nzSubsection"/>
      </w:pPr>
      <w:r>
        <w:tab/>
        <w:t>(5)</w:t>
      </w:r>
      <w:r>
        <w:tab/>
        <w:t>In section 129B(5) after “Commissioner” insert:</w:t>
      </w:r>
    </w:p>
    <w:p>
      <w:pPr>
        <w:pStyle w:val="BlankOpen"/>
      </w:pPr>
    </w:p>
    <w:p>
      <w:pPr>
        <w:pStyle w:val="nzSubsection"/>
      </w:pPr>
      <w:r>
        <w:tab/>
      </w:r>
      <w:r>
        <w:tab/>
        <w:t>of Titles</w:t>
      </w:r>
    </w:p>
    <w:p>
      <w:pPr>
        <w:pStyle w:val="BlankClose"/>
      </w:pPr>
    </w:p>
    <w:p>
      <w:pPr>
        <w:pStyle w:val="nzSubsection"/>
      </w:pPr>
      <w:r>
        <w:tab/>
        <w:t>(6)</w:t>
      </w:r>
      <w:r>
        <w:tab/>
        <w:t>Delete section 129B(6).</w:t>
      </w:r>
    </w:p>
    <w:p>
      <w:pPr>
        <w:pStyle w:val="nzPermNoteHeading"/>
      </w:pPr>
      <w:r>
        <w:tab/>
        <w:t>Note:</w:t>
      </w:r>
    </w:p>
    <w:p>
      <w:pPr>
        <w:pStyle w:val="nzPermNoteText"/>
      </w:pPr>
      <w:r>
        <w:tab/>
      </w:r>
      <w:r>
        <w:tab/>
        <w:t>Section 129B (as amended) is renumbered as section 219 and relocated to Part 14.</w:t>
      </w:r>
    </w:p>
    <w:p>
      <w:pPr>
        <w:pStyle w:val="nzHeading5"/>
      </w:pPr>
      <w:bookmarkStart w:id="627" w:name="_Toc530474338"/>
      <w:bookmarkStart w:id="628" w:name="_Toc530474933"/>
      <w:r>
        <w:rPr>
          <w:rStyle w:val="CharSectno"/>
        </w:rPr>
        <w:t>78</w:t>
      </w:r>
      <w:r>
        <w:t>.</w:t>
      </w:r>
      <w:r>
        <w:tab/>
        <w:t>Section 129C amended</w:t>
      </w:r>
      <w:bookmarkEnd w:id="627"/>
      <w:bookmarkEnd w:id="628"/>
    </w:p>
    <w:p>
      <w:pPr>
        <w:pStyle w:val="nzSubsection"/>
      </w:pPr>
      <w:r>
        <w:tab/>
        <w:t>(1)</w:t>
      </w:r>
      <w:r>
        <w:tab/>
        <w:t>In section 129C(1) delete “any power or duty of the Registrar under another provision o</w:t>
      </w:r>
      <w:r>
        <w:rPr>
          <w:snapToGrid w:val="0"/>
          <w:spacing w:val="40"/>
        </w:rPr>
        <w:t>f</w:t>
      </w:r>
      <w:r>
        <w:t>” and insert:</w:t>
      </w:r>
    </w:p>
    <w:p>
      <w:pPr>
        <w:pStyle w:val="BlankOpen"/>
      </w:pPr>
    </w:p>
    <w:p>
      <w:pPr>
        <w:pStyle w:val="nzSubsection"/>
      </w:pPr>
      <w:r>
        <w:tab/>
      </w:r>
      <w:r>
        <w:tab/>
        <w:t>a function of the Registrar under</w:t>
      </w:r>
    </w:p>
    <w:p>
      <w:pPr>
        <w:pStyle w:val="BlankClose"/>
      </w:pPr>
    </w:p>
    <w:p>
      <w:pPr>
        <w:pStyle w:val="nzSubsection"/>
      </w:pPr>
      <w:r>
        <w:tab/>
        <w:t>(2)</w:t>
      </w:r>
      <w:r>
        <w:tab/>
        <w:t>In section 129C(2) delete “Registrar.” insert:</w:t>
      </w:r>
    </w:p>
    <w:p>
      <w:pPr>
        <w:pStyle w:val="BlankOpen"/>
      </w:pPr>
    </w:p>
    <w:p>
      <w:pPr>
        <w:pStyle w:val="nzSubsection"/>
      </w:pPr>
      <w:r>
        <w:tab/>
      </w:r>
      <w:r>
        <w:tab/>
        <w:t>Registrar of Titles.</w:t>
      </w:r>
    </w:p>
    <w:p>
      <w:pPr>
        <w:pStyle w:val="BlankClose"/>
      </w:pPr>
    </w:p>
    <w:p>
      <w:pPr>
        <w:pStyle w:val="nzSubsection"/>
      </w:pPr>
      <w:r>
        <w:tab/>
        <w:t>(3)</w:t>
      </w:r>
      <w:r>
        <w:tab/>
        <w:t>In section 129C(3):</w:t>
      </w:r>
    </w:p>
    <w:p>
      <w:pPr>
        <w:pStyle w:val="nzIndenta"/>
      </w:pPr>
      <w:r>
        <w:tab/>
        <w:t>(a)</w:t>
      </w:r>
      <w:r>
        <w:tab/>
        <w:t>delete “power or duty” and insert:</w:t>
      </w:r>
    </w:p>
    <w:p>
      <w:pPr>
        <w:pStyle w:val="BlankOpen"/>
      </w:pPr>
    </w:p>
    <w:p>
      <w:pPr>
        <w:pStyle w:val="nzIndenta"/>
      </w:pPr>
      <w:r>
        <w:tab/>
      </w:r>
      <w:r>
        <w:tab/>
        <w:t>function</w:t>
      </w:r>
    </w:p>
    <w:p>
      <w:pPr>
        <w:pStyle w:val="BlankClose"/>
      </w:pPr>
    </w:p>
    <w:p>
      <w:pPr>
        <w:pStyle w:val="nzIndenta"/>
      </w:pPr>
      <w:r>
        <w:tab/>
        <w:t>(b)</w:t>
      </w:r>
      <w:r>
        <w:tab/>
        <w:t>delete “power or duty.” and insert:</w:t>
      </w:r>
    </w:p>
    <w:p>
      <w:pPr>
        <w:pStyle w:val="BlankOpen"/>
      </w:pPr>
    </w:p>
    <w:p>
      <w:pPr>
        <w:pStyle w:val="nzIndenta"/>
      </w:pPr>
      <w:r>
        <w:tab/>
      </w:r>
      <w:r>
        <w:tab/>
        <w:t>function.</w:t>
      </w:r>
    </w:p>
    <w:p>
      <w:pPr>
        <w:pStyle w:val="BlankClose"/>
      </w:pPr>
    </w:p>
    <w:p>
      <w:pPr>
        <w:pStyle w:val="nzSubsection"/>
      </w:pPr>
      <w:r>
        <w:tab/>
        <w:t>(4)</w:t>
      </w:r>
      <w:r>
        <w:tab/>
        <w:t>In section 129C(4) delete “exercising or performing a power or duty that has been delegated to the person under this section is to be” and insert:</w:t>
      </w:r>
    </w:p>
    <w:p>
      <w:pPr>
        <w:pStyle w:val="BlankOpen"/>
      </w:pPr>
    </w:p>
    <w:p>
      <w:pPr>
        <w:pStyle w:val="nzSubsection"/>
      </w:pPr>
      <w:r>
        <w:tab/>
      </w:r>
      <w:r>
        <w:tab/>
        <w:t>performing a function that has been delegated to the person under this section is</w:t>
      </w:r>
    </w:p>
    <w:p>
      <w:pPr>
        <w:pStyle w:val="BlankClose"/>
      </w:pPr>
    </w:p>
    <w:p>
      <w:pPr>
        <w:pStyle w:val="nzSubsection"/>
      </w:pPr>
      <w:r>
        <w:tab/>
        <w:t>(5)</w:t>
      </w:r>
      <w:r>
        <w:tab/>
        <w:t>In section 129C(5) after “Registrar” insert:</w:t>
      </w:r>
    </w:p>
    <w:p>
      <w:pPr>
        <w:pStyle w:val="BlankOpen"/>
      </w:pPr>
    </w:p>
    <w:p>
      <w:pPr>
        <w:pStyle w:val="nzSubsection"/>
      </w:pPr>
      <w:r>
        <w:tab/>
      </w:r>
      <w:r>
        <w:tab/>
        <w:t>of Titles</w:t>
      </w:r>
    </w:p>
    <w:p>
      <w:pPr>
        <w:pStyle w:val="BlankClose"/>
      </w:pPr>
    </w:p>
    <w:p>
      <w:pPr>
        <w:pStyle w:val="nzSubsection"/>
      </w:pPr>
      <w:r>
        <w:tab/>
        <w:t>(6)</w:t>
      </w:r>
      <w:r>
        <w:tab/>
        <w:t>Delete section 129C(6).</w:t>
      </w:r>
    </w:p>
    <w:p>
      <w:pPr>
        <w:pStyle w:val="nzPermNoteHeading"/>
      </w:pPr>
      <w:r>
        <w:tab/>
        <w:t>Note:</w:t>
      </w:r>
    </w:p>
    <w:p>
      <w:pPr>
        <w:pStyle w:val="nzPermNoteText"/>
      </w:pPr>
      <w:r>
        <w:tab/>
      </w:r>
      <w:r>
        <w:tab/>
        <w:t>Section 129C (as amended) is renumbered as section 220 and relocated to Part 14.</w:t>
      </w:r>
    </w:p>
    <w:p>
      <w:pPr>
        <w:pStyle w:val="nzHeading5"/>
      </w:pPr>
      <w:bookmarkStart w:id="629" w:name="_Toc530474339"/>
      <w:bookmarkStart w:id="630" w:name="_Toc530474934"/>
      <w:r>
        <w:rPr>
          <w:rStyle w:val="CharSectno"/>
        </w:rPr>
        <w:t>79</w:t>
      </w:r>
      <w:r>
        <w:t>.</w:t>
      </w:r>
      <w:r>
        <w:tab/>
        <w:t>Section 130 amended</w:t>
      </w:r>
      <w:bookmarkEnd w:id="629"/>
      <w:bookmarkEnd w:id="630"/>
    </w:p>
    <w:p>
      <w:pPr>
        <w:pStyle w:val="nzSubsection"/>
      </w:pPr>
      <w:r>
        <w:tab/>
        <w:t>(1)</w:t>
      </w:r>
      <w:r>
        <w:tab/>
        <w:t>At the beginning of section 130 insert:</w:t>
      </w:r>
    </w:p>
    <w:p>
      <w:pPr>
        <w:pStyle w:val="BlankOpen"/>
      </w:pPr>
    </w:p>
    <w:p>
      <w:pPr>
        <w:pStyle w:val="nzSubsection"/>
        <w:rPr>
          <w:snapToGrid w:val="0"/>
        </w:rPr>
      </w:pPr>
      <w:r>
        <w:rPr>
          <w:snapToGrid w:val="0"/>
        </w:rPr>
        <w:tab/>
        <w:t>(1)</w:t>
      </w:r>
      <w:r>
        <w:rPr>
          <w:snapToGrid w:val="0"/>
        </w:rPr>
        <w:tab/>
        <w:t>The Governor may make regulations prescribing matters —</w:t>
      </w:r>
    </w:p>
    <w:p>
      <w:pPr>
        <w:pStyle w:val="nz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nz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BlankClose"/>
      </w:pPr>
    </w:p>
    <w:p>
      <w:pPr>
        <w:pStyle w:val="nzSubsection"/>
      </w:pPr>
      <w:r>
        <w:tab/>
        <w:t>(2)</w:t>
      </w:r>
      <w:r>
        <w:tab/>
        <w:t>In section 130:</w:t>
      </w:r>
    </w:p>
    <w:p>
      <w:pPr>
        <w:pStyle w:val="nzIndenta"/>
      </w:pPr>
      <w:r>
        <w:tab/>
        <w:t>(a)</w:t>
      </w:r>
      <w:r>
        <w:tab/>
        <w:t>delete the passage that begins with “The Governor” and ends with “to —” and insert:</w:t>
      </w:r>
    </w:p>
    <w:p>
      <w:pPr>
        <w:pStyle w:val="BlankOpen"/>
      </w:pPr>
    </w:p>
    <w:p>
      <w:pPr>
        <w:pStyle w:val="nzSubsection"/>
      </w:pPr>
      <w:r>
        <w:tab/>
        <w:t>(2)</w:t>
      </w:r>
      <w:r>
        <w:tab/>
        <w:t>Without limiting subsection (1), the regulations may provide for —</w:t>
      </w:r>
    </w:p>
    <w:p>
      <w:pPr>
        <w:pStyle w:val="BlankClose"/>
      </w:pPr>
    </w:p>
    <w:p>
      <w:pPr>
        <w:pStyle w:val="nzIndenta"/>
      </w:pPr>
      <w:r>
        <w:tab/>
        <w:t>(b)</w:t>
      </w:r>
      <w:r>
        <w:tab/>
        <w:t>in paragraph (b) delete “to be payable in respect of applications to the State Administrative Tribunal; and” and insert:</w:t>
      </w:r>
    </w:p>
    <w:p>
      <w:pPr>
        <w:pStyle w:val="BlankOpen"/>
      </w:pPr>
    </w:p>
    <w:p>
      <w:pPr>
        <w:pStyle w:val="nzIndenta"/>
      </w:pPr>
      <w:r>
        <w:tab/>
      </w:r>
      <w:r>
        <w:tab/>
        <w:t>for applications to the Tribunal; and</w:t>
      </w:r>
    </w:p>
    <w:p>
      <w:pPr>
        <w:pStyle w:val="BlankClose"/>
      </w:pPr>
    </w:p>
    <w:p>
      <w:pPr>
        <w:pStyle w:val="nzIndenta"/>
      </w:pPr>
      <w:r>
        <w:tab/>
        <w:t>(c)</w:t>
      </w:r>
      <w:r>
        <w:tab/>
        <w:t>in paragraph (c) delete “prescribing forms under this Act and the respective purposes for which those forms are to be used and providing that in such cases as may be prescribed, forms or other documents required by or” and insert:</w:t>
      </w:r>
    </w:p>
    <w:p>
      <w:pPr>
        <w:pStyle w:val="BlankOpen"/>
      </w:pPr>
    </w:p>
    <w:p>
      <w:pPr>
        <w:pStyle w:val="nzIndenta"/>
      </w:pPr>
      <w:r>
        <w:tab/>
      </w:r>
      <w:r>
        <w:tab/>
        <w:t>circumstances in which forms or other documents required</w:t>
      </w:r>
    </w:p>
    <w:p>
      <w:pPr>
        <w:pStyle w:val="BlankClose"/>
      </w:pPr>
    </w:p>
    <w:p>
      <w:pPr>
        <w:pStyle w:val="nzIndenta"/>
      </w:pPr>
      <w:r>
        <w:tab/>
        <w:t>(d)</w:t>
      </w:r>
      <w:r>
        <w:tab/>
        <w:t>in paragraph (c) delete “shall” and insert:</w:t>
      </w:r>
    </w:p>
    <w:p>
      <w:pPr>
        <w:pStyle w:val="BlankOpen"/>
      </w:pPr>
    </w:p>
    <w:p>
      <w:pPr>
        <w:pStyle w:val="nzIndenta"/>
      </w:pPr>
      <w:r>
        <w:tab/>
      </w:r>
      <w:r>
        <w:tab/>
        <w:t>must</w:t>
      </w:r>
    </w:p>
    <w:p>
      <w:pPr>
        <w:pStyle w:val="BlankClose"/>
      </w:pPr>
    </w:p>
    <w:p>
      <w:pPr>
        <w:pStyle w:val="nzIndenta"/>
      </w:pPr>
      <w:r>
        <w:tab/>
        <w:t>(e)</w:t>
      </w:r>
      <w:r>
        <w:tab/>
        <w:t>in paragraph (f) delete “prescribing”;</w:t>
      </w:r>
    </w:p>
    <w:p>
      <w:pPr>
        <w:pStyle w:val="nzIndenta"/>
      </w:pPr>
      <w:r>
        <w:tab/>
        <w:t>(f)</w:t>
      </w:r>
      <w:r>
        <w:tab/>
        <w:t>delete paragraph (i) and insert:</w:t>
      </w:r>
    </w:p>
    <w:p>
      <w:pPr>
        <w:pStyle w:val="BlankOpen"/>
      </w:pPr>
    </w:p>
    <w:p>
      <w:pPr>
        <w:pStyle w:val="nzIndenta"/>
      </w:pPr>
      <w:r>
        <w:tab/>
        <w:t>(g)</w:t>
      </w:r>
      <w:r>
        <w:tab/>
        <w:t>the review by the Tribunal of a decision made under the regulations; and</w:t>
      </w:r>
    </w:p>
    <w:p>
      <w:pPr>
        <w:pStyle w:val="nzIndenta"/>
        <w:rPr>
          <w:snapToGrid w:val="0"/>
        </w:rPr>
      </w:pPr>
      <w:r>
        <w:tab/>
        <w:t>(h)</w:t>
      </w:r>
      <w:r>
        <w:tab/>
        <w:t>additional requirements relating to the first annual general meeting of the strata company.</w:t>
      </w:r>
    </w:p>
    <w:p>
      <w:pPr>
        <w:pStyle w:val="BlankClose"/>
      </w:pPr>
    </w:p>
    <w:p>
      <w:pPr>
        <w:pStyle w:val="nzSubsection"/>
      </w:pPr>
      <w:r>
        <w:tab/>
        <w:t>(3)</w:t>
      </w:r>
      <w:r>
        <w:tab/>
        <w:t>At the end of section 130 insert:</w:t>
      </w:r>
    </w:p>
    <w:p>
      <w:pPr>
        <w:pStyle w:val="BlankOpen"/>
      </w:pPr>
    </w:p>
    <w:p>
      <w:pPr>
        <w:pStyle w:val="nz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nzSubsection"/>
      </w:pPr>
      <w:r>
        <w:tab/>
        <w:t>(4)</w:t>
      </w:r>
      <w:r>
        <w:tab/>
        <w:t>The regulations may provide that contravention of a regulation is an offence and may provide for the offence to be punishable on conviction by a penalty not exceeding a fine of $3 000.</w:t>
      </w:r>
    </w:p>
    <w:p>
      <w:pPr>
        <w:pStyle w:val="nzSubsection"/>
      </w:pPr>
      <w:r>
        <w:tab/>
        <w:t>(5)</w:t>
      </w:r>
      <w:r>
        <w:tab/>
        <w:t>The regulations may contain provisions of a savings or transitional nature consequent on the enactment of an Act (an amending Act) amending this Act.</w:t>
      </w:r>
    </w:p>
    <w:p>
      <w:pPr>
        <w:pStyle w:val="nzSubsection"/>
      </w:pPr>
      <w:r>
        <w:tab/>
        <w:t>(6)</w:t>
      </w:r>
      <w:r>
        <w:tab/>
        <w:t>Any such provision may, if the regulations so provide, take effect from the date of assent to the amending Act or a later date.</w:t>
      </w:r>
    </w:p>
    <w:p>
      <w:pPr>
        <w:pStyle w:val="nzSubsection"/>
      </w:pPr>
      <w:r>
        <w:tab/>
        <w:t>(7)</w:t>
      </w:r>
      <w:r>
        <w:tab/>
        <w:t>To the extent to which any such provision takes effect from a date that is earlier than the date on which it is made, the provision does not operate so as —</w:t>
      </w:r>
    </w:p>
    <w:p>
      <w:pPr>
        <w:pStyle w:val="nzIndenta"/>
      </w:pPr>
      <w:r>
        <w:tab/>
        <w:t>(a)</w:t>
      </w:r>
      <w:r>
        <w:tab/>
        <w:t>to affect, in a manner prejudicial to any person (other than the State), the rights of that person existing before the date of its publication; or</w:t>
      </w:r>
    </w:p>
    <w:p>
      <w:pPr>
        <w:pStyle w:val="nzIndenta"/>
      </w:pPr>
      <w:r>
        <w:tab/>
        <w:t>(b)</w:t>
      </w:r>
      <w:r>
        <w:tab/>
        <w:t>to impose liabilities on any person (other than the State) in respect of anything done or omitted to be done before the date of its publication.</w:t>
      </w:r>
    </w:p>
    <w:p>
      <w:pPr>
        <w:pStyle w:val="BlankClose"/>
      </w:pPr>
    </w:p>
    <w:p>
      <w:pPr>
        <w:pStyle w:val="nzPermNoteHeading"/>
      </w:pPr>
      <w:r>
        <w:tab/>
        <w:t>Note:</w:t>
      </w:r>
    </w:p>
    <w:p>
      <w:pPr>
        <w:pStyle w:val="nzPermNoteText"/>
      </w:pPr>
      <w:r>
        <w:tab/>
      </w:r>
      <w:r>
        <w:tab/>
        <w:t>Section 130 (as amended) is renumbered as section 224 and relocated to Part 14.</w:t>
      </w:r>
    </w:p>
    <w:p>
      <w:pPr>
        <w:pStyle w:val="nzHeading5"/>
      </w:pPr>
      <w:bookmarkStart w:id="631" w:name="_Toc530474340"/>
      <w:bookmarkStart w:id="632" w:name="_Toc530474935"/>
      <w:r>
        <w:rPr>
          <w:rStyle w:val="CharSectno"/>
        </w:rPr>
        <w:t>80</w:t>
      </w:r>
      <w:r>
        <w:t>.</w:t>
      </w:r>
      <w:r>
        <w:tab/>
        <w:t>Section 131A amended</w:t>
      </w:r>
      <w:bookmarkEnd w:id="631"/>
      <w:bookmarkEnd w:id="632"/>
    </w:p>
    <w:p>
      <w:pPr>
        <w:pStyle w:val="nzSubsection"/>
      </w:pPr>
      <w:r>
        <w:tab/>
        <w:t>(1)</w:t>
      </w:r>
      <w:r>
        <w:tab/>
        <w:t>In section 131A(1) delete “section 130” and insert:</w:t>
      </w:r>
    </w:p>
    <w:p>
      <w:pPr>
        <w:pStyle w:val="BlankOpen"/>
      </w:pPr>
    </w:p>
    <w:p>
      <w:pPr>
        <w:pStyle w:val="nzSubsection"/>
      </w:pPr>
      <w:r>
        <w:tab/>
      </w:r>
      <w:r>
        <w:tab/>
        <w:t>section 224</w:t>
      </w:r>
    </w:p>
    <w:p>
      <w:pPr>
        <w:pStyle w:val="BlankClose"/>
      </w:pPr>
    </w:p>
    <w:p>
      <w:pPr>
        <w:pStyle w:val="nzSubsection"/>
      </w:pPr>
      <w:r>
        <w:tab/>
        <w:t>(2)</w:t>
      </w:r>
      <w:r>
        <w:tab/>
        <w:t>Delete section 131A(2).</w:t>
      </w:r>
    </w:p>
    <w:p>
      <w:pPr>
        <w:pStyle w:val="nzPermNoteHeading"/>
      </w:pPr>
      <w:r>
        <w:tab/>
        <w:t>Note:</w:t>
      </w:r>
    </w:p>
    <w:p>
      <w:pPr>
        <w:pStyle w:val="nzPermNoteText"/>
      </w:pPr>
      <w:r>
        <w:tab/>
      </w:r>
      <w:r>
        <w:tab/>
        <w:t>Section 131A (as amended) is renumbered as section 225 and relocated to Part 14.</w:t>
      </w:r>
    </w:p>
    <w:p>
      <w:pPr>
        <w:pStyle w:val="nzHeading5"/>
      </w:pPr>
      <w:bookmarkStart w:id="633" w:name="_Toc530474341"/>
      <w:bookmarkStart w:id="634" w:name="_Toc530474936"/>
      <w:r>
        <w:rPr>
          <w:rStyle w:val="CharSectno"/>
        </w:rPr>
        <w:t>81</w:t>
      </w:r>
      <w:r>
        <w:t>.</w:t>
      </w:r>
      <w:r>
        <w:tab/>
        <w:t>Section 131B amended</w:t>
      </w:r>
      <w:bookmarkEnd w:id="633"/>
      <w:bookmarkEnd w:id="634"/>
    </w:p>
    <w:p>
      <w:pPr>
        <w:pStyle w:val="nzSubsection"/>
      </w:pPr>
      <w:r>
        <w:tab/>
        <w:t>(1)</w:t>
      </w:r>
      <w:r>
        <w:tab/>
        <w:t>In section 131B delete “131A” (each occurrence) and insert:</w:t>
      </w:r>
    </w:p>
    <w:p>
      <w:pPr>
        <w:pStyle w:val="BlankOpen"/>
      </w:pPr>
    </w:p>
    <w:p>
      <w:pPr>
        <w:pStyle w:val="nzSubsection"/>
      </w:pPr>
      <w:r>
        <w:tab/>
      </w:r>
      <w:r>
        <w:tab/>
        <w:t>225</w:t>
      </w:r>
    </w:p>
    <w:p>
      <w:pPr>
        <w:pStyle w:val="BlankClose"/>
      </w:pPr>
    </w:p>
    <w:p>
      <w:pPr>
        <w:pStyle w:val="nzSubsection"/>
      </w:pPr>
      <w:r>
        <w:tab/>
        <w:t>(2)</w:t>
      </w:r>
      <w:r>
        <w:tab/>
        <w:t>In section 131B(6) delete “130” and insert:</w:t>
      </w:r>
    </w:p>
    <w:p>
      <w:pPr>
        <w:pStyle w:val="BlankOpen"/>
      </w:pPr>
    </w:p>
    <w:p>
      <w:pPr>
        <w:pStyle w:val="nzSubsection"/>
      </w:pPr>
      <w:r>
        <w:tab/>
      </w:r>
      <w:r>
        <w:tab/>
        <w:t>224</w:t>
      </w:r>
    </w:p>
    <w:p>
      <w:pPr>
        <w:pStyle w:val="BlankClose"/>
      </w:pPr>
    </w:p>
    <w:p>
      <w:pPr>
        <w:pStyle w:val="nzSectAltNote"/>
      </w:pPr>
      <w:r>
        <w:tab/>
        <w:t>Note:</w:t>
      </w:r>
      <w:r>
        <w:tab/>
        <w:t>The heading to amended 131B is to read:</w:t>
      </w:r>
    </w:p>
    <w:p>
      <w:pPr>
        <w:pStyle w:val="nzSectAltHeading"/>
      </w:pPr>
      <w:r>
        <w:rPr>
          <w:b w:val="0"/>
        </w:rPr>
        <w:tab/>
      </w:r>
      <w:r>
        <w:rPr>
          <w:b w:val="0"/>
        </w:rPr>
        <w:tab/>
      </w:r>
      <w:r>
        <w:t>Expiry of section 225</w:t>
      </w:r>
    </w:p>
    <w:p>
      <w:pPr>
        <w:pStyle w:val="nzPermNoteHeading"/>
      </w:pPr>
      <w:r>
        <w:tab/>
        <w:t>Note:</w:t>
      </w:r>
    </w:p>
    <w:p>
      <w:pPr>
        <w:pStyle w:val="nzPermNoteText"/>
      </w:pPr>
      <w:r>
        <w:tab/>
      </w:r>
      <w:r>
        <w:tab/>
        <w:t>Section 131B (as amended) is renumbered as section 226 and relocated to Part 14.</w:t>
      </w:r>
    </w:p>
    <w:p>
      <w:pPr>
        <w:pStyle w:val="nzHeading3"/>
      </w:pPr>
      <w:bookmarkStart w:id="635" w:name="_Toc517437544"/>
      <w:bookmarkStart w:id="636" w:name="_Toc517438086"/>
      <w:bookmarkStart w:id="637" w:name="_Toc517440423"/>
      <w:bookmarkStart w:id="638" w:name="_Toc517447460"/>
      <w:bookmarkStart w:id="639" w:name="_Toc517449938"/>
      <w:bookmarkStart w:id="640" w:name="_Toc517450480"/>
      <w:bookmarkStart w:id="641" w:name="_Toc517856936"/>
      <w:bookmarkStart w:id="642" w:name="_Toc518293063"/>
      <w:bookmarkStart w:id="643" w:name="_Toc522744291"/>
      <w:bookmarkStart w:id="644" w:name="_Toc522747414"/>
      <w:bookmarkStart w:id="645" w:name="_Toc529183251"/>
      <w:bookmarkStart w:id="646" w:name="_Toc529188014"/>
      <w:bookmarkStart w:id="647" w:name="_Toc529434527"/>
      <w:bookmarkStart w:id="648" w:name="_Toc529524418"/>
      <w:bookmarkStart w:id="649" w:name="_Toc530474342"/>
      <w:bookmarkStart w:id="650" w:name="_Toc530474937"/>
      <w:r>
        <w:rPr>
          <w:rStyle w:val="CharDivNo"/>
        </w:rPr>
        <w:t>Division 3</w:t>
      </w:r>
      <w:r>
        <w:t> — </w:t>
      </w:r>
      <w:r>
        <w:rPr>
          <w:rStyle w:val="CharDivText"/>
        </w:rPr>
        <w:t>Deletion and insertion of provisions in body of Act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nzHeading5"/>
      </w:pPr>
      <w:bookmarkStart w:id="651" w:name="_Toc530474343"/>
      <w:bookmarkStart w:id="652" w:name="_Toc530474938"/>
      <w:r>
        <w:rPr>
          <w:rStyle w:val="CharSectno"/>
        </w:rPr>
        <w:t>82</w:t>
      </w:r>
      <w:r>
        <w:t>.</w:t>
      </w:r>
      <w:r>
        <w:tab/>
        <w:t>Deletion of headings and provisions</w:t>
      </w:r>
      <w:bookmarkEnd w:id="651"/>
      <w:bookmarkEnd w:id="652"/>
    </w:p>
    <w:p>
      <w:pPr>
        <w:pStyle w:val="nzSubsection"/>
      </w:pPr>
      <w:r>
        <w:tab/>
      </w:r>
      <w:r>
        <w:tab/>
        <w:t>In the body of the Act delete —</w:t>
      </w:r>
    </w:p>
    <w:p>
      <w:pPr>
        <w:pStyle w:val="nzIndenta"/>
      </w:pPr>
      <w:r>
        <w:tab/>
        <w:t>(a)</w:t>
      </w:r>
      <w:r>
        <w:tab/>
        <w:t>all Part, Division and Subdivision headings except the heading to Part 1 (as inserted by section 6 of this Act); and</w:t>
      </w:r>
    </w:p>
    <w:p>
      <w:pPr>
        <w:pStyle w:val="nzIndenta"/>
      </w:pPr>
      <w:r>
        <w:tab/>
        <w:t>(b)</w:t>
      </w:r>
      <w:r>
        <w:tab/>
        <w:t>all provisions except —</w:t>
      </w:r>
    </w:p>
    <w:p>
      <w:pPr>
        <w:pStyle w:val="nzIndenti"/>
      </w:pPr>
      <w:r>
        <w:tab/>
        <w:t>(i)</w:t>
      </w:r>
      <w:r>
        <w:tab/>
        <w:t>the provisions amended by Part 2 Division 2 of this Act; and</w:t>
      </w:r>
    </w:p>
    <w:p>
      <w:pPr>
        <w:pStyle w:val="nzIndenti"/>
      </w:pPr>
      <w:r>
        <w:tab/>
        <w:t>(ii)</w:t>
      </w:r>
      <w:r>
        <w:tab/>
        <w:t>the provisions relocated without amendment to Parts 2 to 14 (as inserted by section 83 of this Act) by Part 2 Division 4 of this Act; and</w:t>
      </w:r>
    </w:p>
    <w:p>
      <w:pPr>
        <w:pStyle w:val="nzIndenti"/>
      </w:pPr>
      <w:r>
        <w:tab/>
        <w:t>(iii)</w:t>
      </w:r>
      <w:r>
        <w:tab/>
        <w:t>the provisions relocated without amendment to Schedule 2A (as replaced by section 114 of this Act) by Part 2 Division 6 of this Act.</w:t>
      </w:r>
    </w:p>
    <w:p>
      <w:pPr>
        <w:pStyle w:val="nzHeading5"/>
      </w:pPr>
      <w:bookmarkStart w:id="653" w:name="_Toc530474344"/>
      <w:bookmarkStart w:id="654" w:name="_Toc530474939"/>
      <w:r>
        <w:rPr>
          <w:rStyle w:val="CharSectno"/>
        </w:rPr>
        <w:t>83</w:t>
      </w:r>
      <w:r>
        <w:t>.</w:t>
      </w:r>
      <w:r>
        <w:tab/>
        <w:t>Insertion of sections 4 and 5 and Parts 2 to 14</w:t>
      </w:r>
      <w:bookmarkEnd w:id="653"/>
      <w:bookmarkEnd w:id="654"/>
    </w:p>
    <w:p>
      <w:pPr>
        <w:pStyle w:val="nzPermNoteHeading"/>
      </w:pPr>
      <w:r>
        <w:tab/>
        <w:t xml:space="preserve">Note for this section: </w:t>
      </w:r>
    </w:p>
    <w:p>
      <w:pPr>
        <w:pStyle w:val="nzPermNoteText"/>
      </w:pPr>
      <w:r>
        <w:tab/>
      </w:r>
      <w:r>
        <w:tab/>
        <w:t>The gaps in the Parts inserted by this section are filled by the relocation of provisions by Division 4.</w:t>
      </w:r>
    </w:p>
    <w:p>
      <w:pPr>
        <w:pStyle w:val="nzSubsection"/>
      </w:pPr>
      <w:r>
        <w:tab/>
      </w:r>
      <w:r>
        <w:tab/>
        <w:t>After section 3 (as amended by section 7 of this Act) insert:</w:t>
      </w:r>
    </w:p>
    <w:p>
      <w:pPr>
        <w:pStyle w:val="BlankOpen"/>
      </w:pPr>
    </w:p>
    <w:p>
      <w:pPr>
        <w:pStyle w:val="nzHeading5"/>
      </w:pPr>
      <w:bookmarkStart w:id="655" w:name="_Toc530474345"/>
      <w:bookmarkStart w:id="656" w:name="_Toc530474940"/>
      <w:r>
        <w:t>4.</w:t>
      </w:r>
      <w:r>
        <w:tab/>
        <w:t>Notes and examples not part of Act</w:t>
      </w:r>
      <w:bookmarkEnd w:id="655"/>
      <w:bookmarkEnd w:id="656"/>
    </w:p>
    <w:p>
      <w:pPr>
        <w:pStyle w:val="nzSubsection"/>
      </w:pPr>
      <w:r>
        <w:tab/>
      </w:r>
      <w:r>
        <w:tab/>
        <w:t>A note or example set out at the foot of a provision of this Act is provided to assist understanding and does not form part of this Act.</w:t>
      </w:r>
    </w:p>
    <w:p>
      <w:pPr>
        <w:pStyle w:val="nzHeading5"/>
      </w:pPr>
      <w:bookmarkStart w:id="657" w:name="_Toc530474346"/>
      <w:bookmarkStart w:id="658" w:name="_Toc530474941"/>
      <w:r>
        <w:t>5.</w:t>
      </w:r>
      <w:r>
        <w:tab/>
        <w:t>Act binds Crown</w:t>
      </w:r>
      <w:bookmarkEnd w:id="657"/>
      <w:bookmarkEnd w:id="658"/>
    </w:p>
    <w:p>
      <w:pPr>
        <w:pStyle w:val="nzSubsection"/>
      </w:pPr>
      <w:r>
        <w:tab/>
      </w:r>
      <w:r>
        <w:tab/>
        <w:t>This Act binds the Crown in right of Western Australia and, so far as the legislative power of the Parliament permits, the Crown in all its other capacities.</w:t>
      </w:r>
    </w:p>
    <w:p>
      <w:pPr>
        <w:pStyle w:val="nzHeading2"/>
      </w:pPr>
      <w:bookmarkStart w:id="659" w:name="_Toc517437549"/>
      <w:bookmarkStart w:id="660" w:name="_Toc517438091"/>
      <w:bookmarkStart w:id="661" w:name="_Toc517440428"/>
      <w:bookmarkStart w:id="662" w:name="_Toc517447465"/>
      <w:bookmarkStart w:id="663" w:name="_Toc517449943"/>
      <w:bookmarkStart w:id="664" w:name="_Toc517450485"/>
      <w:bookmarkStart w:id="665" w:name="_Toc517856941"/>
      <w:bookmarkStart w:id="666" w:name="_Toc518293068"/>
      <w:bookmarkStart w:id="667" w:name="_Toc522744296"/>
      <w:bookmarkStart w:id="668" w:name="_Toc522747419"/>
      <w:bookmarkStart w:id="669" w:name="_Toc529183256"/>
      <w:bookmarkStart w:id="670" w:name="_Toc529188019"/>
      <w:bookmarkStart w:id="671" w:name="_Toc529434532"/>
      <w:bookmarkStart w:id="672" w:name="_Toc529524423"/>
      <w:bookmarkStart w:id="673" w:name="_Toc530474347"/>
      <w:bookmarkStart w:id="674" w:name="_Toc530474942"/>
      <w:r>
        <w:t>Part 2 — Strata titles schemes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zHeading5"/>
      </w:pPr>
      <w:bookmarkStart w:id="675" w:name="_Toc530474348"/>
      <w:bookmarkStart w:id="676" w:name="_Toc530474943"/>
      <w:r>
        <w:t>6.</w:t>
      </w:r>
      <w:r>
        <w:tab/>
        <w:t>Legislative framework</w:t>
      </w:r>
      <w:bookmarkEnd w:id="675"/>
      <w:bookmarkEnd w:id="676"/>
    </w:p>
    <w:p>
      <w:pPr>
        <w:pStyle w:val="nzSubsection"/>
      </w:pPr>
      <w:r>
        <w:tab/>
        <w:t>(1)</w:t>
      </w:r>
      <w:r>
        <w:tab/>
        <w:t>This Act provides for a form of subdivision of land referred to as subdivision by a strata titles scheme, and sets out requirements for that form of subdivision.</w:t>
      </w:r>
    </w:p>
    <w:p>
      <w:pPr>
        <w:pStyle w:val="nzSubsection"/>
      </w:pPr>
      <w:r>
        <w:tab/>
        <w:t>(2)</w:t>
      </w:r>
      <w:r>
        <w:tab/>
        <w:t xml:space="preserve">Relevant planning approvals must be obtained for the subdivision of land by a strata titles scheme under this Act or the </w:t>
      </w:r>
      <w:r>
        <w:rPr>
          <w:i/>
        </w:rPr>
        <w:t>Planning and Development Act 2005</w:t>
      </w:r>
      <w:r>
        <w:t>.</w:t>
      </w:r>
    </w:p>
    <w:p>
      <w:pPr>
        <w:pStyle w:val="nz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nz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nzSubsection"/>
      </w:pPr>
      <w:r>
        <w:tab/>
        <w:t>(5)</w:t>
      </w:r>
      <w:r>
        <w:tab/>
        <w:t>This Act also contains provisions about the governance and operation of strata titles schemes and about strata managers.</w:t>
      </w:r>
    </w:p>
    <w:p>
      <w:pPr>
        <w:pStyle w:val="nzHeading5"/>
      </w:pPr>
      <w:bookmarkStart w:id="677" w:name="_Toc530474349"/>
      <w:bookmarkStart w:id="678" w:name="_Toc530474944"/>
      <w:r>
        <w:t>7.</w:t>
      </w:r>
      <w:r>
        <w:tab/>
        <w:t>Strata titles schemes</w:t>
      </w:r>
      <w:bookmarkEnd w:id="677"/>
      <w:bookmarkEnd w:id="678"/>
    </w:p>
    <w:p>
      <w:pPr>
        <w:pStyle w:val="nzSubsection"/>
      </w:pPr>
      <w:r>
        <w:tab/>
      </w:r>
      <w:r>
        <w:tab/>
        <w:t>A strata titles scheme is a scheme for the creation of strata titles on registration of the scheme so as to —</w:t>
      </w:r>
    </w:p>
    <w:p>
      <w:pPr>
        <w:pStyle w:val="nzIndenta"/>
      </w:pPr>
      <w:r>
        <w:tab/>
        <w:t>(a)</w:t>
      </w:r>
      <w:r>
        <w:tab/>
        <w:t>effect a physical division of a parcel of land into —</w:t>
      </w:r>
    </w:p>
    <w:p>
      <w:pPr>
        <w:pStyle w:val="nzIndenti"/>
      </w:pPr>
      <w:r>
        <w:tab/>
        <w:t>(i)</w:t>
      </w:r>
      <w:r>
        <w:tab/>
        <w:t>2 or more lots; or</w:t>
      </w:r>
    </w:p>
    <w:p>
      <w:pPr>
        <w:pStyle w:val="nzIndenti"/>
      </w:pPr>
      <w:r>
        <w:tab/>
        <w:t>(ii)</w:t>
      </w:r>
      <w:r>
        <w:tab/>
        <w:t>2 or more lots and common property;</w:t>
      </w:r>
    </w:p>
    <w:p>
      <w:pPr>
        <w:pStyle w:val="nzIndenta"/>
      </w:pPr>
      <w:r>
        <w:tab/>
      </w:r>
      <w:r>
        <w:tab/>
        <w:t>and</w:t>
      </w:r>
    </w:p>
    <w:p>
      <w:pPr>
        <w:pStyle w:val="nzIndenta"/>
      </w:pPr>
      <w:r>
        <w:tab/>
        <w:t>(b)</w:t>
      </w:r>
      <w:r>
        <w:tab/>
        <w:t>allow for the lots to be owned and sold or otherwise dealt with separately; and</w:t>
      </w:r>
    </w:p>
    <w:p>
      <w:pPr>
        <w:pStyle w:val="nzIndenta"/>
      </w:pPr>
      <w:r>
        <w:tab/>
        <w:t>(c)</w:t>
      </w:r>
      <w:r>
        <w:tab/>
        <w:t>require the common property to be administered by a strata company that comes into existence under this Act on registration of the strata titles scheme; and</w:t>
      </w:r>
    </w:p>
    <w:p>
      <w:pPr>
        <w:pStyle w:val="nzIndenta"/>
      </w:pPr>
      <w:r>
        <w:tab/>
        <w:t>(d)</w:t>
      </w:r>
      <w:r>
        <w:tab/>
        <w:t>limit how the common property may be dealt with.</w:t>
      </w:r>
    </w:p>
    <w:p>
      <w:pPr>
        <w:pStyle w:val="nzHeading5"/>
      </w:pPr>
      <w:bookmarkStart w:id="679" w:name="_Toc530474350"/>
      <w:bookmarkStart w:id="680" w:name="_Toc530474945"/>
      <w:r>
        <w:t>8.</w:t>
      </w:r>
      <w:r>
        <w:tab/>
        <w:t>Freehold schemes and leasehold schemes</w:t>
      </w:r>
      <w:bookmarkEnd w:id="679"/>
      <w:bookmarkEnd w:id="680"/>
    </w:p>
    <w:p>
      <w:pPr>
        <w:pStyle w:val="nzSubsection"/>
      </w:pPr>
      <w:r>
        <w:tab/>
        <w:t>(1)</w:t>
      </w:r>
      <w:r>
        <w:tab/>
        <w:t>A strata titles scheme may be —</w:t>
      </w:r>
    </w:p>
    <w:p>
      <w:pPr>
        <w:pStyle w:val="nzIndenta"/>
      </w:pPr>
      <w:r>
        <w:tab/>
        <w:t>(a)</w:t>
      </w:r>
      <w:r>
        <w:tab/>
        <w:t>a freehold scheme; or</w:t>
      </w:r>
    </w:p>
    <w:p>
      <w:pPr>
        <w:pStyle w:val="nzIndenta"/>
      </w:pPr>
      <w:r>
        <w:tab/>
        <w:t>(b)</w:t>
      </w:r>
      <w:r>
        <w:tab/>
        <w:t>a leasehold scheme.</w:t>
      </w:r>
    </w:p>
    <w:p>
      <w:pPr>
        <w:pStyle w:val="nzPermNoteHeading"/>
      </w:pPr>
      <w:r>
        <w:tab/>
        <w:t>Note for this section:</w:t>
      </w:r>
    </w:p>
    <w:p>
      <w:pPr>
        <w:pStyle w:val="nzPermNoteText"/>
      </w:pPr>
      <w:r>
        <w:tab/>
      </w:r>
      <w:r>
        <w:tab/>
        <w:t xml:space="preserve">All schemes created under this Act before the commencement of the </w:t>
      </w:r>
      <w:r>
        <w:rPr>
          <w:i/>
        </w:rPr>
        <w:t>Strata Titles Amendment Act 2018</w:t>
      </w:r>
      <w:r>
        <w:t xml:space="preserve"> are freehold schemes.</w:t>
      </w:r>
    </w:p>
    <w:p>
      <w:pPr>
        <w:pStyle w:val="nzSubsection"/>
      </w:pPr>
      <w:r>
        <w:tab/>
        <w:t>(2)</w:t>
      </w:r>
      <w:r>
        <w:tab/>
        <w:t xml:space="preserve">In a </w:t>
      </w:r>
      <w:r>
        <w:rPr>
          <w:rStyle w:val="CharDefText"/>
        </w:rPr>
        <w:t>freehold scheme</w:t>
      </w:r>
      <w:r>
        <w:t> —</w:t>
      </w:r>
    </w:p>
    <w:p>
      <w:pPr>
        <w:pStyle w:val="nzIndenta"/>
      </w:pPr>
      <w:r>
        <w:tab/>
        <w:t>(a)</w:t>
      </w:r>
      <w:r>
        <w:tab/>
        <w:t>there is no separate title for the parcel subdivided by the scheme; and</w:t>
      </w:r>
    </w:p>
    <w:p>
      <w:pPr>
        <w:pStyle w:val="nzIndenta"/>
      </w:pPr>
      <w:r>
        <w:tab/>
        <w:t>(b)</w:t>
      </w:r>
      <w:r>
        <w:tab/>
        <w:t>each lot is a freehold lot; and</w:t>
      </w:r>
    </w:p>
    <w:p>
      <w:pPr>
        <w:pStyle w:val="nzIndenta"/>
      </w:pPr>
      <w:r>
        <w:tab/>
        <w:t>(c)</w:t>
      </w:r>
      <w:r>
        <w:tab/>
        <w:t xml:space="preserve">the parcel cannot be dealt with (including by registration of a mortgage) or disposed of under the </w:t>
      </w:r>
      <w:r>
        <w:rPr>
          <w:i/>
        </w:rPr>
        <w:t>Transfer of Land Act 1893</w:t>
      </w:r>
      <w:r>
        <w:t>.</w:t>
      </w:r>
    </w:p>
    <w:p>
      <w:pPr>
        <w:pStyle w:val="nzSubsection"/>
      </w:pPr>
      <w:r>
        <w:tab/>
        <w:t>(3)</w:t>
      </w:r>
      <w:r>
        <w:tab/>
        <w:t xml:space="preserve">In a </w:t>
      </w:r>
      <w:r>
        <w:rPr>
          <w:rStyle w:val="CharDefText"/>
        </w:rPr>
        <w:t>leasehold scheme</w:t>
      </w:r>
      <w:r>
        <w:t> —</w:t>
      </w:r>
    </w:p>
    <w:p>
      <w:pPr>
        <w:pStyle w:val="nzIndenta"/>
      </w:pPr>
      <w:r>
        <w:tab/>
        <w:t>(a)</w:t>
      </w:r>
      <w:r>
        <w:tab/>
        <w:t>there is a separate title for the parcel subdivided by the scheme; and</w:t>
      </w:r>
    </w:p>
    <w:p>
      <w:pPr>
        <w:pStyle w:val="nzIndenta"/>
      </w:pPr>
      <w:r>
        <w:tab/>
        <w:t>(b)</w:t>
      </w:r>
      <w:r>
        <w:tab/>
        <w:t>each lot in the scheme is a leasehold lot subject to a strata lease; and</w:t>
      </w:r>
    </w:p>
    <w:p>
      <w:pPr>
        <w:pStyle w:val="nzIndenta"/>
      </w:pPr>
      <w:r>
        <w:tab/>
        <w:t>(c)</w:t>
      </w:r>
      <w:r>
        <w:tab/>
        <w:t>the scheme expires on a specified day (the expiry day for the scheme); and</w:t>
      </w:r>
    </w:p>
    <w:p>
      <w:pPr>
        <w:pStyle w:val="nzIndenta"/>
      </w:pPr>
      <w:r>
        <w:tab/>
        <w:t>(d)</w:t>
      </w:r>
      <w:r>
        <w:tab/>
        <w:t>the expiry day must be a day that is —</w:t>
      </w:r>
    </w:p>
    <w:p>
      <w:pPr>
        <w:pStyle w:val="nzIndenti"/>
      </w:pPr>
      <w:r>
        <w:tab/>
        <w:t>(i)</w:t>
      </w:r>
      <w:r>
        <w:tab/>
        <w:t>at least 20 years (or, if some other period is specified in the regulations, that period) after registration of the scheme; and</w:t>
      </w:r>
    </w:p>
    <w:p>
      <w:pPr>
        <w:pStyle w:val="nzIndenti"/>
      </w:pPr>
      <w:r>
        <w:tab/>
        <w:t>(ii)</w:t>
      </w:r>
      <w:r>
        <w:tab/>
        <w:t xml:space="preserve">not more than 99 years after registration of the scheme; </w:t>
      </w:r>
    </w:p>
    <w:p>
      <w:pPr>
        <w:pStyle w:val="nzIndenta"/>
      </w:pPr>
      <w:r>
        <w:tab/>
      </w:r>
      <w:r>
        <w:tab/>
        <w:t>and</w:t>
      </w:r>
    </w:p>
    <w:p>
      <w:pPr>
        <w:pStyle w:val="nzIndenta"/>
      </w:pPr>
      <w:r>
        <w:tab/>
        <w:t>(e)</w:t>
      </w:r>
      <w:r>
        <w:tab/>
        <w:t>the expiry day will be specified in the scheme notice; and</w:t>
      </w:r>
    </w:p>
    <w:p>
      <w:pPr>
        <w:pStyle w:val="nzIndenta"/>
      </w:pPr>
      <w:r>
        <w:tab/>
        <w:t>(f)</w:t>
      </w:r>
      <w:r>
        <w:tab/>
        <w:t>within the parameters set out in paragraph (d)(ii), leasehold by</w:t>
      </w:r>
      <w:r>
        <w:noBreakHyphen/>
        <w:t>laws for the scheme may provide for postponement of the expiry day; and</w:t>
      </w:r>
    </w:p>
    <w:p>
      <w:pPr>
        <w:pStyle w:val="nz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nzIndenta"/>
      </w:pPr>
      <w:r>
        <w:tab/>
        <w:t>(h)</w:t>
      </w:r>
      <w:r>
        <w:tab/>
        <w:t>the expiry day is postponed when an amendment of the scheme notice is registered giving effect to the postponement; and</w:t>
      </w:r>
    </w:p>
    <w:p>
      <w:pPr>
        <w:pStyle w:val="nz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nzIndenta"/>
      </w:pPr>
      <w:r>
        <w:tab/>
        <w:t>(j)</w:t>
      </w:r>
      <w:r>
        <w:tab/>
        <w:t>the existence of the leasehold scheme and its expiry day must be endorsed on the certificate of title for the parcel; and</w:t>
      </w:r>
    </w:p>
    <w:p>
      <w:pPr>
        <w:pStyle w:val="nzIndenta"/>
      </w:pPr>
      <w:r>
        <w:tab/>
        <w:t>(k)</w:t>
      </w:r>
      <w:r>
        <w:tab/>
        <w:t>the owner of the leasehold scheme is the lessor and the owner of a lot in the scheme is the lessee under the strata lease for the lot; and</w:t>
      </w:r>
    </w:p>
    <w:p>
      <w:pPr>
        <w:pStyle w:val="nzIndenta"/>
      </w:pPr>
      <w:r>
        <w:tab/>
        <w:t>(l)</w:t>
      </w:r>
      <w:r>
        <w:tab/>
        <w:t>the owner of the leasehold scheme may be the owner of a lot in the scheme despite any law relating to the merger of leasehold and reversionary estates in land; and</w:t>
      </w:r>
    </w:p>
    <w:p>
      <w:pPr>
        <w:pStyle w:val="nzIndenta"/>
      </w:pPr>
      <w:r>
        <w:tab/>
        <w:t>(m)</w:t>
      </w:r>
      <w:r>
        <w:tab/>
        <w:t>the owner of the leasehold scheme cannot separately deal with or dispose of the reversion in a lot or the common property of the strata titles scheme; and</w:t>
      </w:r>
    </w:p>
    <w:p>
      <w:pPr>
        <w:pStyle w:val="nz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nzPermNoteHeading"/>
      </w:pPr>
      <w:r>
        <w:tab/>
        <w:t>Note for this subsection:</w:t>
      </w:r>
    </w:p>
    <w:p>
      <w:pPr>
        <w:pStyle w:val="nzPermNoteText"/>
      </w:pPr>
      <w:r>
        <w:tab/>
      </w:r>
      <w:r>
        <w:tab/>
        <w:t>For the scheme notice, see section 29. For leasehold by</w:t>
      </w:r>
      <w:r>
        <w:noBreakHyphen/>
        <w:t>laws, see section 40.</w:t>
      </w:r>
    </w:p>
    <w:p>
      <w:pPr>
        <w:pStyle w:val="nzHeading5"/>
      </w:pPr>
      <w:bookmarkStart w:id="681" w:name="_Toc530474351"/>
      <w:bookmarkStart w:id="682" w:name="_Toc530474946"/>
      <w:r>
        <w:t>9.</w:t>
      </w:r>
      <w:r>
        <w:tab/>
        <w:t>Lots — strata schemes and survey</w:t>
      </w:r>
      <w:r>
        <w:noBreakHyphen/>
        <w:t>strata schemes</w:t>
      </w:r>
      <w:bookmarkEnd w:id="681"/>
      <w:bookmarkEnd w:id="682"/>
    </w:p>
    <w:p>
      <w:pPr>
        <w:pStyle w:val="nzSubsection"/>
      </w:pPr>
      <w:r>
        <w:tab/>
        <w:t>(1)</w:t>
      </w:r>
      <w:r>
        <w:tab/>
        <w:t>The boundaries of lots in a strata titles scheme are defined on the scheme plan for the strata titles scheme.</w:t>
      </w:r>
    </w:p>
    <w:p>
      <w:pPr>
        <w:pStyle w:val="nzSubsection"/>
      </w:pPr>
      <w:r>
        <w:tab/>
        <w:t>(2)</w:t>
      </w:r>
      <w:r>
        <w:tab/>
        <w:t>A lot can be comprised of non</w:t>
      </w:r>
      <w:r>
        <w:noBreakHyphen/>
        <w:t>contiguous parts defined on the scheme plan for the strata titles scheme.</w:t>
      </w:r>
    </w:p>
    <w:p>
      <w:pPr>
        <w:pStyle w:val="nzPermNoteHeading"/>
      </w:pPr>
      <w:r>
        <w:tab/>
        <w:t>Example for this subsection:</w:t>
      </w:r>
    </w:p>
    <w:p>
      <w:pPr>
        <w:pStyle w:val="nzPermNoteText"/>
      </w:pPr>
      <w:r>
        <w:tab/>
      </w:r>
      <w:r>
        <w:tab/>
        <w:t>The non</w:t>
      </w:r>
      <w:r>
        <w:noBreakHyphen/>
        <w:t>contiguous parts may be to allow for a separate car parking space or shed to be part of the lot.</w:t>
      </w:r>
    </w:p>
    <w:p>
      <w:pPr>
        <w:pStyle w:val="nz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nzSubsection"/>
      </w:pPr>
      <w:r>
        <w:tab/>
        <w:t>(4)</w:t>
      </w:r>
      <w:r>
        <w:tab/>
        <w:t>The way in which the boundaries of a lot in a strata scheme are defined on the scheme plan must be as set out in the definition of lot in a strata scheme in section 3(1) and in section 3(2) to (4).</w:t>
      </w:r>
    </w:p>
    <w:p>
      <w:pPr>
        <w:pStyle w:val="nzPermNoteHeading"/>
      </w:pPr>
      <w:r>
        <w:tab/>
        <w:t>Note for this subsection:</w:t>
      </w:r>
    </w:p>
    <w:p>
      <w:pPr>
        <w:pStyle w:val="nzPermNoteText"/>
      </w:pPr>
      <w:r>
        <w:tab/>
      </w:r>
      <w:r>
        <w:tab/>
        <w:t>Schedule 2A provides for a special rule for how lots may be defined in a single tier strata scheme.</w:t>
      </w:r>
    </w:p>
    <w:p>
      <w:pPr>
        <w:pStyle w:val="nz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nzSubsection"/>
      </w:pPr>
      <w:r>
        <w:tab/>
        <w:t>(6)</w:t>
      </w:r>
      <w:r>
        <w:tab/>
        <w:t>A change in the definition of the boundaries of a lot does not, even if the lot is assigned a new identifying number, of itself affect —</w:t>
      </w:r>
    </w:p>
    <w:p>
      <w:pPr>
        <w:pStyle w:val="nzIndenta"/>
      </w:pPr>
      <w:r>
        <w:tab/>
        <w:t>(a)</w:t>
      </w:r>
      <w:r>
        <w:tab/>
        <w:t>for a leasehold scheme — the strata lease for the lot; or</w:t>
      </w:r>
    </w:p>
    <w:p>
      <w:pPr>
        <w:pStyle w:val="nzIndenta"/>
      </w:pPr>
      <w:r>
        <w:tab/>
        <w:t>(b)</w:t>
      </w:r>
      <w:r>
        <w:tab/>
        <w:t>for a leasehold or freehold scheme — any other item registered or recorded for the scheme in the Register.</w:t>
      </w:r>
    </w:p>
    <w:p>
      <w:pPr>
        <w:pStyle w:val="nz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nzHeading5"/>
      </w:pPr>
      <w:bookmarkStart w:id="683" w:name="_Toc530474352"/>
      <w:bookmarkStart w:id="684" w:name="_Toc530474947"/>
      <w:r>
        <w:t>10.</w:t>
      </w:r>
      <w:r>
        <w:tab/>
        <w:t>Common property</w:t>
      </w:r>
      <w:bookmarkEnd w:id="683"/>
      <w:bookmarkEnd w:id="684"/>
    </w:p>
    <w:p>
      <w:pPr>
        <w:pStyle w:val="nzSubsection"/>
      </w:pPr>
      <w:r>
        <w:tab/>
        <w:t>(1)</w:t>
      </w:r>
      <w:r>
        <w:tab/>
        <w:t xml:space="preserve">The </w:t>
      </w:r>
      <w:r>
        <w:rPr>
          <w:rStyle w:val="CharDefText"/>
        </w:rPr>
        <w:t>common property</w:t>
      </w:r>
      <w:r>
        <w:t xml:space="preserve"> in a strata titles scheme is —</w:t>
      </w:r>
    </w:p>
    <w:p>
      <w:pPr>
        <w:pStyle w:val="nzIndenta"/>
      </w:pPr>
      <w:r>
        <w:tab/>
        <w:t>(a)</w:t>
      </w:r>
      <w:r>
        <w:tab/>
        <w:t>that part of the parcel of land subdivided by the strata titles scheme that does not form part of a lot in the strata titles scheme; and</w:t>
      </w:r>
    </w:p>
    <w:p>
      <w:pPr>
        <w:pStyle w:val="nzIndenta"/>
      </w:pPr>
      <w:r>
        <w:tab/>
        <w:t>(b)</w:t>
      </w:r>
      <w:r>
        <w:tab/>
        <w:t>temporary common property.</w:t>
      </w:r>
    </w:p>
    <w:p>
      <w:pPr>
        <w:pStyle w:val="nzSubsection"/>
      </w:pPr>
      <w:r>
        <w:tab/>
        <w:t>(2)</w:t>
      </w:r>
      <w:r>
        <w:tab/>
        <w:t xml:space="preserve">The </w:t>
      </w:r>
      <w:r>
        <w:rPr>
          <w:rStyle w:val="CharDefText"/>
        </w:rPr>
        <w:t>common property</w:t>
      </w:r>
      <w:r>
        <w:t xml:space="preserve"> includes, for a strata scheme, those parts of a scheme building that do not form part of a lot.</w:t>
      </w:r>
    </w:p>
    <w:p>
      <w:pPr>
        <w:pStyle w:val="nzSubsection"/>
      </w:pPr>
      <w:r>
        <w:tab/>
        <w:t>(3)</w:t>
      </w:r>
      <w:r>
        <w:tab/>
        <w:t xml:space="preserve">The </w:t>
      </w:r>
      <w:r>
        <w:rPr>
          <w:rStyle w:val="CharDefText"/>
        </w:rPr>
        <w:t>common property</w:t>
      </w:r>
      <w:r>
        <w:t xml:space="preserve"> does not include —</w:t>
      </w:r>
    </w:p>
    <w:p>
      <w:pPr>
        <w:pStyle w:val="nzIndenta"/>
      </w:pPr>
      <w:r>
        <w:tab/>
        <w:t>(a)</w:t>
      </w:r>
      <w:r>
        <w:tab/>
        <w:t xml:space="preserve">any land vested in the Crown under the </w:t>
      </w:r>
      <w:r>
        <w:rPr>
          <w:i/>
        </w:rPr>
        <w:t>Planning and Development Act 2005</w:t>
      </w:r>
      <w:r>
        <w:t xml:space="preserve"> section 152; or</w:t>
      </w:r>
    </w:p>
    <w:p>
      <w:pPr>
        <w:pStyle w:val="nzIndenta"/>
      </w:pPr>
      <w:r>
        <w:tab/>
        <w:t>(b)</w:t>
      </w:r>
      <w:r>
        <w:tab/>
        <w:t>any dedicated road under the</w:t>
      </w:r>
      <w:r>
        <w:rPr>
          <w:i/>
        </w:rPr>
        <w:t xml:space="preserve"> Planning and Development Act 2005</w:t>
      </w:r>
      <w:r>
        <w:t xml:space="preserve"> section 168.</w:t>
      </w:r>
    </w:p>
    <w:p>
      <w:pPr>
        <w:pStyle w:val="nzSubsection"/>
      </w:pPr>
      <w:r>
        <w:tab/>
        <w:t>(4)</w:t>
      </w:r>
      <w:r>
        <w:tab/>
        <w:t>If a strata plan identifies an encroachment outside the parcel that is to be controlled and managed as common property, the encroachment is to be regarded, for this Act, as if it were common property.</w:t>
      </w:r>
    </w:p>
    <w:p>
      <w:pPr>
        <w:pStyle w:val="nzHeading5"/>
      </w:pPr>
      <w:bookmarkStart w:id="685" w:name="_Toc530474353"/>
      <w:bookmarkStart w:id="686" w:name="_Toc530474948"/>
      <w:r>
        <w:t>11.</w:t>
      </w:r>
      <w:r>
        <w:tab/>
        <w:t>Subdivision of land by strata titles scheme</w:t>
      </w:r>
      <w:bookmarkEnd w:id="685"/>
      <w:bookmarkEnd w:id="686"/>
    </w:p>
    <w:p>
      <w:pPr>
        <w:pStyle w:val="nz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nzIndenta"/>
      </w:pPr>
      <w:r>
        <w:tab/>
        <w:t>(a)</w:t>
      </w:r>
      <w:r>
        <w:tab/>
        <w:t>by registration of the scheme; or</w:t>
      </w:r>
    </w:p>
    <w:p>
      <w:pPr>
        <w:pStyle w:val="nzIndenta"/>
      </w:pPr>
      <w:r>
        <w:tab/>
        <w:t>(b)</w:t>
      </w:r>
      <w:r>
        <w:tab/>
        <w:t>by registration of an amendment of the scheme.</w:t>
      </w:r>
    </w:p>
    <w:p>
      <w:pPr>
        <w:pStyle w:val="nzSubsection"/>
      </w:pPr>
      <w:r>
        <w:tab/>
        <w:t>(2)</w:t>
      </w:r>
      <w:r>
        <w:tab/>
        <w:t xml:space="preserve">Registration of an amendment of a strata titles scheme gives effect to a </w:t>
      </w:r>
      <w:r>
        <w:rPr>
          <w:rStyle w:val="CharDefText"/>
        </w:rPr>
        <w:t>subdivision</w:t>
      </w:r>
      <w:r>
        <w:t xml:space="preserve"> if it —</w:t>
      </w:r>
    </w:p>
    <w:p>
      <w:pPr>
        <w:pStyle w:val="nzIndenta"/>
      </w:pPr>
      <w:r>
        <w:tab/>
        <w:t>(a)</w:t>
      </w:r>
      <w:r>
        <w:tab/>
        <w:t>effects a change to the definition of a lot in the scheme; or</w:t>
      </w:r>
    </w:p>
    <w:p>
      <w:pPr>
        <w:pStyle w:val="nzIndenta"/>
      </w:pPr>
      <w:r>
        <w:tab/>
        <w:t>(b)</w:t>
      </w:r>
      <w:r>
        <w:tab/>
        <w:t>effects a change to the boundary of the parcel of land subdivided by the scheme.</w:t>
      </w:r>
    </w:p>
    <w:p>
      <w:pPr>
        <w:pStyle w:val="nzPermNoteHeading"/>
      </w:pPr>
      <w:r>
        <w:tab/>
        <w:t>Note for this section:</w:t>
      </w:r>
    </w:p>
    <w:p>
      <w:pPr>
        <w:pStyle w:val="nzPermNoteText"/>
      </w:pPr>
      <w:r>
        <w:tab/>
        <w:t>1.</w:t>
      </w:r>
      <w:r>
        <w:tab/>
        <w:t>There are 4 types of amendment of a strata titles scheme that give effect to a subdivision, with varying requirements for resolutions and consents:</w:t>
      </w:r>
    </w:p>
    <w:p>
      <w:pPr>
        <w:pStyle w:val="nzPermNoteText"/>
      </w:pPr>
      <w:r>
        <w:tab/>
      </w:r>
      <w:r>
        <w:tab/>
        <w:t>A type 1 subdivision covers adding land from outside the parcel to the common property (other than as temporary common property) and what was formerly referred to as conversion of lots into common property.</w:t>
      </w:r>
    </w:p>
    <w:p>
      <w:pPr>
        <w:pStyle w:val="nzPermNoteText"/>
      </w:pPr>
      <w:r>
        <w:tab/>
      </w:r>
      <w:r>
        <w:tab/>
        <w:t>A type 2 subdivision covers the removal of common property from the parcel of a strata titles scheme.</w:t>
      </w:r>
    </w:p>
    <w:p>
      <w:pPr>
        <w:pStyle w:val="nzPermNoteText"/>
      </w:pPr>
      <w:r>
        <w:tab/>
      </w:r>
      <w:r>
        <w:tab/>
        <w:t>A type 3 subdivision covers what was formerly referred to as consolidation of lots.</w:t>
      </w:r>
    </w:p>
    <w:p>
      <w:pPr>
        <w:pStyle w:val="nzPermNoteText"/>
      </w:pPr>
      <w:r>
        <w:tab/>
      </w:r>
      <w:r>
        <w:tab/>
        <w:t>A type 4 subdivision covers what was formerly referred to as re</w:t>
      </w:r>
      <w:r>
        <w:noBreakHyphen/>
        <w:t>subdivision.</w:t>
      </w:r>
    </w:p>
    <w:p>
      <w:pPr>
        <w:pStyle w:val="nz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nzPermNoteText"/>
      </w:pPr>
      <w:r>
        <w:tab/>
      </w:r>
      <w:r>
        <w:tab/>
        <w:t>1 or more lots so as to create only 2 or more different lots; or</w:t>
      </w:r>
    </w:p>
    <w:p>
      <w:pPr>
        <w:pStyle w:val="nzPermNoteText"/>
      </w:pPr>
      <w:r>
        <w:tab/>
      </w:r>
      <w:r>
        <w:tab/>
        <w:t>1 or more lots so as to create 1 or more different lots and common property; or</w:t>
      </w:r>
    </w:p>
    <w:p>
      <w:pPr>
        <w:pStyle w:val="nzPermNoteText"/>
      </w:pPr>
      <w:r>
        <w:tab/>
      </w:r>
      <w:r>
        <w:tab/>
        <w:t>1 or more lots and common property so as to create 1 or more different lots or 1 or more different lots and common property; or</w:t>
      </w:r>
    </w:p>
    <w:p>
      <w:pPr>
        <w:pStyle w:val="nzPermNoteText"/>
      </w:pPr>
      <w:r>
        <w:tab/>
      </w:r>
      <w:r>
        <w:tab/>
        <w:t>common property so as to create 1 or more lots or 1 or more lots and common property.</w:t>
      </w:r>
    </w:p>
    <w:p>
      <w:pPr>
        <w:pStyle w:val="nzPermNoteText"/>
      </w:pPr>
      <w:r>
        <w:tab/>
        <w:t>3.</w:t>
      </w:r>
      <w:r>
        <w:tab/>
        <w:t>Schedule 2A provides special provisions relating to subdivision in a single tier strata scheme.</w:t>
      </w:r>
    </w:p>
    <w:p>
      <w:pPr>
        <w:pStyle w:val="nzHeading5"/>
      </w:pPr>
      <w:bookmarkStart w:id="687" w:name="_Toc530474354"/>
      <w:bookmarkStart w:id="688" w:name="_Toc530474949"/>
      <w:r>
        <w:t>12.</w:t>
      </w:r>
      <w:r>
        <w:tab/>
        <w:t>Registration of strata titles scheme</w:t>
      </w:r>
      <w:bookmarkEnd w:id="687"/>
      <w:bookmarkEnd w:id="688"/>
    </w:p>
    <w:p>
      <w:pPr>
        <w:pStyle w:val="nz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nzIndenta"/>
      </w:pPr>
      <w:r>
        <w:tab/>
        <w:t>(a)</w:t>
      </w:r>
      <w:r>
        <w:tab/>
        <w:t>for a freehold scheme —</w:t>
      </w:r>
    </w:p>
    <w:p>
      <w:pPr>
        <w:pStyle w:val="nzIndenti"/>
      </w:pPr>
      <w:r>
        <w:tab/>
        <w:t>(i)</w:t>
      </w:r>
      <w:r>
        <w:tab/>
        <w:t>a scheme notice;</w:t>
      </w:r>
    </w:p>
    <w:p>
      <w:pPr>
        <w:pStyle w:val="nzIndenti"/>
      </w:pPr>
      <w:r>
        <w:tab/>
        <w:t>(ii)</w:t>
      </w:r>
      <w:r>
        <w:tab/>
        <w:t>a scheme plan;</w:t>
      </w:r>
    </w:p>
    <w:p>
      <w:pPr>
        <w:pStyle w:val="nzIndenti"/>
      </w:pPr>
      <w:r>
        <w:tab/>
        <w:t>(iii)</w:t>
      </w:r>
      <w:r>
        <w:tab/>
        <w:t>a schedule of unit entitlements;</w:t>
      </w:r>
    </w:p>
    <w:p>
      <w:pPr>
        <w:pStyle w:val="nzIndenti"/>
      </w:pPr>
      <w:r>
        <w:tab/>
        <w:t>(iv)</w:t>
      </w:r>
      <w:r>
        <w:tab/>
        <w:t>scheme by</w:t>
      </w:r>
      <w:r>
        <w:noBreakHyphen/>
        <w:t>laws;</w:t>
      </w:r>
    </w:p>
    <w:p>
      <w:pPr>
        <w:pStyle w:val="nzIndenta"/>
      </w:pPr>
      <w:r>
        <w:tab/>
        <w:t>(b)</w:t>
      </w:r>
      <w:r>
        <w:tab/>
        <w:t>for a leasehold scheme —</w:t>
      </w:r>
    </w:p>
    <w:p>
      <w:pPr>
        <w:pStyle w:val="nzIndenti"/>
      </w:pPr>
      <w:r>
        <w:tab/>
        <w:t>(i)</w:t>
      </w:r>
      <w:r>
        <w:tab/>
        <w:t>a scheme notice (which must specify the expiry day for the scheme);</w:t>
      </w:r>
    </w:p>
    <w:p>
      <w:pPr>
        <w:pStyle w:val="nzIndenti"/>
      </w:pPr>
      <w:r>
        <w:tab/>
        <w:t>(ii)</w:t>
      </w:r>
      <w:r>
        <w:tab/>
        <w:t>a scheme plan;</w:t>
      </w:r>
    </w:p>
    <w:p>
      <w:pPr>
        <w:pStyle w:val="nzIndenti"/>
      </w:pPr>
      <w:r>
        <w:tab/>
        <w:t>(iii)</w:t>
      </w:r>
      <w:r>
        <w:tab/>
        <w:t>a schedule of unit entitlements;</w:t>
      </w:r>
    </w:p>
    <w:p>
      <w:pPr>
        <w:pStyle w:val="nzIndenti"/>
      </w:pPr>
      <w:r>
        <w:tab/>
        <w:t>(iv)</w:t>
      </w:r>
      <w:r>
        <w:tab/>
        <w:t>scheme by</w:t>
      </w:r>
      <w:r>
        <w:noBreakHyphen/>
        <w:t>laws;</w:t>
      </w:r>
    </w:p>
    <w:p>
      <w:pPr>
        <w:pStyle w:val="nzIndenti"/>
      </w:pPr>
      <w:r>
        <w:tab/>
        <w:t>(v)</w:t>
      </w:r>
      <w:r>
        <w:tab/>
        <w:t>a strata lease for each lot.</w:t>
      </w:r>
    </w:p>
    <w:p>
      <w:pPr>
        <w:pStyle w:val="nzPermNoteHeading"/>
      </w:pPr>
      <w:r>
        <w:tab/>
        <w:t>Note for this subsection:</w:t>
      </w:r>
    </w:p>
    <w:p>
      <w:pPr>
        <w:pStyle w:val="nz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nzSubsection"/>
      </w:pPr>
      <w:r>
        <w:tab/>
        <w:t>(2)</w:t>
      </w:r>
      <w:r>
        <w:tab/>
        <w:t>A registered strata titles scheme is amended when amendments of the relevant scheme documents, or replacements of the relevant scheme documents, are registered or recorded and incorporated in the Register.</w:t>
      </w:r>
    </w:p>
    <w:p>
      <w:pPr>
        <w:pStyle w:val="nzPermNoteHeading"/>
      </w:pPr>
      <w:r>
        <w:tab/>
        <w:t>Note for this subsection:</w:t>
      </w:r>
    </w:p>
    <w:p>
      <w:pPr>
        <w:pStyle w:val="nzPermNoteText"/>
      </w:pPr>
      <w:r>
        <w:tab/>
      </w:r>
      <w:r>
        <w:tab/>
        <w:t>The amendment may be necessary to give effect to a subdivision of land as referred to in section 11(2) or it may be unrelated to a subdivision of land, comprising, for example —</w:t>
      </w:r>
    </w:p>
    <w:p>
      <w:pPr>
        <w:pStyle w:val="nzPermNoteText"/>
      </w:pPr>
      <w:r>
        <w:tab/>
      </w:r>
      <w:r>
        <w:tab/>
        <w:t>the amendment of the scheme notice so as to amend the name or address for service of the strata company; or</w:t>
      </w:r>
    </w:p>
    <w:p>
      <w:pPr>
        <w:pStyle w:val="nzPermNoteText"/>
      </w:pPr>
      <w:r>
        <w:tab/>
      </w:r>
      <w:r>
        <w:tab/>
        <w:t>the amendment or replacement of the scheme plan for the strata titles scheme for a purpose related to an easement or restrictive covenant or a restricted use condition; or</w:t>
      </w:r>
    </w:p>
    <w:p>
      <w:pPr>
        <w:pStyle w:val="nzPermNoteText"/>
      </w:pPr>
      <w:r>
        <w:tab/>
      </w:r>
      <w:r>
        <w:tab/>
        <w:t>the amendment or replacement of the schedule of unit entitlements for the strata titles scheme because of a new valuation of lots; or</w:t>
      </w:r>
    </w:p>
    <w:p>
      <w:pPr>
        <w:pStyle w:val="nzPermNoteText"/>
      </w:pPr>
      <w:r>
        <w:tab/>
      </w:r>
      <w:r>
        <w:tab/>
        <w:t>the amendment or replacement of scheme by</w:t>
      </w:r>
      <w:r>
        <w:noBreakHyphen/>
        <w:t>laws.</w:t>
      </w:r>
    </w:p>
    <w:p>
      <w:pPr>
        <w:pStyle w:val="nzSubsection"/>
      </w:pPr>
      <w:r>
        <w:tab/>
        <w:t>(3)</w:t>
      </w:r>
      <w:r>
        <w:tab/>
        <w:t>If a registered leasehold scheme is amended to give effect to a subdivision involving the creation of new lots, a strata lease must be registered as a scheme document for each new lot.</w:t>
      </w:r>
    </w:p>
    <w:p>
      <w:pPr>
        <w:pStyle w:val="nzHeading5"/>
      </w:pPr>
      <w:bookmarkStart w:id="689" w:name="_Toc530474355"/>
      <w:bookmarkStart w:id="690" w:name="_Toc530474950"/>
      <w:r>
        <w:t>13.</w:t>
      </w:r>
      <w:r>
        <w:tab/>
        <w:t>Strata titles</w:t>
      </w:r>
      <w:bookmarkEnd w:id="689"/>
      <w:bookmarkEnd w:id="690"/>
    </w:p>
    <w:p>
      <w:pPr>
        <w:pStyle w:val="nzSubsection"/>
      </w:pPr>
      <w:r>
        <w:tab/>
        <w:t>(1)</w:t>
      </w:r>
      <w:r>
        <w:tab/>
        <w:t xml:space="preserve">The title to the land comprised in a lot is referred to as a </w:t>
      </w:r>
      <w:r>
        <w:rPr>
          <w:rStyle w:val="CharDefText"/>
        </w:rPr>
        <w:t>strata title</w:t>
      </w:r>
      <w:r>
        <w:t>.</w:t>
      </w:r>
    </w:p>
    <w:p>
      <w:pPr>
        <w:pStyle w:val="nzSubsection"/>
      </w:pPr>
      <w:r>
        <w:tab/>
        <w:t>(2)</w:t>
      </w:r>
      <w:r>
        <w:tab/>
        <w:t xml:space="preserve">A certificate of title must be created and registered for each strata title under the </w:t>
      </w:r>
      <w:r>
        <w:rPr>
          <w:i/>
        </w:rPr>
        <w:t>Transfer of Land Act 1893</w:t>
      </w:r>
      <w:r>
        <w:t>.</w:t>
      </w:r>
    </w:p>
    <w:p>
      <w:pPr>
        <w:pStyle w:val="nzPermNoteHeading"/>
      </w:pPr>
      <w:r>
        <w:tab/>
        <w:t>Note for this subsection:</w:t>
      </w:r>
    </w:p>
    <w:p>
      <w:pPr>
        <w:pStyle w:val="nzPermNoteText"/>
      </w:pPr>
      <w:r>
        <w:tab/>
      </w:r>
      <w:r>
        <w:tab/>
        <w:t>A separate certificate of title is not created for common property.</w:t>
      </w:r>
    </w:p>
    <w:p>
      <w:pPr>
        <w:pStyle w:val="nzSubsection"/>
      </w:pPr>
      <w:r>
        <w:tab/>
        <w:t>(3)</w:t>
      </w:r>
      <w:r>
        <w:tab/>
        <w:t>For a leasehold scheme, the existence of the scheme and its expiry day must be endorsed on the certificate of title for each strata title for a lot in the scheme.</w:t>
      </w:r>
    </w:p>
    <w:p>
      <w:pPr>
        <w:pStyle w:val="nz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nzIndenta"/>
      </w:pPr>
      <w:r>
        <w:tab/>
        <w:t>(a)</w:t>
      </w:r>
      <w:r>
        <w:tab/>
        <w:t>there is 1 strata title registered for each lot in the scheme or the scheme as amended; and</w:t>
      </w:r>
    </w:p>
    <w:p>
      <w:pPr>
        <w:pStyle w:val="nzIndenta"/>
      </w:pPr>
      <w:r>
        <w:tab/>
        <w:t>(b)</w:t>
      </w:r>
      <w:r>
        <w:tab/>
        <w:t>the strata title for a lot confers the rights on the owner of the lot as set out in this section.</w:t>
      </w:r>
    </w:p>
    <w:p>
      <w:pPr>
        <w:pStyle w:val="nzSubsection"/>
      </w:pPr>
      <w:r>
        <w:tab/>
        <w:t>(5)</w:t>
      </w:r>
      <w:r>
        <w:tab/>
        <w:t>When a new lot is created and a strata title comes into existence, it vests as follows —</w:t>
      </w:r>
    </w:p>
    <w:p>
      <w:pPr>
        <w:pStyle w:val="nz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nzIndenta"/>
      </w:pPr>
      <w:r>
        <w:tab/>
        <w:t>(b)</w:t>
      </w:r>
      <w:r>
        <w:tab/>
        <w:t>in the case of a lot that is being subdivided, in the person who is, immediately before the new lot is created, the owner of that lot;</w:t>
      </w:r>
    </w:p>
    <w:p>
      <w:pPr>
        <w:pStyle w:val="nz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nz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nzSubsection"/>
      </w:pPr>
      <w:r>
        <w:tab/>
        <w:t>(7)</w:t>
      </w:r>
      <w:r>
        <w:tab/>
        <w:t>When a strata title for a lot in a freehold scheme comes into existence it confers on the owner of the lot —</w:t>
      </w:r>
    </w:p>
    <w:p>
      <w:pPr>
        <w:pStyle w:val="nzIndenta"/>
      </w:pPr>
      <w:r>
        <w:tab/>
        <w:t>(a)</w:t>
      </w:r>
      <w:r>
        <w:tab/>
        <w:t xml:space="preserve">rights as the proprietor of a fee simple estate in the lot under the </w:t>
      </w:r>
      <w:r>
        <w:rPr>
          <w:i/>
        </w:rPr>
        <w:t>Transfer of Land Act 1893</w:t>
      </w:r>
      <w:r>
        <w:t>; and</w:t>
      </w:r>
    </w:p>
    <w:p>
      <w:pPr>
        <w:pStyle w:val="nz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nzIndenta"/>
      </w:pPr>
      <w:r>
        <w:tab/>
        <w:t>(c)</w:t>
      </w:r>
      <w:r>
        <w:tab/>
        <w:t>an undivided share of the temporary common property as a tenant in common with the other owners of lots in the scheme, proportional to the unit entitlements of their respective lots.</w:t>
      </w:r>
    </w:p>
    <w:p>
      <w:pPr>
        <w:pStyle w:val="nzSubsection"/>
      </w:pPr>
      <w:r>
        <w:tab/>
        <w:t>(8)</w:t>
      </w:r>
      <w:r>
        <w:tab/>
        <w:t>When a strata title for a lot in a leasehold scheme comes into existence it confers on the owner of the lot, subject to Part 4 Division 5 —</w:t>
      </w:r>
    </w:p>
    <w:p>
      <w:pPr>
        <w:pStyle w:val="nzIndenta"/>
      </w:pPr>
      <w:r>
        <w:tab/>
        <w:t>(a)</w:t>
      </w:r>
      <w:r>
        <w:tab/>
        <w:t xml:space="preserve">rights as the proprietor of a strata leasehold estate in the lot under the </w:t>
      </w:r>
      <w:r>
        <w:rPr>
          <w:i/>
        </w:rPr>
        <w:t>Transfer of Land Act 1893</w:t>
      </w:r>
      <w:r>
        <w:t>; and</w:t>
      </w:r>
    </w:p>
    <w:p>
      <w:pPr>
        <w:pStyle w:val="nzIndenta"/>
      </w:pPr>
      <w:r>
        <w:tab/>
        <w:t>(b)</w:t>
      </w:r>
      <w:r>
        <w:tab/>
        <w:t>an undivided share of the strata leasehold estate in the common property as a tenant in common with the other owners of lots in the scheme, proportional to the unit entitlements of their respective lots; and</w:t>
      </w:r>
    </w:p>
    <w:p>
      <w:pPr>
        <w:pStyle w:val="nzIndenta"/>
      </w:pPr>
      <w:r>
        <w:tab/>
        <w:t>(c)</w:t>
      </w:r>
      <w:r>
        <w:tab/>
        <w:t>an undivided share of the temporary common property as a tenant in common with the other owners of lots in the scheme, proportional to the unit entitlements of their respective lots.</w:t>
      </w:r>
    </w:p>
    <w:p>
      <w:pPr>
        <w:pStyle w:val="nzSubsection"/>
      </w:pPr>
      <w:r>
        <w:tab/>
        <w:t>(9)</w:t>
      </w:r>
      <w:r>
        <w:tab/>
        <w:t>The owner of a lot cannot separately deal with or dispose of the owner’s share in the common property of the strata titles scheme.</w:t>
      </w:r>
    </w:p>
    <w:p>
      <w:pPr>
        <w:pStyle w:val="nz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nz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nzSubsection"/>
      </w:pPr>
      <w:r>
        <w:tab/>
        <w:t>(12)</w:t>
      </w:r>
      <w:r>
        <w:tab/>
        <w:t>The owner of a lot in a leasehold scheme cannot deal with the strata lease separately from the strata title.</w:t>
      </w:r>
    </w:p>
    <w:p>
      <w:pPr>
        <w:pStyle w:val="nzHeading5"/>
        <w:rPr>
          <w:snapToGrid w:val="0"/>
        </w:rPr>
      </w:pPr>
      <w:bookmarkStart w:id="691" w:name="_Toc530474356"/>
      <w:bookmarkStart w:id="692" w:name="_Toc530474951"/>
      <w:r>
        <w:rPr>
          <w:snapToGrid w:val="0"/>
        </w:rPr>
        <w:t>14.</w:t>
      </w:r>
      <w:r>
        <w:rPr>
          <w:snapToGrid w:val="0"/>
        </w:rPr>
        <w:tab/>
        <w:t>Strata company</w:t>
      </w:r>
      <w:bookmarkEnd w:id="691"/>
      <w:bookmarkEnd w:id="692"/>
    </w:p>
    <w:p>
      <w:pPr>
        <w:pStyle w:val="nzSubsection"/>
        <w:rPr>
          <w:snapToGrid w:val="0"/>
        </w:rPr>
      </w:pPr>
      <w:r>
        <w:rPr>
          <w:snapToGrid w:val="0"/>
        </w:rPr>
        <w:tab/>
        <w:t>(1)</w:t>
      </w:r>
      <w:r>
        <w:rPr>
          <w:snapToGrid w:val="0"/>
        </w:rPr>
        <w:tab/>
        <w:t>On registration of a strata titles scheme, a strata company is established for the strata titles scheme.</w:t>
      </w:r>
    </w:p>
    <w:p>
      <w:pPr>
        <w:pStyle w:val="nzSubsection"/>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the Registrar of Titles</w:t>
      </w:r>
      <w:r>
        <w:rPr>
          <w:snapToGrid w:val="0"/>
        </w:rPr>
        <w:t>])”.</w:t>
      </w:r>
    </w:p>
    <w:p>
      <w:pPr>
        <w:pStyle w:val="nzSubsection"/>
        <w:rPr>
          <w:snapToGrid w:val="0"/>
        </w:rPr>
      </w:pPr>
      <w:r>
        <w:rPr>
          <w:snapToGrid w:val="0"/>
        </w:rPr>
        <w:tab/>
        <w:t>(3)</w:t>
      </w:r>
      <w:r>
        <w:rPr>
          <w:snapToGrid w:val="0"/>
        </w:rPr>
        <w:tab/>
        <w:t>The name of the strata titles scheme is the name stated in the scheme notice.</w:t>
      </w:r>
    </w:p>
    <w:p>
      <w:pPr>
        <w:pStyle w:val="nzSubsection"/>
        <w:rPr>
          <w:snapToGrid w:val="0"/>
        </w:rPr>
      </w:pPr>
      <w:r>
        <w:rPr>
          <w:snapToGrid w:val="0"/>
        </w:rPr>
        <w:tab/>
        <w:t>(4)</w:t>
      </w:r>
      <w:r>
        <w:rPr>
          <w:snapToGrid w:val="0"/>
        </w:rPr>
        <w:tab/>
        <w:t>The address for service of the strata company is the address for service stated in the scheme notice.</w:t>
      </w:r>
    </w:p>
    <w:p>
      <w:pPr>
        <w:pStyle w:val="nzSubsection"/>
        <w:rPr>
          <w:snapToGrid w:val="0"/>
        </w:rPr>
      </w:pPr>
      <w:r>
        <w:rPr>
          <w:snapToGrid w:val="0"/>
        </w:rPr>
        <w:tab/>
        <w:t>(5)</w:t>
      </w:r>
      <w:r>
        <w:rPr>
          <w:snapToGrid w:val="0"/>
        </w:rPr>
        <w:tab/>
        <w:t>A strata company —</w:t>
      </w:r>
    </w:p>
    <w:p>
      <w:pPr>
        <w:pStyle w:val="nzIndenta"/>
      </w:pPr>
      <w:r>
        <w:tab/>
        <w:t>(a)</w:t>
      </w:r>
      <w:r>
        <w:tab/>
        <w:t>is a body corporate; and</w:t>
      </w:r>
    </w:p>
    <w:p>
      <w:pPr>
        <w:pStyle w:val="nzIndenta"/>
      </w:pPr>
      <w:r>
        <w:tab/>
        <w:t>(b)</w:t>
      </w:r>
      <w:r>
        <w:tab/>
        <w:t>has perpetual succession; and</w:t>
      </w:r>
    </w:p>
    <w:p>
      <w:pPr>
        <w:pStyle w:val="nzIndenta"/>
      </w:pPr>
      <w:r>
        <w:tab/>
        <w:t>(c)</w:t>
      </w:r>
      <w:r>
        <w:tab/>
        <w:t>is capable of suing and being sued in its own name; and</w:t>
      </w:r>
    </w:p>
    <w:p>
      <w:pPr>
        <w:pStyle w:val="nzIndenta"/>
      </w:pPr>
      <w:r>
        <w:tab/>
        <w:t>(d)</w:t>
      </w:r>
      <w:r>
        <w:tab/>
        <w:t>has, subject to this Act, all the powers of a natural person that are capable of being exercised by a body corporate.</w:t>
      </w:r>
    </w:p>
    <w:p>
      <w:pPr>
        <w:pStyle w:val="nzSubsection"/>
        <w:rPr>
          <w:snapToGrid w:val="0"/>
        </w:rPr>
      </w:pPr>
      <w:r>
        <w:rPr>
          <w:snapToGrid w:val="0"/>
        </w:rPr>
        <w:tab/>
        <w:t>(6)</w:t>
      </w:r>
      <w:r>
        <w:rPr>
          <w:snapToGrid w:val="0"/>
        </w:rPr>
        <w:tab/>
        <w:t>The governing body of a strata company is the council of the strata company.</w:t>
      </w:r>
    </w:p>
    <w:p>
      <w:pPr>
        <w:pStyle w:val="nzSubsection"/>
        <w:rPr>
          <w:snapToGrid w:val="0"/>
        </w:rPr>
      </w:pPr>
      <w:r>
        <w:rPr>
          <w:snapToGrid w:val="0"/>
        </w:rPr>
        <w:tab/>
        <w:t>(7)</w:t>
      </w:r>
      <w:r>
        <w:rPr>
          <w:snapToGrid w:val="0"/>
        </w:rPr>
        <w:tab/>
        <w:t>A strata company may have a common seal, but it does not have to do so.</w:t>
      </w:r>
    </w:p>
    <w:p>
      <w:pPr>
        <w:pStyle w:val="nz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nzHeading2"/>
      </w:pPr>
      <w:bookmarkStart w:id="693" w:name="_Toc517437559"/>
      <w:bookmarkStart w:id="694" w:name="_Toc517438101"/>
      <w:bookmarkStart w:id="695" w:name="_Toc517440438"/>
      <w:bookmarkStart w:id="696" w:name="_Toc517447475"/>
      <w:bookmarkStart w:id="697" w:name="_Toc517449953"/>
      <w:bookmarkStart w:id="698" w:name="_Toc517450495"/>
      <w:bookmarkStart w:id="699" w:name="_Toc517856951"/>
      <w:bookmarkStart w:id="700" w:name="_Toc518293078"/>
      <w:bookmarkStart w:id="701" w:name="_Toc522744306"/>
      <w:bookmarkStart w:id="702" w:name="_Toc522747429"/>
      <w:bookmarkStart w:id="703" w:name="_Toc529183266"/>
      <w:bookmarkStart w:id="704" w:name="_Toc529188029"/>
      <w:bookmarkStart w:id="705" w:name="_Toc529434542"/>
      <w:bookmarkStart w:id="706" w:name="_Toc529524433"/>
      <w:bookmarkStart w:id="707" w:name="_Toc530474357"/>
      <w:bookmarkStart w:id="708" w:name="_Toc530474952"/>
      <w:r>
        <w:t>Part 3</w:t>
      </w:r>
      <w:r>
        <w:rPr>
          <w:b w:val="0"/>
        </w:rPr>
        <w:t> </w:t>
      </w:r>
      <w:r>
        <w:t>—</w:t>
      </w:r>
      <w:r>
        <w:rPr>
          <w:b w:val="0"/>
        </w:rPr>
        <w:t> </w:t>
      </w:r>
      <w:r>
        <w:t>Planning and development</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zHeading3"/>
      </w:pPr>
      <w:bookmarkStart w:id="709" w:name="_Toc517437560"/>
      <w:bookmarkStart w:id="710" w:name="_Toc517438102"/>
      <w:bookmarkStart w:id="711" w:name="_Toc517440439"/>
      <w:bookmarkStart w:id="712" w:name="_Toc517447476"/>
      <w:bookmarkStart w:id="713" w:name="_Toc517449954"/>
      <w:bookmarkStart w:id="714" w:name="_Toc517450496"/>
      <w:bookmarkStart w:id="715" w:name="_Toc517856952"/>
      <w:bookmarkStart w:id="716" w:name="_Toc518293079"/>
      <w:bookmarkStart w:id="717" w:name="_Toc522744307"/>
      <w:bookmarkStart w:id="718" w:name="_Toc522747430"/>
      <w:bookmarkStart w:id="719" w:name="_Toc529183267"/>
      <w:bookmarkStart w:id="720" w:name="_Toc529188030"/>
      <w:bookmarkStart w:id="721" w:name="_Toc529434543"/>
      <w:bookmarkStart w:id="722" w:name="_Toc529524434"/>
      <w:bookmarkStart w:id="723" w:name="_Toc530474358"/>
      <w:bookmarkStart w:id="724" w:name="_Toc530474953"/>
      <w:r>
        <w:t>Division 1 — Planning approvals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zHeading4"/>
      </w:pPr>
      <w:bookmarkStart w:id="725" w:name="_Toc517437561"/>
      <w:bookmarkStart w:id="726" w:name="_Toc517438103"/>
      <w:bookmarkStart w:id="727" w:name="_Toc517440440"/>
      <w:bookmarkStart w:id="728" w:name="_Toc517447477"/>
      <w:bookmarkStart w:id="729" w:name="_Toc517449955"/>
      <w:bookmarkStart w:id="730" w:name="_Toc517450497"/>
      <w:bookmarkStart w:id="731" w:name="_Toc517856953"/>
      <w:bookmarkStart w:id="732" w:name="_Toc518293080"/>
      <w:bookmarkStart w:id="733" w:name="_Toc522744308"/>
      <w:bookmarkStart w:id="734" w:name="_Toc522747431"/>
      <w:bookmarkStart w:id="735" w:name="_Toc529183268"/>
      <w:bookmarkStart w:id="736" w:name="_Toc529188031"/>
      <w:bookmarkStart w:id="737" w:name="_Toc529434544"/>
      <w:bookmarkStart w:id="738" w:name="_Toc529524435"/>
      <w:bookmarkStart w:id="739" w:name="_Toc530474359"/>
      <w:bookmarkStart w:id="740" w:name="_Toc530474954"/>
      <w:r>
        <w:t>Subdivision 1  — Strata schemes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nzHeading5"/>
      </w:pPr>
      <w:bookmarkStart w:id="741" w:name="_Toc530474360"/>
      <w:bookmarkStart w:id="742" w:name="_Toc530474955"/>
      <w:r>
        <w:t>15.</w:t>
      </w:r>
      <w:r>
        <w:tab/>
        <w:t>Subdivision approval of strata scheme</w:t>
      </w:r>
      <w:bookmarkEnd w:id="741"/>
      <w:bookmarkEnd w:id="742"/>
    </w:p>
    <w:p>
      <w:pPr>
        <w:pStyle w:val="nz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nz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nz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nz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nzSubsection"/>
        <w:rPr>
          <w:snapToGrid w:val="0"/>
        </w:rPr>
      </w:pPr>
      <w:r>
        <w:rPr>
          <w:snapToGrid w:val="0"/>
        </w:rPr>
        <w:tab/>
        <w:t>(5)</w:t>
      </w:r>
      <w:r>
        <w:rPr>
          <w:snapToGrid w:val="0"/>
        </w:rPr>
        <w:tab/>
        <w:t>An application under this section must —</w:t>
      </w:r>
    </w:p>
    <w:p>
      <w:pPr>
        <w:pStyle w:val="nzIndenta"/>
      </w:pPr>
      <w:r>
        <w:tab/>
        <w:t>(a)</w:t>
      </w:r>
      <w:r>
        <w:tab/>
        <w:t>be in the approved form; and</w:t>
      </w:r>
    </w:p>
    <w:p>
      <w:pPr>
        <w:pStyle w:val="nzIndenta"/>
      </w:pPr>
      <w:r>
        <w:tab/>
        <w:t>(b)</w:t>
      </w:r>
      <w:r>
        <w:tab/>
        <w:t>be accompanied by the fee fixed by the regulations.</w:t>
      </w:r>
    </w:p>
    <w:p>
      <w:pPr>
        <w:pStyle w:val="nz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nzHeading5"/>
        <w:rPr>
          <w:snapToGrid w:val="0"/>
        </w:rPr>
      </w:pPr>
      <w:bookmarkStart w:id="743" w:name="_Toc530474361"/>
      <w:bookmarkStart w:id="744" w:name="_Toc530474956"/>
      <w:r>
        <w:t>16</w:t>
      </w:r>
      <w:r>
        <w:rPr>
          <w:snapToGrid w:val="0"/>
        </w:rPr>
        <w:t>.</w:t>
      </w:r>
      <w:r>
        <w:rPr>
          <w:snapToGrid w:val="0"/>
        </w:rPr>
        <w:tab/>
        <w:t>Application of Planning and Development Act</w:t>
      </w:r>
      <w:bookmarkEnd w:id="743"/>
      <w:bookmarkEnd w:id="744"/>
    </w:p>
    <w:p>
      <w:pPr>
        <w:pStyle w:val="nz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nz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nzHeading4"/>
      </w:pPr>
      <w:bookmarkStart w:id="745" w:name="_Toc517437564"/>
      <w:bookmarkStart w:id="746" w:name="_Toc517438106"/>
      <w:bookmarkStart w:id="747" w:name="_Toc517440443"/>
      <w:bookmarkStart w:id="748" w:name="_Toc517447480"/>
      <w:bookmarkStart w:id="749" w:name="_Toc517449958"/>
      <w:bookmarkStart w:id="750" w:name="_Toc517450500"/>
      <w:bookmarkStart w:id="751" w:name="_Toc517856956"/>
      <w:bookmarkStart w:id="752" w:name="_Toc518293083"/>
      <w:bookmarkStart w:id="753" w:name="_Toc522744311"/>
      <w:bookmarkStart w:id="754" w:name="_Toc522747434"/>
      <w:bookmarkStart w:id="755" w:name="_Toc529183271"/>
      <w:bookmarkStart w:id="756" w:name="_Toc529188034"/>
      <w:bookmarkStart w:id="757" w:name="_Toc529434547"/>
      <w:bookmarkStart w:id="758" w:name="_Toc529524438"/>
      <w:bookmarkStart w:id="759" w:name="_Toc530474362"/>
      <w:bookmarkStart w:id="760" w:name="_Toc530474957"/>
      <w:r>
        <w:t>Subdivision 2 — Survey</w:t>
      </w:r>
      <w:r>
        <w:noBreakHyphen/>
        <w:t>strata schemes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nzHeading5"/>
        <w:rPr>
          <w:snapToGrid w:val="0"/>
        </w:rPr>
      </w:pPr>
      <w:bookmarkStart w:id="761" w:name="_Toc530474363"/>
      <w:bookmarkStart w:id="762" w:name="_Toc530474958"/>
      <w:r>
        <w:t>17</w:t>
      </w:r>
      <w:r>
        <w:rPr>
          <w:snapToGrid w:val="0"/>
        </w:rPr>
        <w:t>.</w:t>
      </w:r>
      <w:r>
        <w:rPr>
          <w:snapToGrid w:val="0"/>
        </w:rPr>
        <w:tab/>
        <w:t>Subdivision approval of survey</w:t>
      </w:r>
      <w:r>
        <w:rPr>
          <w:snapToGrid w:val="0"/>
        </w:rPr>
        <w:noBreakHyphen/>
        <w:t>strata scheme</w:t>
      </w:r>
      <w:bookmarkEnd w:id="761"/>
      <w:bookmarkEnd w:id="762"/>
    </w:p>
    <w:p>
      <w:pPr>
        <w:pStyle w:val="nz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nz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nz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nzHeading4"/>
      </w:pPr>
      <w:bookmarkStart w:id="763" w:name="_Toc517437566"/>
      <w:bookmarkStart w:id="764" w:name="_Toc517438108"/>
      <w:bookmarkStart w:id="765" w:name="_Toc517440445"/>
      <w:bookmarkStart w:id="766" w:name="_Toc517447482"/>
      <w:bookmarkStart w:id="767" w:name="_Toc517449960"/>
      <w:bookmarkStart w:id="768" w:name="_Toc517450502"/>
      <w:bookmarkStart w:id="769" w:name="_Toc517856958"/>
      <w:bookmarkStart w:id="770" w:name="_Toc518293085"/>
      <w:bookmarkStart w:id="771" w:name="_Toc522744313"/>
      <w:bookmarkStart w:id="772" w:name="_Toc522747436"/>
      <w:bookmarkStart w:id="773" w:name="_Toc529183273"/>
      <w:bookmarkStart w:id="774" w:name="_Toc529188036"/>
      <w:bookmarkStart w:id="775" w:name="_Toc529434549"/>
      <w:bookmarkStart w:id="776" w:name="_Toc529524440"/>
      <w:bookmarkStart w:id="777" w:name="_Toc530474364"/>
      <w:bookmarkStart w:id="778" w:name="_Toc530474959"/>
      <w:r>
        <w:t>Subdivision 3 — General provisions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zHeading5"/>
        <w:rPr>
          <w:snapToGrid w:val="0"/>
        </w:rPr>
      </w:pPr>
      <w:bookmarkStart w:id="779" w:name="_Toc530474365"/>
      <w:bookmarkStart w:id="780" w:name="_Toc530474960"/>
      <w:r>
        <w:t>18.</w:t>
      </w:r>
      <w:r>
        <w:tab/>
        <w:t>Planning (scheme by</w:t>
      </w:r>
      <w:r>
        <w:noBreakHyphen/>
        <w:t>laws) condition</w:t>
      </w:r>
      <w:bookmarkEnd w:id="779"/>
      <w:bookmarkEnd w:id="780"/>
    </w:p>
    <w:p>
      <w:pPr>
        <w:pStyle w:val="nzSubsection"/>
      </w:pPr>
      <w:r>
        <w:rPr>
          <w:snapToGrid w:val="0"/>
        </w:rPr>
        <w:tab/>
      </w:r>
      <w:r>
        <w:rPr>
          <w:snapToGrid w:val="0"/>
        </w:rPr>
        <w:tab/>
      </w:r>
      <w:r>
        <w:t>The conditions of a planning approval applying to a strata titles scheme may include a planning (scheme by</w:t>
      </w:r>
      <w:r>
        <w:noBreakHyphen/>
        <w:t>laws) condition.</w:t>
      </w:r>
    </w:p>
    <w:p>
      <w:pPr>
        <w:pStyle w:val="nzHeading5"/>
      </w:pPr>
      <w:bookmarkStart w:id="781" w:name="_Toc530474366"/>
      <w:bookmarkStart w:id="782" w:name="_Toc530474961"/>
      <w:r>
        <w:t>19.</w:t>
      </w:r>
      <w:r>
        <w:tab/>
        <w:t>Planning approval of scheme plan or amendment of scheme plan</w:t>
      </w:r>
      <w:bookmarkEnd w:id="781"/>
      <w:bookmarkEnd w:id="782"/>
    </w:p>
    <w:p>
      <w:pPr>
        <w:pStyle w:val="nz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nzIndenta"/>
      </w:pPr>
      <w:r>
        <w:tab/>
        <w:t>(a)</w:t>
      </w:r>
      <w:r>
        <w:tab/>
        <w:t>the scheme notice or any amendment of the scheme notice proposed to be submitted for registration with the scheme plan or amendment of the scheme plan; and</w:t>
      </w:r>
    </w:p>
    <w:p>
      <w:pPr>
        <w:pStyle w:val="nzIndenta"/>
      </w:pPr>
      <w:r>
        <w:tab/>
        <w:t>(b)</w:t>
      </w:r>
      <w:r>
        <w:tab/>
        <w:t>any existing scheme by</w:t>
      </w:r>
      <w:r>
        <w:noBreakHyphen/>
        <w:t>laws made under a planning (scheme by</w:t>
      </w:r>
      <w:r>
        <w:noBreakHyphen/>
        <w:t>laws) condition; and</w:t>
      </w:r>
    </w:p>
    <w:p>
      <w:pPr>
        <w:pStyle w:val="nzIndenta"/>
      </w:pPr>
      <w:r>
        <w:tab/>
        <w:t>(c)</w:t>
      </w:r>
      <w:r>
        <w:tab/>
        <w:t>for a leasehold scheme, any existing or proposed leasehold by</w:t>
      </w:r>
      <w:r>
        <w:noBreakHyphen/>
        <w:t>laws providing for postponement of the expiry day for the scheme; and</w:t>
      </w:r>
    </w:p>
    <w:p>
      <w:pPr>
        <w:pStyle w:val="nz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nzSubsection"/>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nz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nzIndenta"/>
      </w:pPr>
      <w:r>
        <w:tab/>
        <w:t>(b)</w:t>
      </w:r>
      <w:r>
        <w:tab/>
        <w:t>the subdivision and development has been undertaken consistently with —</w:t>
      </w:r>
    </w:p>
    <w:p>
      <w:pPr>
        <w:pStyle w:val="nzIndenti"/>
      </w:pPr>
      <w:r>
        <w:tab/>
        <w:t>(i)</w:t>
      </w:r>
      <w:r>
        <w:tab/>
        <w:t xml:space="preserve">the approval of the Planning Commission under this Act or the </w:t>
      </w:r>
      <w:r>
        <w:rPr>
          <w:i/>
        </w:rPr>
        <w:t>Planning and Development Act 2005</w:t>
      </w:r>
      <w:r>
        <w:t xml:space="preserve"> (including the conditions of approval); and</w:t>
      </w:r>
    </w:p>
    <w:p>
      <w:pPr>
        <w:pStyle w:val="nzIndenti"/>
      </w:pPr>
      <w:r>
        <w:tab/>
        <w:t>(ii)</w:t>
      </w:r>
      <w:r>
        <w:tab/>
        <w:t xml:space="preserve">any relevant approval of development under the </w:t>
      </w:r>
      <w:r>
        <w:rPr>
          <w:i/>
        </w:rPr>
        <w:t>Planning and Development Act 2005</w:t>
      </w:r>
      <w:r>
        <w:t xml:space="preserve"> (including the conditions of approval);</w:t>
      </w:r>
    </w:p>
    <w:p>
      <w:pPr>
        <w:pStyle w:val="nzIndenta"/>
      </w:pPr>
      <w:r>
        <w:tab/>
      </w:r>
      <w:r>
        <w:tab/>
        <w:t>and</w:t>
      </w:r>
    </w:p>
    <w:p>
      <w:pPr>
        <w:pStyle w:val="nzIndenta"/>
      </w:pPr>
      <w:r>
        <w:tab/>
        <w:t>(c)</w:t>
      </w:r>
      <w:r>
        <w:tab/>
        <w:t xml:space="preserve">the requirements of the </w:t>
      </w:r>
      <w:r>
        <w:rPr>
          <w:i/>
        </w:rPr>
        <w:t>Building Act 2011</w:t>
      </w:r>
      <w:r>
        <w:t xml:space="preserve"> have been complied with for the development; and</w:t>
      </w:r>
    </w:p>
    <w:p>
      <w:pPr>
        <w:pStyle w:val="nzIndenta"/>
      </w:pPr>
      <w:r>
        <w:tab/>
        <w:t>(d)</w:t>
      </w:r>
      <w:r>
        <w:tab/>
        <w:t>any restricted use condition proposed to be imposed by the scheme plan or amendment of the scheme plan is suitable for the scheme; and</w:t>
      </w:r>
    </w:p>
    <w:p>
      <w:pPr>
        <w:pStyle w:val="nzIndenta"/>
      </w:pPr>
      <w:r>
        <w:tab/>
        <w:t>(e)</w:t>
      </w:r>
      <w:r>
        <w:tab/>
        <w:t>scheme by</w:t>
      </w:r>
      <w:r>
        <w:noBreakHyphen/>
        <w:t>laws have been or are proposed to be made in accordance with any planning (scheme by</w:t>
      </w:r>
      <w:r>
        <w:noBreakHyphen/>
        <w:t>laws) condition.</w:t>
      </w:r>
    </w:p>
    <w:p>
      <w:pPr>
        <w:pStyle w:val="nzHeading5"/>
        <w:rPr>
          <w:snapToGrid w:val="0"/>
        </w:rPr>
      </w:pPr>
      <w:bookmarkStart w:id="783" w:name="_Toc530474367"/>
      <w:bookmarkStart w:id="784" w:name="_Toc530474962"/>
      <w:r>
        <w:rPr>
          <w:snapToGrid w:val="0"/>
        </w:rPr>
        <w:t>20.</w:t>
      </w:r>
      <w:r>
        <w:rPr>
          <w:snapToGrid w:val="0"/>
        </w:rPr>
        <w:tab/>
        <w:t>Approval for postponement of expiry day for leasehold scheme</w:t>
      </w:r>
      <w:bookmarkEnd w:id="783"/>
      <w:bookmarkEnd w:id="784"/>
    </w:p>
    <w:p>
      <w:pPr>
        <w:pStyle w:val="nzSubsection"/>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nz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nz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nzIndenta"/>
        <w:rPr>
          <w:snapToGrid w:val="0"/>
        </w:rPr>
      </w:pPr>
      <w:r>
        <w:rPr>
          <w:snapToGrid w:val="0"/>
          <w:spacing w:val="-4"/>
        </w:rPr>
        <w:tab/>
        <w:t>(a)</w:t>
      </w:r>
      <w:r>
        <w:rPr>
          <w:snapToGrid w:val="0"/>
          <w:spacing w:val="-4"/>
        </w:rPr>
        <w:tab/>
        <w:t>be in the approved form; and</w:t>
      </w:r>
    </w:p>
    <w:p>
      <w:pPr>
        <w:pStyle w:val="nzIndenta"/>
        <w:rPr>
          <w:snapToGrid w:val="0"/>
        </w:rPr>
      </w:pPr>
      <w:r>
        <w:rPr>
          <w:snapToGrid w:val="0"/>
        </w:rPr>
        <w:tab/>
        <w:t>(b)</w:t>
      </w:r>
      <w:r>
        <w:rPr>
          <w:snapToGrid w:val="0"/>
        </w:rPr>
        <w:tab/>
        <w:t>be accompanied by the fee fixed by the regulations.</w:t>
      </w:r>
    </w:p>
    <w:p>
      <w:pPr>
        <w:pStyle w:val="nzPermNoteHeading"/>
      </w:pPr>
      <w:r>
        <w:tab/>
        <w:t>Note for this section:</w:t>
      </w:r>
    </w:p>
    <w:p>
      <w:pPr>
        <w:pStyle w:val="nzPermNoteText"/>
      </w:pPr>
      <w:r>
        <w:tab/>
      </w:r>
      <w:r>
        <w:tab/>
        <w:t>See section 8(3) and sections 40 and 41.</w:t>
      </w:r>
    </w:p>
    <w:p>
      <w:pPr>
        <w:pStyle w:val="nzHeading5"/>
      </w:pPr>
      <w:bookmarkStart w:id="785" w:name="_Toc530474368"/>
      <w:bookmarkStart w:id="786" w:name="_Toc530474963"/>
      <w:r>
        <w:t>21.</w:t>
      </w:r>
      <w:r>
        <w:tab/>
        <w:t>Approval for modification of restricted use condition</w:t>
      </w:r>
      <w:bookmarkEnd w:id="785"/>
      <w:bookmarkEnd w:id="786"/>
    </w:p>
    <w:p>
      <w:pPr>
        <w:pStyle w:val="nz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nzSubsection"/>
        <w:rPr>
          <w:snapToGrid w:val="0"/>
        </w:rPr>
      </w:pPr>
      <w:r>
        <w:rPr>
          <w:snapToGrid w:val="0"/>
        </w:rPr>
        <w:tab/>
        <w:t>(2)</w:t>
      </w:r>
      <w:r>
        <w:rPr>
          <w:snapToGrid w:val="0"/>
        </w:rPr>
        <w:tab/>
        <w:t>The approval may be applied for and given in conjunction with an approval of a plan of subdivision.</w:t>
      </w:r>
    </w:p>
    <w:p>
      <w:pPr>
        <w:pStyle w:val="nzSubsection"/>
        <w:rPr>
          <w:snapToGrid w:val="0"/>
        </w:rPr>
      </w:pPr>
      <w:r>
        <w:rPr>
          <w:snapToGrid w:val="0"/>
        </w:rPr>
        <w:tab/>
        <w:t>(3)</w:t>
      </w:r>
      <w:r>
        <w:rPr>
          <w:snapToGrid w:val="0"/>
        </w:rPr>
        <w:tab/>
        <w:t>If a separate application is made, an application for approval under this section must —</w:t>
      </w:r>
    </w:p>
    <w:p>
      <w:pPr>
        <w:pStyle w:val="nzIndenta"/>
        <w:rPr>
          <w:snapToGrid w:val="0"/>
        </w:rPr>
      </w:pPr>
      <w:r>
        <w:rPr>
          <w:snapToGrid w:val="0"/>
          <w:spacing w:val="-4"/>
        </w:rPr>
        <w:tab/>
        <w:t>(a)</w:t>
      </w:r>
      <w:r>
        <w:rPr>
          <w:snapToGrid w:val="0"/>
          <w:spacing w:val="-4"/>
        </w:rPr>
        <w:tab/>
        <w:t>be in the approved form; and</w:t>
      </w:r>
    </w:p>
    <w:p>
      <w:pPr>
        <w:pStyle w:val="nzIndenta"/>
        <w:rPr>
          <w:snapToGrid w:val="0"/>
        </w:rPr>
      </w:pPr>
      <w:r>
        <w:rPr>
          <w:snapToGrid w:val="0"/>
        </w:rPr>
        <w:tab/>
        <w:t>(b)</w:t>
      </w:r>
      <w:r>
        <w:rPr>
          <w:snapToGrid w:val="0"/>
        </w:rPr>
        <w:tab/>
        <w:t>be accompanied by the fee fixed by the regulations.</w:t>
      </w:r>
    </w:p>
    <w:p>
      <w:pPr>
        <w:pStyle w:val="nzHeading5"/>
      </w:pPr>
      <w:bookmarkStart w:id="787" w:name="_Toc530474369"/>
      <w:bookmarkStart w:id="788" w:name="_Toc530474964"/>
      <w:r>
        <w:t>22.</w:t>
      </w:r>
      <w:r>
        <w:tab/>
        <w:t>Approval under planning (scheme by</w:t>
      </w:r>
      <w:r>
        <w:noBreakHyphen/>
        <w:t>laws) condition</w:t>
      </w:r>
      <w:bookmarkEnd w:id="787"/>
      <w:bookmarkEnd w:id="788"/>
    </w:p>
    <w:p>
      <w:pPr>
        <w:pStyle w:val="nz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nz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nz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nzIndenta"/>
        <w:rPr>
          <w:snapToGrid w:val="0"/>
        </w:rPr>
      </w:pPr>
      <w:r>
        <w:rPr>
          <w:snapToGrid w:val="0"/>
          <w:spacing w:val="-4"/>
        </w:rPr>
        <w:tab/>
        <w:t>(a)</w:t>
      </w:r>
      <w:r>
        <w:rPr>
          <w:snapToGrid w:val="0"/>
          <w:spacing w:val="-4"/>
        </w:rPr>
        <w:tab/>
        <w:t>be in the approved form; and</w:t>
      </w:r>
    </w:p>
    <w:p>
      <w:pPr>
        <w:pStyle w:val="nzIndenta"/>
        <w:rPr>
          <w:snapToGrid w:val="0"/>
        </w:rPr>
      </w:pPr>
      <w:r>
        <w:rPr>
          <w:snapToGrid w:val="0"/>
        </w:rPr>
        <w:tab/>
        <w:t>(b)</w:t>
      </w:r>
      <w:r>
        <w:rPr>
          <w:snapToGrid w:val="0"/>
        </w:rPr>
        <w:tab/>
        <w:t>be accompanied by the fee fixed by the regulations.</w:t>
      </w:r>
    </w:p>
    <w:p>
      <w:pPr>
        <w:pStyle w:val="nzHeading5"/>
      </w:pPr>
      <w:bookmarkStart w:id="789" w:name="_Toc530474370"/>
      <w:bookmarkStart w:id="790" w:name="_Toc530474965"/>
      <w:r>
        <w:t>23.</w:t>
      </w:r>
      <w:r>
        <w:tab/>
        <w:t>Requirement for local government approval</w:t>
      </w:r>
      <w:bookmarkEnd w:id="789"/>
      <w:bookmarkEnd w:id="790"/>
    </w:p>
    <w:p>
      <w:pPr>
        <w:pStyle w:val="nzSubsection"/>
      </w:pPr>
      <w:r>
        <w:tab/>
        <w:t>(1)</w:t>
      </w:r>
      <w:r>
        <w:tab/>
        <w:t>In addition to approval of the Planning Commission, a subdivision must be approved by each local government in whose district the parcel is situated if the subdivision involves —</w:t>
      </w:r>
    </w:p>
    <w:p>
      <w:pPr>
        <w:pStyle w:val="nzIndenta"/>
        <w:rPr>
          <w:snapToGrid w:val="0"/>
        </w:rPr>
      </w:pPr>
      <w:r>
        <w:rPr>
          <w:snapToGrid w:val="0"/>
          <w:spacing w:val="-4"/>
        </w:rPr>
        <w:tab/>
        <w:t>(a)</w:t>
      </w:r>
      <w:r>
        <w:rPr>
          <w:snapToGrid w:val="0"/>
          <w:spacing w:val="-4"/>
        </w:rPr>
        <w:tab/>
        <w:t>2 or more lots being consolidated into 1 lot; or</w:t>
      </w:r>
    </w:p>
    <w:p>
      <w:pPr>
        <w:pStyle w:val="nzIndenta"/>
        <w:rPr>
          <w:snapToGrid w:val="0"/>
        </w:rPr>
      </w:pPr>
      <w:r>
        <w:rPr>
          <w:snapToGrid w:val="0"/>
        </w:rPr>
        <w:tab/>
        <w:t>(b)</w:t>
      </w:r>
      <w:r>
        <w:rPr>
          <w:snapToGrid w:val="0"/>
        </w:rPr>
        <w:tab/>
        <w:t>1 or more lots being converted into common property; or</w:t>
      </w:r>
    </w:p>
    <w:p>
      <w:pPr>
        <w:pStyle w:val="nzIndenta"/>
        <w:rPr>
          <w:snapToGrid w:val="0"/>
        </w:rPr>
      </w:pPr>
      <w:r>
        <w:rPr>
          <w:snapToGrid w:val="0"/>
        </w:rPr>
        <w:tab/>
        <w:t>(c)</w:t>
      </w:r>
      <w:r>
        <w:rPr>
          <w:snapToGrid w:val="0"/>
        </w:rPr>
        <w:tab/>
        <w:t>the removal, from the parcel, of land comprised of common property.</w:t>
      </w:r>
    </w:p>
    <w:p>
      <w:pPr>
        <w:pStyle w:val="nzSubsection"/>
      </w:pPr>
      <w:r>
        <w:tab/>
        <w:t>(2)</w:t>
      </w:r>
      <w:r>
        <w:tab/>
        <w:t>If the subdivision is approved, it is subject to any planning (scheme by</w:t>
      </w:r>
      <w:r>
        <w:noBreakHyphen/>
        <w:t>laws) condition attached to the local government approval.</w:t>
      </w:r>
    </w:p>
    <w:p>
      <w:pPr>
        <w:pStyle w:val="nzHeading3"/>
      </w:pPr>
      <w:bookmarkStart w:id="791" w:name="_Toc517437573"/>
      <w:bookmarkStart w:id="792" w:name="_Toc517438115"/>
      <w:bookmarkStart w:id="793" w:name="_Toc517440452"/>
      <w:bookmarkStart w:id="794" w:name="_Toc517447489"/>
      <w:bookmarkStart w:id="795" w:name="_Toc517449967"/>
      <w:bookmarkStart w:id="796" w:name="_Toc517450509"/>
      <w:bookmarkStart w:id="797" w:name="_Toc517856965"/>
      <w:bookmarkStart w:id="798" w:name="_Toc518293092"/>
      <w:bookmarkStart w:id="799" w:name="_Toc522744320"/>
      <w:bookmarkStart w:id="800" w:name="_Toc522747443"/>
      <w:bookmarkStart w:id="801" w:name="_Toc529183280"/>
      <w:bookmarkStart w:id="802" w:name="_Toc529188043"/>
      <w:bookmarkStart w:id="803" w:name="_Toc529434556"/>
      <w:bookmarkStart w:id="804" w:name="_Toc529524447"/>
      <w:bookmarkStart w:id="805" w:name="_Toc530474371"/>
      <w:bookmarkStart w:id="806" w:name="_Toc530474966"/>
      <w:r>
        <w:t>Division 2 — Preliminary determinations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zHeading3"/>
      </w:pPr>
      <w:bookmarkStart w:id="807" w:name="_Toc517437574"/>
      <w:bookmarkStart w:id="808" w:name="_Toc517438116"/>
      <w:bookmarkStart w:id="809" w:name="_Toc517440453"/>
      <w:bookmarkStart w:id="810" w:name="_Toc517447490"/>
      <w:bookmarkStart w:id="811" w:name="_Toc517449968"/>
      <w:bookmarkStart w:id="812" w:name="_Toc517450510"/>
      <w:bookmarkStart w:id="813" w:name="_Toc517856966"/>
      <w:bookmarkStart w:id="814" w:name="_Toc518293093"/>
      <w:bookmarkStart w:id="815" w:name="_Toc522744321"/>
      <w:bookmarkStart w:id="816" w:name="_Toc522747444"/>
      <w:bookmarkStart w:id="817" w:name="_Toc529183281"/>
      <w:bookmarkStart w:id="818" w:name="_Toc529188044"/>
      <w:bookmarkStart w:id="819" w:name="_Toc529434557"/>
      <w:bookmarkStart w:id="820" w:name="_Toc529524448"/>
      <w:bookmarkStart w:id="821" w:name="_Toc530474372"/>
      <w:bookmarkStart w:id="822" w:name="_Toc530474967"/>
      <w:r>
        <w:t>Division 3 — Common property</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zHeading5"/>
      </w:pPr>
      <w:bookmarkStart w:id="823" w:name="_Toc530474373"/>
      <w:bookmarkStart w:id="824" w:name="_Toc530474968"/>
      <w:r>
        <w:t>25.</w:t>
      </w:r>
      <w:r>
        <w:tab/>
        <w:t>Long term lease of temporary common property</w:t>
      </w:r>
      <w:bookmarkEnd w:id="823"/>
      <w:bookmarkEnd w:id="824"/>
    </w:p>
    <w:p>
      <w:pPr>
        <w:pStyle w:val="nz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nzHeading5"/>
        <w:rPr>
          <w:snapToGrid w:val="0"/>
        </w:rPr>
      </w:pPr>
      <w:bookmarkStart w:id="825" w:name="_Toc530474374"/>
      <w:bookmarkStart w:id="826" w:name="_Toc530474969"/>
      <w:r>
        <w:t>26</w:t>
      </w:r>
      <w:r>
        <w:rPr>
          <w:snapToGrid w:val="0"/>
        </w:rPr>
        <w:t>.</w:t>
      </w:r>
      <w:r>
        <w:rPr>
          <w:snapToGrid w:val="0"/>
        </w:rPr>
        <w:tab/>
        <w:t>Long term lease or licence over common property</w:t>
      </w:r>
      <w:bookmarkEnd w:id="825"/>
      <w:bookmarkEnd w:id="826"/>
    </w:p>
    <w:p>
      <w:pPr>
        <w:pStyle w:val="nz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nzHeading3"/>
      </w:pPr>
      <w:bookmarkStart w:id="827" w:name="_Toc517437577"/>
      <w:bookmarkStart w:id="828" w:name="_Toc517438119"/>
      <w:bookmarkStart w:id="829" w:name="_Toc517440456"/>
      <w:bookmarkStart w:id="830" w:name="_Toc517447493"/>
      <w:bookmarkStart w:id="831" w:name="_Toc517449971"/>
      <w:bookmarkStart w:id="832" w:name="_Toc517450513"/>
      <w:bookmarkStart w:id="833" w:name="_Toc517856969"/>
      <w:bookmarkStart w:id="834" w:name="_Toc518293096"/>
      <w:bookmarkStart w:id="835" w:name="_Toc522744324"/>
      <w:bookmarkStart w:id="836" w:name="_Toc522747447"/>
      <w:bookmarkStart w:id="837" w:name="_Toc529183284"/>
      <w:bookmarkStart w:id="838" w:name="_Toc529188047"/>
      <w:bookmarkStart w:id="839" w:name="_Toc529434560"/>
      <w:bookmarkStart w:id="840" w:name="_Toc529524451"/>
      <w:bookmarkStart w:id="841" w:name="_Toc530474375"/>
      <w:bookmarkStart w:id="842" w:name="_Toc530474970"/>
      <w:r>
        <w:t>Division 4 — Review of decisions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zHeading5"/>
        <w:rPr>
          <w:snapToGrid w:val="0"/>
        </w:rPr>
      </w:pPr>
      <w:bookmarkStart w:id="843" w:name="_Toc530474376"/>
      <w:bookmarkStart w:id="844" w:name="_Toc530474971"/>
      <w:r>
        <w:t>27</w:t>
      </w:r>
      <w:r>
        <w:rPr>
          <w:snapToGrid w:val="0"/>
        </w:rPr>
        <w:t>.</w:t>
      </w:r>
      <w:r>
        <w:rPr>
          <w:snapToGrid w:val="0"/>
        </w:rPr>
        <w:tab/>
        <w:t>Review of Planning Commission decision</w:t>
      </w:r>
      <w:bookmarkEnd w:id="843"/>
      <w:bookmarkEnd w:id="844"/>
    </w:p>
    <w:p>
      <w:pPr>
        <w:pStyle w:val="nz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nz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nzIndenta"/>
        <w:rPr>
          <w:snapToGrid w:val="0"/>
        </w:rPr>
      </w:pPr>
      <w:r>
        <w:rPr>
          <w:snapToGrid w:val="0"/>
          <w:spacing w:val="-4"/>
        </w:rPr>
        <w:tab/>
        <w:t>(a)</w:t>
      </w:r>
      <w:r>
        <w:rPr>
          <w:snapToGrid w:val="0"/>
          <w:spacing w:val="-4"/>
        </w:rPr>
        <w:tab/>
        <w:t>to refuse to approve an application under section 15; or</w:t>
      </w:r>
    </w:p>
    <w:p>
      <w:pPr>
        <w:pStyle w:val="nzIndenta"/>
        <w:rPr>
          <w:snapToGrid w:val="0"/>
        </w:rPr>
      </w:pPr>
      <w:r>
        <w:rPr>
          <w:snapToGrid w:val="0"/>
        </w:rPr>
        <w:tab/>
        <w:t>(b)</w:t>
      </w:r>
      <w:r>
        <w:rPr>
          <w:snapToGrid w:val="0"/>
        </w:rPr>
        <w:tab/>
        <w:t>to impose a condition of an approval under section 15; or</w:t>
      </w:r>
    </w:p>
    <w:p>
      <w:pPr>
        <w:pStyle w:val="nzIndenta"/>
        <w:rPr>
          <w:snapToGrid w:val="0"/>
        </w:rPr>
      </w:pPr>
      <w:r>
        <w:rPr>
          <w:snapToGrid w:val="0"/>
        </w:rPr>
        <w:tab/>
        <w:t>(c)</w:t>
      </w:r>
      <w:r>
        <w:rPr>
          <w:snapToGrid w:val="0"/>
        </w:rPr>
        <w:tab/>
        <w:t>to refuse to vary or revoke a condition of an approval under section 15; or</w:t>
      </w:r>
    </w:p>
    <w:p>
      <w:pPr>
        <w:pStyle w:val="nz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nzIndenta"/>
        <w:rPr>
          <w:snapToGrid w:val="0"/>
        </w:rPr>
      </w:pPr>
      <w:r>
        <w:rPr>
          <w:snapToGrid w:val="0"/>
        </w:rPr>
        <w:tab/>
        <w:t>(e)</w:t>
      </w:r>
      <w:r>
        <w:rPr>
          <w:snapToGrid w:val="0"/>
        </w:rPr>
        <w:tab/>
        <w:t>to refuse to approve an amendment of a scheme plan under section 21;</w:t>
      </w:r>
    </w:p>
    <w:p>
      <w:pPr>
        <w:pStyle w:val="nz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nzSubsection"/>
      </w:pPr>
      <w:r>
        <w:tab/>
        <w:t>(3)</w:t>
      </w:r>
      <w:r>
        <w:tab/>
        <w:t xml:space="preserve">The Tribunal has jurisdiction to carry out the review in accordance with the </w:t>
      </w:r>
      <w:r>
        <w:rPr>
          <w:i/>
        </w:rPr>
        <w:t>Planning and Development Act 2005</w:t>
      </w:r>
      <w:r>
        <w:t xml:space="preserve"> Part 14.</w:t>
      </w:r>
    </w:p>
    <w:p>
      <w:pPr>
        <w:pStyle w:val="nzSubsection"/>
      </w:pPr>
      <w:r>
        <w:tab/>
        <w:t>(4)</w:t>
      </w:r>
      <w:r>
        <w:tab/>
        <w:t>Part 13 does not apply to a proceeding under this section (which is a proceeding within the Tribunal’s review jurisdiction).</w:t>
      </w:r>
    </w:p>
    <w:p>
      <w:pPr>
        <w:pStyle w:val="nz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nz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nzSubsection"/>
        <w:rPr>
          <w:snapToGrid w:val="0"/>
        </w:rPr>
      </w:pPr>
      <w:r>
        <w:rPr>
          <w:snapToGrid w:val="0"/>
        </w:rPr>
        <w:tab/>
        <w:t>(7)</w:t>
      </w:r>
      <w:r>
        <w:rPr>
          <w:snapToGrid w:val="0"/>
        </w:rPr>
        <w:tab/>
        <w:t>In this section —</w:t>
      </w:r>
    </w:p>
    <w:p>
      <w:pPr>
        <w:pStyle w:val="nzDefstart"/>
      </w:pPr>
      <w:r>
        <w:tab/>
      </w:r>
      <w:r>
        <w:rPr>
          <w:rStyle w:val="CharDefText"/>
        </w:rPr>
        <w:t>prescribed period</w:t>
      </w:r>
      <w:r>
        <w:t xml:space="preserve"> means 40 days or, if some other period is specified in the regulations, that period.</w:t>
      </w:r>
    </w:p>
    <w:p>
      <w:pPr>
        <w:pStyle w:val="nzHeading2"/>
      </w:pPr>
      <w:bookmarkStart w:id="845" w:name="_Toc517437579"/>
      <w:bookmarkStart w:id="846" w:name="_Toc517438121"/>
      <w:bookmarkStart w:id="847" w:name="_Toc517440458"/>
      <w:bookmarkStart w:id="848" w:name="_Toc517447495"/>
      <w:bookmarkStart w:id="849" w:name="_Toc517449973"/>
      <w:bookmarkStart w:id="850" w:name="_Toc517450515"/>
      <w:bookmarkStart w:id="851" w:name="_Toc517856971"/>
      <w:bookmarkStart w:id="852" w:name="_Toc518293098"/>
      <w:bookmarkStart w:id="853" w:name="_Toc522744326"/>
      <w:bookmarkStart w:id="854" w:name="_Toc522747449"/>
      <w:bookmarkStart w:id="855" w:name="_Toc529183286"/>
      <w:bookmarkStart w:id="856" w:name="_Toc529188049"/>
      <w:bookmarkStart w:id="857" w:name="_Toc529434562"/>
      <w:bookmarkStart w:id="858" w:name="_Toc529524453"/>
      <w:bookmarkStart w:id="859" w:name="_Toc530474377"/>
      <w:bookmarkStart w:id="860" w:name="_Toc530474972"/>
      <w:r>
        <w:t>Part 4</w:t>
      </w:r>
      <w:r>
        <w:rPr>
          <w:b w:val="0"/>
        </w:rPr>
        <w:t> </w:t>
      </w:r>
      <w:r>
        <w:t>—</w:t>
      </w:r>
      <w:r>
        <w:rPr>
          <w:b w:val="0"/>
        </w:rPr>
        <w:t> </w:t>
      </w:r>
      <w:r>
        <w:t>Scheme documents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nzHeading3"/>
      </w:pPr>
      <w:bookmarkStart w:id="861" w:name="_Toc517437580"/>
      <w:bookmarkStart w:id="862" w:name="_Toc517438122"/>
      <w:bookmarkStart w:id="863" w:name="_Toc517440459"/>
      <w:bookmarkStart w:id="864" w:name="_Toc517447496"/>
      <w:bookmarkStart w:id="865" w:name="_Toc517449974"/>
      <w:bookmarkStart w:id="866" w:name="_Toc517450516"/>
      <w:bookmarkStart w:id="867" w:name="_Toc517856972"/>
      <w:bookmarkStart w:id="868" w:name="_Toc518293099"/>
      <w:bookmarkStart w:id="869" w:name="_Toc522744327"/>
      <w:bookmarkStart w:id="870" w:name="_Toc522747450"/>
      <w:bookmarkStart w:id="871" w:name="_Toc529183287"/>
      <w:bookmarkStart w:id="872" w:name="_Toc529188050"/>
      <w:bookmarkStart w:id="873" w:name="_Toc529434563"/>
      <w:bookmarkStart w:id="874" w:name="_Toc529524454"/>
      <w:bookmarkStart w:id="875" w:name="_Toc530474378"/>
      <w:bookmarkStart w:id="876" w:name="_Toc530474973"/>
      <w:r>
        <w:t>Division 1 — Scheme notice</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nzHeading5"/>
      </w:pPr>
      <w:bookmarkStart w:id="877" w:name="_Toc530474379"/>
      <w:bookmarkStart w:id="878" w:name="_Toc530474974"/>
      <w:r>
        <w:t>29.</w:t>
      </w:r>
      <w:r>
        <w:tab/>
        <w:t>Scheme notice</w:t>
      </w:r>
      <w:bookmarkEnd w:id="877"/>
      <w:bookmarkEnd w:id="878"/>
    </w:p>
    <w:p>
      <w:pPr>
        <w:pStyle w:val="nzSubsection"/>
      </w:pPr>
      <w:r>
        <w:tab/>
        <w:t>(1)</w:t>
      </w:r>
      <w:r>
        <w:tab/>
        <w:t>A scheme notice for a strata titles scheme must —</w:t>
      </w:r>
    </w:p>
    <w:p>
      <w:pPr>
        <w:pStyle w:val="nzIndenta"/>
        <w:rPr>
          <w:snapToGrid w:val="0"/>
        </w:rPr>
      </w:pPr>
      <w:r>
        <w:rPr>
          <w:snapToGrid w:val="0"/>
          <w:spacing w:val="-4"/>
        </w:rPr>
        <w:tab/>
        <w:t>(a)</w:t>
      </w:r>
      <w:r>
        <w:rPr>
          <w:snapToGrid w:val="0"/>
          <w:spacing w:val="-4"/>
        </w:rPr>
        <w:tab/>
        <w:t>specify the name of the scheme; and</w:t>
      </w:r>
    </w:p>
    <w:p>
      <w:pPr>
        <w:pStyle w:val="nzIndenta"/>
        <w:rPr>
          <w:snapToGrid w:val="0"/>
        </w:rPr>
      </w:pPr>
      <w:r>
        <w:rPr>
          <w:snapToGrid w:val="0"/>
        </w:rPr>
        <w:tab/>
        <w:t>(b)</w:t>
      </w:r>
      <w:r>
        <w:rPr>
          <w:snapToGrid w:val="0"/>
        </w:rPr>
        <w:tab/>
        <w:t>specify the address for service of the strata company; and</w:t>
      </w:r>
    </w:p>
    <w:p>
      <w:pPr>
        <w:pStyle w:val="nzIndenta"/>
        <w:rPr>
          <w:snapToGrid w:val="0"/>
        </w:rPr>
      </w:pPr>
      <w:r>
        <w:rPr>
          <w:snapToGrid w:val="0"/>
        </w:rPr>
        <w:tab/>
        <w:t>(c)</w:t>
      </w:r>
      <w:r>
        <w:rPr>
          <w:snapToGrid w:val="0"/>
        </w:rPr>
        <w:tab/>
        <w:t>if it is a leasehold scheme —</w:t>
      </w:r>
    </w:p>
    <w:p>
      <w:pPr>
        <w:pStyle w:val="nzIndenti"/>
        <w:rPr>
          <w:snapToGrid w:val="0"/>
        </w:rPr>
      </w:pPr>
      <w:r>
        <w:rPr>
          <w:snapToGrid w:val="0"/>
        </w:rPr>
        <w:tab/>
        <w:t>(i)</w:t>
      </w:r>
      <w:r>
        <w:rPr>
          <w:snapToGrid w:val="0"/>
        </w:rPr>
        <w:tab/>
        <w:t>identify the scheme as a leasehold scheme; and</w:t>
      </w:r>
    </w:p>
    <w:p>
      <w:pPr>
        <w:pStyle w:val="nzIndenti"/>
        <w:rPr>
          <w:snapToGrid w:val="0"/>
        </w:rPr>
      </w:pPr>
      <w:r>
        <w:rPr>
          <w:snapToGrid w:val="0"/>
        </w:rPr>
        <w:tab/>
        <w:t>(ii)</w:t>
      </w:r>
      <w:r>
        <w:rPr>
          <w:snapToGrid w:val="0"/>
        </w:rPr>
        <w:tab/>
        <w:t>specify the expiry day for the scheme.</w:t>
      </w:r>
    </w:p>
    <w:p>
      <w:pPr>
        <w:pStyle w:val="nzSubsection"/>
      </w:pPr>
      <w:r>
        <w:tab/>
        <w:t>(2)</w:t>
      </w:r>
      <w:r>
        <w:tab/>
        <w:t>A scheme notice, or an amendment of a scheme notice, for a strata titles scheme must be in the approved form.</w:t>
      </w:r>
    </w:p>
    <w:p>
      <w:pPr>
        <w:pStyle w:val="nzHeading5"/>
      </w:pPr>
      <w:bookmarkStart w:id="879" w:name="_Toc530474380"/>
      <w:bookmarkStart w:id="880" w:name="_Toc530474975"/>
      <w:r>
        <w:t>30.</w:t>
      </w:r>
      <w:r>
        <w:tab/>
        <w:t>Scheme name and address for service of strata company</w:t>
      </w:r>
      <w:bookmarkEnd w:id="879"/>
      <w:bookmarkEnd w:id="880"/>
    </w:p>
    <w:p>
      <w:pPr>
        <w:pStyle w:val="nzSubsection"/>
      </w:pPr>
      <w:r>
        <w:tab/>
        <w:t>(1)</w:t>
      </w:r>
      <w:r>
        <w:tab/>
        <w:t>A scheme notice, or an amendment of a scheme notice to alter the name of the scheme, must not be registered if the Registrar of Titles is satisfied that the name of the scheme is undesirable.</w:t>
      </w:r>
    </w:p>
    <w:p>
      <w:pPr>
        <w:pStyle w:val="nzSubsection"/>
      </w:pPr>
      <w:r>
        <w:tab/>
        <w:t>(2)</w:t>
      </w:r>
      <w:r>
        <w:tab/>
        <w:t>An amendment of a scheme notice to alter the name of the scheme must not be registered unless the amendment is authorised by special resolution of the strata company.</w:t>
      </w:r>
    </w:p>
    <w:p>
      <w:pPr>
        <w:pStyle w:val="nzSubsection"/>
      </w:pPr>
      <w:r>
        <w:tab/>
        <w:t>(3)</w:t>
      </w:r>
      <w:r>
        <w:tab/>
        <w:t>An amendment of a scheme notice to alter the address for service of the strata company must not be registered unless the amendment is authorised by ordinary resolution of the strata company.</w:t>
      </w:r>
    </w:p>
    <w:p>
      <w:pPr>
        <w:pStyle w:val="nzHeading5"/>
      </w:pPr>
      <w:bookmarkStart w:id="881" w:name="_Toc530474381"/>
      <w:bookmarkStart w:id="882" w:name="_Toc530474976"/>
      <w:r>
        <w:t>31.</w:t>
      </w:r>
      <w:r>
        <w:tab/>
        <w:t>Postponement of expiry day for leasehold scheme</w:t>
      </w:r>
      <w:bookmarkEnd w:id="881"/>
      <w:bookmarkEnd w:id="882"/>
    </w:p>
    <w:p>
      <w:pPr>
        <w:pStyle w:val="nz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nzHeading3"/>
      </w:pPr>
      <w:bookmarkStart w:id="883" w:name="_Toc517437584"/>
      <w:bookmarkStart w:id="884" w:name="_Toc517438126"/>
      <w:bookmarkStart w:id="885" w:name="_Toc517440463"/>
      <w:bookmarkStart w:id="886" w:name="_Toc517447500"/>
      <w:bookmarkStart w:id="887" w:name="_Toc517449978"/>
      <w:bookmarkStart w:id="888" w:name="_Toc517450520"/>
      <w:bookmarkStart w:id="889" w:name="_Toc517856976"/>
      <w:bookmarkStart w:id="890" w:name="_Toc518293103"/>
      <w:bookmarkStart w:id="891" w:name="_Toc522744331"/>
      <w:bookmarkStart w:id="892" w:name="_Toc522747454"/>
      <w:bookmarkStart w:id="893" w:name="_Toc529183291"/>
      <w:bookmarkStart w:id="894" w:name="_Toc529188054"/>
      <w:bookmarkStart w:id="895" w:name="_Toc529434567"/>
      <w:bookmarkStart w:id="896" w:name="_Toc529524458"/>
      <w:bookmarkStart w:id="897" w:name="_Toc530474382"/>
      <w:bookmarkStart w:id="898" w:name="_Toc530474977"/>
      <w:r>
        <w:t>Division 2 — Scheme plans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zHeading5"/>
      </w:pPr>
      <w:bookmarkStart w:id="899" w:name="_Toc530474383"/>
      <w:bookmarkStart w:id="900" w:name="_Toc530474978"/>
      <w:r>
        <w:t>32.</w:t>
      </w:r>
      <w:r>
        <w:tab/>
        <w:t>Scheme plan</w:t>
      </w:r>
      <w:bookmarkEnd w:id="899"/>
      <w:bookmarkEnd w:id="900"/>
    </w:p>
    <w:p>
      <w:pPr>
        <w:pStyle w:val="nzSubsection"/>
      </w:pPr>
      <w:r>
        <w:tab/>
        <w:t>(1)</w:t>
      </w:r>
      <w:r>
        <w:tab/>
        <w:t>A scheme plan for a strata titles scheme must —</w:t>
      </w:r>
    </w:p>
    <w:p>
      <w:pPr>
        <w:pStyle w:val="nzIndenta"/>
        <w:rPr>
          <w:snapToGrid w:val="0"/>
        </w:rPr>
      </w:pPr>
      <w:r>
        <w:rPr>
          <w:snapToGrid w:val="0"/>
          <w:spacing w:val="-4"/>
        </w:rPr>
        <w:tab/>
        <w:t>(a)</w:t>
      </w:r>
      <w:r>
        <w:rPr>
          <w:snapToGrid w:val="0"/>
          <w:spacing w:val="-4"/>
        </w:rPr>
        <w:tab/>
        <w:t>specify the address of the land subdivided by the scheme; and</w:t>
      </w:r>
    </w:p>
    <w:p>
      <w:pPr>
        <w:pStyle w:val="nzIndenta"/>
        <w:rPr>
          <w:snapToGrid w:val="0"/>
        </w:rPr>
      </w:pPr>
      <w:r>
        <w:rPr>
          <w:snapToGrid w:val="0"/>
        </w:rPr>
        <w:tab/>
        <w:t>(b)</w:t>
      </w:r>
      <w:r>
        <w:rPr>
          <w:snapToGrid w:val="0"/>
        </w:rPr>
        <w:tab/>
        <w:t>identify the title to the land subdivided by the scheme; and</w:t>
      </w:r>
    </w:p>
    <w:p>
      <w:pPr>
        <w:pStyle w:val="nz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nzIndenta"/>
        <w:rPr>
          <w:snapToGrid w:val="0"/>
        </w:rPr>
      </w:pPr>
      <w:r>
        <w:rPr>
          <w:snapToGrid w:val="0"/>
        </w:rPr>
        <w:tab/>
        <w:t>(d)</w:t>
      </w:r>
      <w:r>
        <w:rPr>
          <w:snapToGrid w:val="0"/>
        </w:rPr>
        <w:tab/>
        <w:t>if it is a strata scheme — consist of a floor plan and a location plan; and</w:t>
      </w:r>
    </w:p>
    <w:p>
      <w:pPr>
        <w:pStyle w:val="nz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nzIndenta"/>
        <w:rPr>
          <w:snapToGrid w:val="0"/>
        </w:rPr>
      </w:pPr>
      <w:r>
        <w:rPr>
          <w:snapToGrid w:val="0"/>
        </w:rPr>
        <w:tab/>
        <w:t>(f)</w:t>
      </w:r>
      <w:r>
        <w:rPr>
          <w:snapToGrid w:val="0"/>
        </w:rPr>
        <w:tab/>
        <w:t>enable each lot in the scheme to be separately identified and located; and</w:t>
      </w:r>
    </w:p>
    <w:p>
      <w:pPr>
        <w:pStyle w:val="nz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nzIndenta"/>
      </w:pPr>
      <w:r>
        <w:tab/>
        <w:t>(h)</w:t>
      </w:r>
      <w:r>
        <w:tab/>
        <w:t xml:space="preserve">if land is or is to be vested in the Crown under the </w:t>
      </w:r>
      <w:r>
        <w:rPr>
          <w:i/>
        </w:rPr>
        <w:t>Planning and Development Act 2005</w:t>
      </w:r>
      <w:r>
        <w:t xml:space="preserve"> section 152, delineate that land; and</w:t>
      </w:r>
    </w:p>
    <w:p>
      <w:pPr>
        <w:pStyle w:val="nzIndenta"/>
      </w:pPr>
      <w:r>
        <w:tab/>
        <w:t>(i)</w:t>
      </w:r>
      <w:r>
        <w:tab/>
        <w:t>delineate areas that are roads, or are to be new roads, for the</w:t>
      </w:r>
      <w:r>
        <w:rPr>
          <w:i/>
        </w:rPr>
        <w:t xml:space="preserve"> Planning and Development Act 2005</w:t>
      </w:r>
      <w:r>
        <w:t xml:space="preserve"> section 168; and</w:t>
      </w:r>
    </w:p>
    <w:p>
      <w:pPr>
        <w:pStyle w:val="nzIndenta"/>
      </w:pPr>
      <w:r>
        <w:tab/>
        <w:t>(j)</w:t>
      </w:r>
      <w:r>
        <w:tab/>
        <w:t>if it is a strata scheme, identify the nature and extent of any part of a wall or building or material attached to a wall or building that encroaches on land outside the parcel and —</w:t>
      </w:r>
    </w:p>
    <w:p>
      <w:pPr>
        <w:pStyle w:val="nzIndenti"/>
        <w:rPr>
          <w:snapToGrid w:val="0"/>
        </w:rPr>
      </w:pPr>
      <w:r>
        <w:rPr>
          <w:snapToGrid w:val="0"/>
        </w:rPr>
        <w:tab/>
        <w:t>(i)</w:t>
      </w:r>
      <w:r>
        <w:rPr>
          <w:snapToGrid w:val="0"/>
        </w:rPr>
        <w:tab/>
        <w:t>if an encroachment is to be controlled and managed as if it were common property, specify that fact; and</w:t>
      </w:r>
    </w:p>
    <w:p>
      <w:pPr>
        <w:pStyle w:val="nzIndenti"/>
        <w:rPr>
          <w:snapToGrid w:val="0"/>
        </w:rPr>
      </w:pPr>
      <w:r>
        <w:rPr>
          <w:snapToGrid w:val="0"/>
        </w:rPr>
        <w:tab/>
        <w:t>(ii)</w:t>
      </w:r>
      <w:r>
        <w:rPr>
          <w:snapToGrid w:val="0"/>
        </w:rPr>
        <w:tab/>
        <w:t>if an encroachment is to be subject to an easement, specify that easement.</w:t>
      </w:r>
    </w:p>
    <w:p>
      <w:pPr>
        <w:pStyle w:val="nzSubsection"/>
      </w:pPr>
      <w:r>
        <w:tab/>
        <w:t>(2)</w:t>
      </w:r>
      <w:r>
        <w:tab/>
        <w:t>A scheme plan, or an amendment of a scheme plan, for a strata titles scheme may also —</w:t>
      </w:r>
    </w:p>
    <w:p>
      <w:pPr>
        <w:pStyle w:val="nzIndenta"/>
      </w:pPr>
      <w:r>
        <w:tab/>
        <w:t>(a)</w:t>
      </w:r>
      <w:r>
        <w:tab/>
        <w:t xml:space="preserve">restrict the purposes for which the whole or a part of the parcel may be used (a </w:t>
      </w:r>
      <w:r>
        <w:rPr>
          <w:rStyle w:val="CharDefText"/>
        </w:rPr>
        <w:t>restricted use condition</w:t>
      </w:r>
      <w:r>
        <w:t>); and</w:t>
      </w:r>
    </w:p>
    <w:p>
      <w:pPr>
        <w:pStyle w:val="nzIndenta"/>
      </w:pPr>
      <w:r>
        <w:tab/>
        <w:t>(b)</w:t>
      </w:r>
      <w:r>
        <w:tab/>
        <w:t>in the case of an amendment —</w:t>
      </w:r>
    </w:p>
    <w:p>
      <w:pPr>
        <w:pStyle w:val="nz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nzIndenti"/>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nzIndenta"/>
      </w:pPr>
      <w:r>
        <w:tab/>
      </w:r>
      <w:r>
        <w:tab/>
        <w:t>and</w:t>
      </w:r>
    </w:p>
    <w:p>
      <w:pPr>
        <w:pStyle w:val="nzIndenta"/>
      </w:pPr>
      <w:r>
        <w:tab/>
        <w:t>(c)</w:t>
      </w:r>
      <w:r>
        <w:tab/>
        <w:t>delineate or record easements (other than statutory easements) and restrictive covenants over the land subdivided by the scheme, including —</w:t>
      </w:r>
    </w:p>
    <w:p>
      <w:pPr>
        <w:pStyle w:val="nzIndenti"/>
      </w:pPr>
      <w:r>
        <w:tab/>
        <w:t>(i)</w:t>
      </w:r>
      <w:r>
        <w:tab/>
        <w:t>short form easements or restrictive covenants; and</w:t>
      </w:r>
    </w:p>
    <w:p>
      <w:pPr>
        <w:pStyle w:val="nzIndenti"/>
      </w:pPr>
      <w:r>
        <w:tab/>
        <w:t>(ii)</w:t>
      </w:r>
      <w:r>
        <w:tab/>
      </w:r>
      <w:r>
        <w:rPr>
          <w:snapToGrid w:val="0"/>
        </w:rPr>
        <w:t>easements</w:t>
      </w:r>
      <w:r>
        <w:t xml:space="preserve"> created under the </w:t>
      </w:r>
      <w:r>
        <w:rPr>
          <w:i/>
        </w:rPr>
        <w:t>Planning and Development Act 2005</w:t>
      </w:r>
      <w:r>
        <w:t xml:space="preserve"> section 167; and</w:t>
      </w:r>
    </w:p>
    <w:p>
      <w:pPr>
        <w:pStyle w:val="nzIndenti"/>
      </w:pPr>
      <w:r>
        <w:tab/>
        <w:t>(iii)</w:t>
      </w:r>
      <w:r>
        <w:tab/>
      </w:r>
      <w:r>
        <w:rPr>
          <w:snapToGrid w:val="0"/>
        </w:rPr>
        <w:t>easements</w:t>
      </w:r>
      <w:r>
        <w:t xml:space="preserve"> and restrictive covenants created under the </w:t>
      </w:r>
      <w:r>
        <w:rPr>
          <w:i/>
        </w:rPr>
        <w:t>Transfer of Land Act 1893</w:t>
      </w:r>
      <w:r>
        <w:t xml:space="preserve"> Part IVA;</w:t>
      </w:r>
    </w:p>
    <w:p>
      <w:pPr>
        <w:pStyle w:val="nzIndenta"/>
      </w:pPr>
      <w:r>
        <w:rPr>
          <w:snapToGrid w:val="0"/>
        </w:rPr>
        <w:tab/>
      </w:r>
      <w:r>
        <w:rPr>
          <w:snapToGrid w:val="0"/>
        </w:rPr>
        <w:tab/>
        <w:t>and</w:t>
      </w:r>
    </w:p>
    <w:p>
      <w:pPr>
        <w:pStyle w:val="nz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nzSubsection"/>
      </w:pPr>
      <w:r>
        <w:tab/>
        <w:t>(3)</w:t>
      </w:r>
      <w:r>
        <w:tab/>
        <w:t>A scheme plan, or an amendment of a scheme plan, for a strata titles scheme —</w:t>
      </w:r>
    </w:p>
    <w:p>
      <w:pPr>
        <w:pStyle w:val="nzIndenta"/>
      </w:pPr>
      <w:r>
        <w:tab/>
        <w:t>(a)</w:t>
      </w:r>
      <w:r>
        <w:tab/>
        <w:t>may consist of multiple plans, drawings and documents containing descriptions or other matters; and</w:t>
      </w:r>
    </w:p>
    <w:p>
      <w:pPr>
        <w:pStyle w:val="nzIndenta"/>
      </w:pPr>
      <w:r>
        <w:tab/>
        <w:t>(b)</w:t>
      </w:r>
      <w:r>
        <w:tab/>
        <w:t>must be in the approved form; and</w:t>
      </w:r>
    </w:p>
    <w:p>
      <w:pPr>
        <w:pStyle w:val="nzIndenta"/>
      </w:pPr>
      <w:r>
        <w:tab/>
        <w:t>(c)</w:t>
      </w:r>
      <w:r>
        <w:tab/>
        <w:t>must be prepared and certified by a licensed surveyor (except for an amendment that relates only to a restricted use condition or temporary common property and does not involve any aspect of survey).</w:t>
      </w:r>
    </w:p>
    <w:p>
      <w:pPr>
        <w:pStyle w:val="nzSubsection"/>
      </w:pPr>
      <w:r>
        <w:tab/>
        <w:t>(4)</w:t>
      </w:r>
      <w:r>
        <w:tab/>
        <w:t>A licensed surveyor must comply with the regulations and Transfer of Land Act requirements in preparing and certifying a scheme plan, or an amendment of a scheme plan, for a strata titles scheme.</w:t>
      </w:r>
    </w:p>
    <w:p>
      <w:pPr>
        <w:pStyle w:val="nzHeading5"/>
      </w:pPr>
      <w:bookmarkStart w:id="901" w:name="_Toc530474384"/>
      <w:bookmarkStart w:id="902" w:name="_Toc530474979"/>
      <w:r>
        <w:t>33.</w:t>
      </w:r>
      <w:r>
        <w:tab/>
        <w:t>Short form easements or restrictive covenants</w:t>
      </w:r>
      <w:bookmarkEnd w:id="901"/>
      <w:bookmarkEnd w:id="902"/>
    </w:p>
    <w:p>
      <w:pPr>
        <w:pStyle w:val="nz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nzIndenta"/>
      </w:pPr>
      <w:r>
        <w:tab/>
        <w:t>(a)</w:t>
      </w:r>
      <w:r>
        <w:tab/>
        <w:t>the type of easement or restrictive covenant must be identified using the description specified in the regulations;</w:t>
      </w:r>
    </w:p>
    <w:p>
      <w:pPr>
        <w:pStyle w:val="nzIndenta"/>
      </w:pPr>
      <w:r>
        <w:tab/>
        <w:t>(b)</w:t>
      </w:r>
      <w:r>
        <w:tab/>
        <w:t>for an easement, its location must be delineated in the manner specified in the regulations;</w:t>
      </w:r>
    </w:p>
    <w:p>
      <w:pPr>
        <w:pStyle w:val="nzIndenta"/>
      </w:pPr>
      <w:r>
        <w:tab/>
        <w:t>(c)</w:t>
      </w:r>
      <w:r>
        <w:tab/>
        <w:t>the lots and common property benefited and burdened by the easement or restrictive covenant must be identified in the manner specified in the regulations;</w:t>
      </w:r>
    </w:p>
    <w:p>
      <w:pPr>
        <w:pStyle w:val="nzIndenta"/>
      </w:pPr>
      <w:r>
        <w:tab/>
        <w:t>(d)</w:t>
      </w:r>
      <w:r>
        <w:tab/>
        <w:t>any other requirements specified in the regulations must be complied with.</w:t>
      </w:r>
    </w:p>
    <w:p>
      <w:pPr>
        <w:pStyle w:val="nzSubsection"/>
      </w:pPr>
      <w:r>
        <w:tab/>
        <w:t>(2)</w:t>
      </w:r>
      <w:r>
        <w:tab/>
        <w:t>The nature of a short form easement or restrictive covenant and the rights and liabilities under the easement or restrictive covenant are as specified in the regulations.</w:t>
      </w:r>
    </w:p>
    <w:p>
      <w:pPr>
        <w:pStyle w:val="nzSubsection"/>
      </w:pPr>
      <w:r>
        <w:tab/>
        <w:t>(3)</w:t>
      </w:r>
      <w:r>
        <w:tab/>
        <w:t>The liabilities specified in the regulations may include positive obligations.</w:t>
      </w:r>
    </w:p>
    <w:p>
      <w:pPr>
        <w:pStyle w:val="nzSubsection"/>
      </w:pPr>
      <w:r>
        <w:tab/>
        <w:t>(4)</w:t>
      </w:r>
      <w:r>
        <w:tab/>
        <w:t>A short form easement or restrictive covenant runs with the land and is binding on the owners, from time to time, of lots in the strata titles scheme.</w:t>
      </w:r>
    </w:p>
    <w:p>
      <w:pPr>
        <w:pStyle w:val="nz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nzSubsection"/>
      </w:pPr>
      <w:r>
        <w:tab/>
        <w:t>(6)</w:t>
      </w:r>
      <w:r>
        <w:tab/>
        <w:t>A short form easement or restrictive covenant is discharged by —</w:t>
      </w:r>
    </w:p>
    <w:p>
      <w:pPr>
        <w:pStyle w:val="nzIndenta"/>
      </w:pPr>
      <w:r>
        <w:tab/>
        <w:t>(a)</w:t>
      </w:r>
      <w:r>
        <w:tab/>
        <w:t>registration of an amendment of the scheme plan to give effect to the discharge; or</w:t>
      </w:r>
    </w:p>
    <w:p>
      <w:pPr>
        <w:pStyle w:val="nzIndenta"/>
      </w:pPr>
      <w:r>
        <w:tab/>
        <w:t>(b)</w:t>
      </w:r>
      <w:r>
        <w:tab/>
        <w:t>termination of the strata titles scheme.</w:t>
      </w:r>
    </w:p>
    <w:p>
      <w:pPr>
        <w:pStyle w:val="nzSubsection"/>
      </w:pPr>
      <w:r>
        <w:tab/>
        <w:t>(7)</w:t>
      </w:r>
      <w:r>
        <w:tab/>
        <w:t>A short form easement or restrictive covenant has effect even if the lot benefited and the lot burdened have the same owner.</w:t>
      </w:r>
    </w:p>
    <w:p>
      <w:pPr>
        <w:pStyle w:val="nzSubsection"/>
      </w:pPr>
      <w:r>
        <w:tab/>
        <w:t>(8)</w:t>
      </w:r>
      <w:r>
        <w:tab/>
        <w:t xml:space="preserve">The </w:t>
      </w:r>
      <w:r>
        <w:rPr>
          <w:i/>
        </w:rPr>
        <w:t>Property Law Act 1969</w:t>
      </w:r>
      <w:r>
        <w:t xml:space="preserve"> section 121 does not apply to a short form easement or restrictive covenant.</w:t>
      </w:r>
    </w:p>
    <w:p>
      <w:pPr>
        <w:pStyle w:val="nzSubsection"/>
      </w:pPr>
      <w:r>
        <w:tab/>
        <w:t>(9)</w:t>
      </w:r>
      <w:r>
        <w:tab/>
        <w:t>This section does not derogate from</w:t>
      </w:r>
      <w:r>
        <w:rPr>
          <w:snapToGrid w:val="0"/>
        </w:rPr>
        <w:t xml:space="preserve"> any other method by which an easement or restrictive covenant may be created over a parcel.</w:t>
      </w:r>
    </w:p>
    <w:p>
      <w:pPr>
        <w:pStyle w:val="nzHeading5"/>
      </w:pPr>
      <w:bookmarkStart w:id="903" w:name="_Toc530474385"/>
      <w:bookmarkStart w:id="904" w:name="_Toc530474980"/>
      <w:r>
        <w:t>34.</w:t>
      </w:r>
      <w:r>
        <w:tab/>
        <w:t>Requirements for registration of scheme plan</w:t>
      </w:r>
      <w:bookmarkEnd w:id="903"/>
      <w:bookmarkEnd w:id="904"/>
    </w:p>
    <w:p>
      <w:pPr>
        <w:pStyle w:val="nzSubsection"/>
      </w:pPr>
      <w:r>
        <w:tab/>
      </w:r>
      <w:r>
        <w:tab/>
        <w:t>A scheme plan for a strata titles scheme must not be registered unless —</w:t>
      </w:r>
    </w:p>
    <w:p>
      <w:pPr>
        <w:pStyle w:val="nzIndenta"/>
      </w:pPr>
      <w:r>
        <w:tab/>
        <w:t>(a)</w:t>
      </w:r>
      <w:r>
        <w:tab/>
        <w:t>the owner of the parcel is the applicant for registration or has given written consent to the subdivision of the parcel by the strata titles scheme; and</w:t>
      </w:r>
    </w:p>
    <w:p>
      <w:pPr>
        <w:pStyle w:val="nzIndenta"/>
      </w:pPr>
      <w:r>
        <w:tab/>
        <w:t>(b)</w:t>
      </w:r>
      <w:r>
        <w:tab/>
        <w:t>the holder of each designated interest over the whole or a part of the parcel to be subdivided by registration of the scheme —</w:t>
      </w:r>
    </w:p>
    <w:p>
      <w:pPr>
        <w:pStyle w:val="nzIndenti"/>
      </w:pPr>
      <w:r>
        <w:tab/>
        <w:t>(i)</w:t>
      </w:r>
      <w:r>
        <w:tab/>
        <w:t>has been given notice in the approved form of the subdivision and the schedule of unit entitlements; and</w:t>
      </w:r>
    </w:p>
    <w:p>
      <w:pPr>
        <w:pStyle w:val="nzIndenti"/>
      </w:pPr>
      <w:r>
        <w:tab/>
        <w:t>(ii)</w:t>
      </w:r>
      <w:r>
        <w:tab/>
        <w:t>has given written consent to the subdivision;</w:t>
      </w:r>
    </w:p>
    <w:p>
      <w:pPr>
        <w:pStyle w:val="nzIndenta"/>
      </w:pPr>
      <w:r>
        <w:tab/>
      </w:r>
      <w:r>
        <w:tab/>
        <w:t>and</w:t>
      </w:r>
    </w:p>
    <w:p>
      <w:pPr>
        <w:pStyle w:val="nzIndenta"/>
      </w:pPr>
      <w:r>
        <w:tab/>
        <w:t>(c)</w:t>
      </w:r>
      <w:r>
        <w:tab/>
        <w:t>the scheme plan is approved by the Planning Commission (subject to any exemption in regulations under section 15(6)); and</w:t>
      </w:r>
    </w:p>
    <w:p>
      <w:pPr>
        <w:pStyle w:val="nzIndenta"/>
      </w:pPr>
      <w:r>
        <w:tab/>
        <w:t>(d)</w:t>
      </w:r>
      <w:r>
        <w:tab/>
        <w:t>for a strata scheme —</w:t>
      </w:r>
    </w:p>
    <w:p>
      <w:pPr>
        <w:pStyle w:val="nz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nz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nzHeading5"/>
      </w:pPr>
      <w:bookmarkStart w:id="905" w:name="_Toc530474386"/>
      <w:bookmarkStart w:id="906" w:name="_Toc530474981"/>
      <w:r>
        <w:t>35.</w:t>
      </w:r>
      <w:r>
        <w:tab/>
        <w:t>Requirements for registration of amendment of scheme plan</w:t>
      </w:r>
      <w:bookmarkEnd w:id="905"/>
      <w:bookmarkEnd w:id="906"/>
    </w:p>
    <w:p>
      <w:pPr>
        <w:pStyle w:val="nzSubsection"/>
      </w:pPr>
      <w:r>
        <w:tab/>
        <w:t>(1)</w:t>
      </w:r>
      <w:r>
        <w:tab/>
        <w:t>An amendment of a scheme plan for a strata titles scheme must not be registered unless —</w:t>
      </w:r>
    </w:p>
    <w:p>
      <w:pPr>
        <w:pStyle w:val="nzIndenta"/>
      </w:pPr>
      <w:r>
        <w:tab/>
        <w:t>(a)</w:t>
      </w:r>
      <w:r>
        <w:tab/>
        <w:t>for a leasehold scheme, the owner of the leasehold scheme is the applicant for registration or has given written consent to the amendment; and</w:t>
      </w:r>
    </w:p>
    <w:p>
      <w:pPr>
        <w:pStyle w:val="nzIndenta"/>
      </w:pPr>
      <w:r>
        <w:tab/>
        <w:t>(b)</w:t>
      </w:r>
      <w:r>
        <w:tab/>
        <w:t>to the extent that the amendment gives effect to a type 1 subdivision —</w:t>
      </w:r>
    </w:p>
    <w:p>
      <w:pPr>
        <w:pStyle w:val="nzIndenti"/>
      </w:pPr>
      <w:r>
        <w:tab/>
        <w:t>(i)</w:t>
      </w:r>
      <w:r>
        <w:tab/>
        <w:t>the subdivision is authorised by resolution without dissent of the strata company; and</w:t>
      </w:r>
    </w:p>
    <w:p>
      <w:pPr>
        <w:pStyle w:val="nzIndenti"/>
      </w:pPr>
      <w:r>
        <w:tab/>
        <w:t>(ii)</w:t>
      </w:r>
      <w:r>
        <w:tab/>
        <w:t>each owner of a lot affected by the amendment who is not an applicant for registration of the amendment —</w:t>
      </w:r>
    </w:p>
    <w:p>
      <w:pPr>
        <w:pStyle w:val="nzIndentI0"/>
      </w:pPr>
      <w:r>
        <w:tab/>
        <w:t>(I)</w:t>
      </w:r>
      <w:r>
        <w:tab/>
        <w:t>has been given notice in the approved form of the subdivision and any associated amendment of the schedule of unit entitlements; and</w:t>
      </w:r>
    </w:p>
    <w:p>
      <w:pPr>
        <w:pStyle w:val="nzIndentI0"/>
      </w:pPr>
      <w:r>
        <w:tab/>
        <w:t>(II)</w:t>
      </w:r>
      <w:r>
        <w:tab/>
        <w:t>has given written consent to the amendment;</w:t>
      </w:r>
    </w:p>
    <w:p>
      <w:pPr>
        <w:pStyle w:val="nzIndenti"/>
      </w:pPr>
      <w:r>
        <w:tab/>
      </w:r>
      <w:r>
        <w:tab/>
        <w:t>and</w:t>
      </w:r>
    </w:p>
    <w:p>
      <w:pPr>
        <w:pStyle w:val="nzIndenti"/>
      </w:pPr>
      <w:r>
        <w:tab/>
        <w:t>(iii)</w:t>
      </w:r>
      <w:r>
        <w:tab/>
        <w:t>if the owner of a lot affected by the amendment holds a life estate in the land, the person who holds the remainder or reversionary interest in the land —</w:t>
      </w:r>
    </w:p>
    <w:p>
      <w:pPr>
        <w:pStyle w:val="nzIndentI0"/>
      </w:pPr>
      <w:r>
        <w:tab/>
        <w:t>(I)</w:t>
      </w:r>
      <w:r>
        <w:tab/>
        <w:t>has been given notice in the approved form of the subdivision and any associated amendment of the schedule of unit entitlements; and</w:t>
      </w:r>
    </w:p>
    <w:p>
      <w:pPr>
        <w:pStyle w:val="nzIndentI0"/>
      </w:pPr>
      <w:r>
        <w:tab/>
        <w:t>(II)</w:t>
      </w:r>
      <w:r>
        <w:tab/>
        <w:t>has given written consent to the amendment;</w:t>
      </w:r>
    </w:p>
    <w:p>
      <w:pPr>
        <w:pStyle w:val="nzIndenti"/>
      </w:pPr>
      <w:r>
        <w:tab/>
      </w:r>
      <w:r>
        <w:tab/>
        <w:t>and</w:t>
      </w:r>
    </w:p>
    <w:p>
      <w:pPr>
        <w:pStyle w:val="nzIndenti"/>
      </w:pPr>
      <w:r>
        <w:tab/>
        <w:t>(iv)</w:t>
      </w:r>
      <w:r>
        <w:tab/>
        <w:t>each designated interest in land that is to become common property has been discharged, surrendered, withdrawn or otherwise extinguished;</w:t>
      </w:r>
    </w:p>
    <w:p>
      <w:pPr>
        <w:pStyle w:val="nzIndenta"/>
      </w:pPr>
      <w:r>
        <w:tab/>
      </w:r>
      <w:r>
        <w:tab/>
        <w:t>and</w:t>
      </w:r>
    </w:p>
    <w:p>
      <w:pPr>
        <w:pStyle w:val="nzIndenta"/>
      </w:pPr>
      <w:r>
        <w:tab/>
        <w:t>(c)</w:t>
      </w:r>
      <w:r>
        <w:tab/>
        <w:t>to the extent that the amendment gives effect to a type 2 subdivision —</w:t>
      </w:r>
    </w:p>
    <w:p>
      <w:pPr>
        <w:pStyle w:val="nzIndenti"/>
      </w:pPr>
      <w:r>
        <w:tab/>
        <w:t>(i)</w:t>
      </w:r>
      <w:r>
        <w:tab/>
        <w:t>the subdivision is authorised by resolution without dissent of the strata company; and</w:t>
      </w:r>
    </w:p>
    <w:p>
      <w:pPr>
        <w:pStyle w:val="nz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nzIndentI0"/>
      </w:pPr>
      <w:r>
        <w:tab/>
        <w:t>(I)</w:t>
      </w:r>
      <w:r>
        <w:tab/>
        <w:t>has given written consent to the subdivision; or</w:t>
      </w:r>
    </w:p>
    <w:p>
      <w:pPr>
        <w:pStyle w:val="nzIndentI0"/>
      </w:pPr>
      <w:r>
        <w:tab/>
        <w:t>(II)</w:t>
      </w:r>
      <w:r>
        <w:tab/>
        <w:t>has not, at the end of 60 days after being given notice, made a written objection to the subdivision setting out the reasons for the objection;</w:t>
      </w:r>
    </w:p>
    <w:p>
      <w:pPr>
        <w:pStyle w:val="nzIndenta"/>
      </w:pPr>
      <w:r>
        <w:tab/>
      </w:r>
      <w:r>
        <w:tab/>
        <w:t>and</w:t>
      </w:r>
    </w:p>
    <w:p>
      <w:pPr>
        <w:pStyle w:val="nzIndenta"/>
      </w:pPr>
      <w:r>
        <w:tab/>
        <w:t>(d)</w:t>
      </w:r>
      <w:r>
        <w:tab/>
        <w:t>to the extent that the amendment gives effect to a type 3 subdivision —</w:t>
      </w:r>
    </w:p>
    <w:p>
      <w:pPr>
        <w:pStyle w:val="nzIndenti"/>
      </w:pPr>
      <w:r>
        <w:tab/>
        <w:t>(i)</w:t>
      </w:r>
      <w:r>
        <w:tab/>
        <w:t>each owner of a lot affected by the amendment who is not an applicant for registration of the amendment —</w:t>
      </w:r>
    </w:p>
    <w:p>
      <w:pPr>
        <w:pStyle w:val="nzIndentI0"/>
      </w:pPr>
      <w:r>
        <w:tab/>
        <w:t>(I)</w:t>
      </w:r>
      <w:r>
        <w:tab/>
        <w:t>has been given notice in the approved form of the subdivision and any associated amendment of the schedule of unit entitlements; and</w:t>
      </w:r>
    </w:p>
    <w:p>
      <w:pPr>
        <w:pStyle w:val="nzIndentI0"/>
      </w:pPr>
      <w:r>
        <w:tab/>
        <w:t>(II)</w:t>
      </w:r>
      <w:r>
        <w:tab/>
        <w:t>has given written consent to the amendment;</w:t>
      </w:r>
    </w:p>
    <w:p>
      <w:pPr>
        <w:pStyle w:val="nzIndenti"/>
      </w:pPr>
      <w:r>
        <w:tab/>
      </w:r>
      <w:r>
        <w:tab/>
        <w:t>and</w:t>
      </w:r>
    </w:p>
    <w:p>
      <w:pPr>
        <w:pStyle w:val="nzIndenti"/>
      </w:pPr>
      <w:r>
        <w:tab/>
        <w:t>(ii)</w:t>
      </w:r>
      <w:r>
        <w:tab/>
        <w:t>if the owner of a lot affected by the amendment holds a life estate in the land, the person who holds the remainder or reversionary interest in the land —</w:t>
      </w:r>
    </w:p>
    <w:p>
      <w:pPr>
        <w:pStyle w:val="nzIndentI0"/>
      </w:pPr>
      <w:r>
        <w:tab/>
        <w:t>(I)</w:t>
      </w:r>
      <w:r>
        <w:tab/>
        <w:t>has been given notice in the approved form of the subdivision and any associated amendment of the schedule of unit entitlements; and</w:t>
      </w:r>
    </w:p>
    <w:p>
      <w:pPr>
        <w:pStyle w:val="nzIndentI0"/>
      </w:pPr>
      <w:r>
        <w:tab/>
        <w:t>(II)</w:t>
      </w:r>
      <w:r>
        <w:tab/>
        <w:t>has given written consent to the amendment;</w:t>
      </w:r>
    </w:p>
    <w:p>
      <w:pPr>
        <w:pStyle w:val="nzIndenti"/>
      </w:pPr>
      <w:r>
        <w:tab/>
      </w:r>
      <w:r>
        <w:tab/>
        <w:t>and</w:t>
      </w:r>
    </w:p>
    <w:p>
      <w:pPr>
        <w:pStyle w:val="nz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nzIndentI0"/>
      </w:pPr>
      <w:r>
        <w:tab/>
        <w:t>(I)</w:t>
      </w:r>
      <w:r>
        <w:tab/>
        <w:t>has given written consent to the amendment; or</w:t>
      </w:r>
    </w:p>
    <w:p>
      <w:pPr>
        <w:pStyle w:val="nzIndentI0"/>
      </w:pPr>
      <w:r>
        <w:tab/>
        <w:t>(II)</w:t>
      </w:r>
      <w:r>
        <w:tab/>
        <w:t>has not, at the end of 60 days after being given notice, made a written objection to the amendment setting out the reasons for the objection;</w:t>
      </w:r>
    </w:p>
    <w:p>
      <w:pPr>
        <w:pStyle w:val="nzIndenta"/>
      </w:pPr>
      <w:r>
        <w:tab/>
      </w:r>
      <w:r>
        <w:tab/>
        <w:t>and</w:t>
      </w:r>
    </w:p>
    <w:p>
      <w:pPr>
        <w:pStyle w:val="nzIndenta"/>
      </w:pPr>
      <w:r>
        <w:tab/>
        <w:t>(e)</w:t>
      </w:r>
      <w:r>
        <w:tab/>
        <w:t>to the extent that the amendment gives effect to a type 4 subdivision —</w:t>
      </w:r>
    </w:p>
    <w:p>
      <w:pPr>
        <w:pStyle w:val="nzIndenti"/>
      </w:pPr>
      <w:r>
        <w:tab/>
        <w:t>(i)</w:t>
      </w:r>
      <w:r>
        <w:tab/>
        <w:t>the amendment is authorised by unanimous resolution of the strata company; and</w:t>
      </w:r>
    </w:p>
    <w:p>
      <w:pPr>
        <w:pStyle w:val="nz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nzIndentI0"/>
      </w:pPr>
      <w:r>
        <w:tab/>
        <w:t>(I)</w:t>
      </w:r>
      <w:r>
        <w:tab/>
        <w:t>has given written consent to the subdivision; or</w:t>
      </w:r>
    </w:p>
    <w:p>
      <w:pPr>
        <w:pStyle w:val="nzIndentI0"/>
      </w:pPr>
      <w:r>
        <w:tab/>
        <w:t>(II)</w:t>
      </w:r>
      <w:r>
        <w:tab/>
        <w:t>has not, at the end of 60 days after being given notice, made a written objection to the subdivision setting out the reasons for the objection;</w:t>
      </w:r>
    </w:p>
    <w:p>
      <w:pPr>
        <w:pStyle w:val="nzIndenta"/>
      </w:pPr>
      <w:r>
        <w:tab/>
      </w:r>
      <w:r>
        <w:tab/>
        <w:t>and</w:t>
      </w:r>
    </w:p>
    <w:p>
      <w:pPr>
        <w:pStyle w:val="nzIndenta"/>
      </w:pPr>
      <w:r>
        <w:tab/>
        <w:t>(f)</w:t>
      </w:r>
      <w:r>
        <w:tab/>
        <w:t>to the extent that the amendment gives effect to any type of subdivision — the amendment is approved by the Planning Commission (subject to any exemption in regulations under section 15(6)); and</w:t>
      </w:r>
    </w:p>
    <w:p>
      <w:pPr>
        <w:pStyle w:val="nzIndenta"/>
      </w:pPr>
      <w:r>
        <w:tab/>
        <w:t>(g)</w:t>
      </w:r>
      <w:r>
        <w:tab/>
        <w:t>to the extent that the amendment imposes, varies or revokes a restricted use condition, the imposition, variation or revocation —</w:t>
      </w:r>
    </w:p>
    <w:p>
      <w:pPr>
        <w:pStyle w:val="nzIndenti"/>
      </w:pPr>
      <w:r>
        <w:tab/>
        <w:t>(i)</w:t>
      </w:r>
      <w:r>
        <w:tab/>
        <w:t>has been approved by the Planning Commission under section 21; and</w:t>
      </w:r>
    </w:p>
    <w:p>
      <w:pPr>
        <w:pStyle w:val="nzIndenti"/>
      </w:pPr>
      <w:r>
        <w:tab/>
        <w:t>(ii)</w:t>
      </w:r>
      <w:r>
        <w:tab/>
        <w:t>is authorised by resolution without dissent of the strata company;</w:t>
      </w:r>
    </w:p>
    <w:p>
      <w:pPr>
        <w:pStyle w:val="nzIndenta"/>
      </w:pPr>
      <w:r>
        <w:tab/>
      </w:r>
      <w:r>
        <w:tab/>
        <w:t>and</w:t>
      </w:r>
    </w:p>
    <w:p>
      <w:pPr>
        <w:pStyle w:val="nz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nzIndenta"/>
      </w:pPr>
      <w:r>
        <w:tab/>
        <w:t>(i)</w:t>
      </w:r>
      <w:r>
        <w:tab/>
        <w:t>to the extent that the amendment creates or discharges an easement or restrictive covenant —</w:t>
      </w:r>
    </w:p>
    <w:p>
      <w:pPr>
        <w:pStyle w:val="nzIndenti"/>
      </w:pPr>
      <w:r>
        <w:tab/>
        <w:t>(i)</w:t>
      </w:r>
      <w:r>
        <w:tab/>
        <w:t>for a short form easement or restrictive covenant — the amendment of the scheme plan is approved by the Planning Commission;</w:t>
      </w:r>
    </w:p>
    <w:p>
      <w:pPr>
        <w:pStyle w:val="nzIndenti"/>
      </w:pPr>
      <w:r>
        <w:tab/>
        <w:t>(ii)</w:t>
      </w:r>
      <w:r>
        <w:tab/>
        <w:t>in the case of an amendment affecting the common property — the amendment is authorised by resolution without dissent of the strata company; and</w:t>
      </w:r>
    </w:p>
    <w:p>
      <w:pPr>
        <w:pStyle w:val="nzIndenti"/>
      </w:pPr>
      <w:r>
        <w:tab/>
        <w:t>(iii)</w:t>
      </w:r>
      <w:r>
        <w:tab/>
        <w:t>in the case of an amendment affecting a lot — the owner of the lot has given written consent to the amendment; and</w:t>
      </w:r>
    </w:p>
    <w:p>
      <w:pPr>
        <w:pStyle w:val="nzIndenti"/>
      </w:pPr>
      <w:r>
        <w:tab/>
        <w:t>(iv)</w:t>
      </w:r>
      <w:r>
        <w:tab/>
        <w:t>in any case — the holder of each designated interest over the common property or a lot affected by the amendment has been given notice in the approved form of the amendment and —</w:t>
      </w:r>
    </w:p>
    <w:p>
      <w:pPr>
        <w:pStyle w:val="nzIndentI0"/>
      </w:pPr>
      <w:r>
        <w:tab/>
        <w:t>(I)</w:t>
      </w:r>
      <w:r>
        <w:tab/>
        <w:t>has given written consent to the subdivision; or</w:t>
      </w:r>
    </w:p>
    <w:p>
      <w:pPr>
        <w:pStyle w:val="nzIndentI0"/>
      </w:pPr>
      <w:r>
        <w:tab/>
        <w:t>(II)</w:t>
      </w:r>
      <w:r>
        <w:tab/>
        <w:t>has not, at the end of 60 days after being given notice, made a written objection to the creation or discharge setting out the reasons for the objection;</w:t>
      </w:r>
    </w:p>
    <w:p>
      <w:pPr>
        <w:pStyle w:val="nzIndenta"/>
      </w:pPr>
      <w:r>
        <w:tab/>
      </w:r>
      <w:r>
        <w:tab/>
        <w:t>and</w:t>
      </w:r>
    </w:p>
    <w:p>
      <w:pPr>
        <w:pStyle w:val="nzIndenta"/>
      </w:pPr>
      <w:r>
        <w:tab/>
        <w:t>(j)</w:t>
      </w:r>
      <w:r>
        <w:tab/>
        <w:t>for a strata scheme —</w:t>
      </w:r>
    </w:p>
    <w:p>
      <w:pPr>
        <w:pStyle w:val="nz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nz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nz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nzSubsection"/>
      </w:pPr>
      <w:r>
        <w:tab/>
        <w:t>(3)</w:t>
      </w:r>
      <w:r>
        <w:tab/>
        <w:t>In considering whether an objection is unreasonable, the Tribunal may consider —</w:t>
      </w:r>
    </w:p>
    <w:p>
      <w:pPr>
        <w:pStyle w:val="nzIndenta"/>
      </w:pPr>
      <w:r>
        <w:tab/>
        <w:t>(a)</w:t>
      </w:r>
      <w:r>
        <w:tab/>
        <w:t>the merits of the proposed amendment of the strata titles scheme; and</w:t>
      </w:r>
    </w:p>
    <w:p>
      <w:pPr>
        <w:pStyle w:val="nzIndenta"/>
      </w:pPr>
      <w:r>
        <w:tab/>
        <w:t>(b)</w:t>
      </w:r>
      <w:r>
        <w:tab/>
        <w:t>the grounds for the objection; and</w:t>
      </w:r>
    </w:p>
    <w:p>
      <w:pPr>
        <w:pStyle w:val="nzIndenta"/>
      </w:pPr>
      <w:r>
        <w:tab/>
        <w:t>(c)</w:t>
      </w:r>
      <w:r>
        <w:tab/>
        <w:t>any other factor the Tribunal considers relevant.</w:t>
      </w:r>
    </w:p>
    <w:p>
      <w:pPr>
        <w:pStyle w:val="nzSubsection"/>
      </w:pPr>
      <w:r>
        <w:tab/>
        <w:t>(4)</w:t>
      </w:r>
      <w:r>
        <w:tab/>
        <w:t>If the Tribunal makes such an order, the applicant must lodge a copy of the order certified by the Tribunal with the Registrar of Titles.</w:t>
      </w:r>
    </w:p>
    <w:p>
      <w:pPr>
        <w:pStyle w:val="nzSubsection"/>
      </w:pPr>
      <w:r>
        <w:tab/>
        <w:t>(5)</w:t>
      </w:r>
      <w:r>
        <w:tab/>
        <w:t>The notice of a resolution for an amendment of a scheme plan must include details of the proposed amendment, and any associated amendment of the schedule of unit entitlements, in the approved form.</w:t>
      </w:r>
    </w:p>
    <w:p>
      <w:pPr>
        <w:pStyle w:val="nzPermNoteHeading"/>
      </w:pPr>
      <w:r>
        <w:tab/>
        <w:t>Note for this section:</w:t>
      </w:r>
    </w:p>
    <w:p>
      <w:pPr>
        <w:pStyle w:val="nzPermNoteText"/>
      </w:pPr>
      <w:r>
        <w:tab/>
      </w:r>
      <w:r>
        <w:tab/>
        <w:t>For when an amendment of a scheme plan affects the common property or a lot, see section 3(7).</w:t>
      </w:r>
    </w:p>
    <w:p>
      <w:pPr>
        <w:pStyle w:val="nzHeading5"/>
      </w:pPr>
      <w:bookmarkStart w:id="907" w:name="_Toc530474387"/>
      <w:bookmarkStart w:id="908" w:name="_Toc530474982"/>
      <w:r>
        <w:t>36.</w:t>
      </w:r>
      <w:r>
        <w:tab/>
        <w:t>Exemption for staged subdivision</w:t>
      </w:r>
      <w:bookmarkEnd w:id="907"/>
      <w:bookmarkEnd w:id="908"/>
    </w:p>
    <w:p>
      <w:pPr>
        <w:pStyle w:val="nzSubsection"/>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nzIndenta"/>
      </w:pPr>
      <w:r>
        <w:tab/>
        <w:t>(a)</w:t>
      </w:r>
      <w:r>
        <w:tab/>
        <w:t>section 35(1)(a) to (e) do not apply; and</w:t>
      </w:r>
    </w:p>
    <w:p>
      <w:pPr>
        <w:pStyle w:val="nz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nzPermNoteHeading"/>
      </w:pPr>
      <w:r>
        <w:tab/>
        <w:t>Note for this section:</w:t>
      </w:r>
    </w:p>
    <w:p>
      <w:pPr>
        <w:pStyle w:val="nz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nzHeading3"/>
      </w:pPr>
      <w:bookmarkStart w:id="909" w:name="_Toc517437590"/>
      <w:bookmarkStart w:id="910" w:name="_Toc517438132"/>
      <w:bookmarkStart w:id="911" w:name="_Toc517440469"/>
      <w:bookmarkStart w:id="912" w:name="_Toc517447506"/>
      <w:bookmarkStart w:id="913" w:name="_Toc517449984"/>
      <w:bookmarkStart w:id="914" w:name="_Toc517450526"/>
      <w:bookmarkStart w:id="915" w:name="_Toc517856982"/>
      <w:bookmarkStart w:id="916" w:name="_Toc518293109"/>
      <w:bookmarkStart w:id="917" w:name="_Toc522744337"/>
      <w:bookmarkStart w:id="918" w:name="_Toc522747460"/>
      <w:bookmarkStart w:id="919" w:name="_Toc529183297"/>
      <w:bookmarkStart w:id="920" w:name="_Toc529188060"/>
      <w:bookmarkStart w:id="921" w:name="_Toc529434573"/>
      <w:bookmarkStart w:id="922" w:name="_Toc529524464"/>
      <w:bookmarkStart w:id="923" w:name="_Toc530474388"/>
      <w:bookmarkStart w:id="924" w:name="_Toc530474983"/>
      <w:r>
        <w:t>Division 3 — Schedule of unit entitlements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nzHeading5"/>
      </w:pPr>
      <w:bookmarkStart w:id="925" w:name="_Toc530474389"/>
      <w:bookmarkStart w:id="926" w:name="_Toc530474984"/>
      <w:r>
        <w:t>37.</w:t>
      </w:r>
      <w:r>
        <w:tab/>
        <w:t>Schedule of unit entitlements</w:t>
      </w:r>
      <w:bookmarkEnd w:id="925"/>
      <w:bookmarkEnd w:id="926"/>
    </w:p>
    <w:p>
      <w:pPr>
        <w:pStyle w:val="nzSubsection"/>
      </w:pPr>
      <w:r>
        <w:tab/>
        <w:t>(1)</w:t>
      </w:r>
      <w:r>
        <w:tab/>
        <w:t>The schedule of unit entitlements for a strata titles scheme must —</w:t>
      </w:r>
    </w:p>
    <w:p>
      <w:pPr>
        <w:pStyle w:val="nzIndenta"/>
      </w:pPr>
      <w:r>
        <w:tab/>
        <w:t>(a)</w:t>
      </w:r>
      <w:r>
        <w:tab/>
        <w:t xml:space="preserve">allocate a whole number (a </w:t>
      </w:r>
      <w:r>
        <w:rPr>
          <w:rStyle w:val="CharDefText"/>
        </w:rPr>
        <w:t>unit entitlement</w:t>
      </w:r>
      <w:r>
        <w:t>) to each lot in the strata titles scheme; and</w:t>
      </w:r>
    </w:p>
    <w:p>
      <w:pPr>
        <w:pStyle w:val="nzIndenta"/>
      </w:pPr>
      <w:r>
        <w:tab/>
        <w:t>(b)</w:t>
      </w:r>
      <w:r>
        <w:tab/>
        <w:t>state the number that is the sum of the unit entitlements of all the lots in the strata titles scheme.</w:t>
      </w:r>
    </w:p>
    <w:p>
      <w:pPr>
        <w:pStyle w:val="nzPermNoteHeading"/>
      </w:pPr>
      <w:r>
        <w:tab/>
        <w:t>Note for this subsection:</w:t>
      </w:r>
    </w:p>
    <w:p>
      <w:pPr>
        <w:pStyle w:val="nzPermNoteText"/>
      </w:pPr>
      <w:r>
        <w:tab/>
      </w:r>
      <w:r>
        <w:tab/>
        <w:t>The unit entitlement of a lot determines —</w:t>
      </w:r>
    </w:p>
    <w:p>
      <w:pPr>
        <w:pStyle w:val="nzPermNoteText"/>
      </w:pPr>
      <w:r>
        <w:t>the interest of the owner of the lot in the common property in the strata titles scheme: see section 13; and</w:t>
      </w:r>
    </w:p>
    <w:p>
      <w:pPr>
        <w:pStyle w:val="nzPermNoteText"/>
      </w:pPr>
      <w:r>
        <w:t>subject to the scheme by</w:t>
      </w:r>
      <w:r>
        <w:noBreakHyphen/>
        <w:t>laws, the contributions payable by the owner of a lot in the scheme: see section 100; and</w:t>
      </w:r>
    </w:p>
    <w:p>
      <w:pPr>
        <w:pStyle w:val="nzPermNoteText"/>
      </w:pPr>
      <w:r>
        <w:t>the voting rights that attach to the lot: see section 120.</w:t>
      </w:r>
    </w:p>
    <w:p>
      <w:pPr>
        <w:pStyle w:val="nz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nzSubsection"/>
      </w:pPr>
      <w:r>
        <w:tab/>
        <w:t>(3)</w:t>
      </w:r>
      <w:r>
        <w:tab/>
        <w:t>The value of a lot is —</w:t>
      </w:r>
    </w:p>
    <w:p>
      <w:pPr>
        <w:pStyle w:val="nzIndenta"/>
      </w:pPr>
      <w:r>
        <w:tab/>
        <w:t>(a)</w:t>
      </w:r>
      <w:r>
        <w:tab/>
        <w:t>in a strata scheme — the capital value; and</w:t>
      </w:r>
    </w:p>
    <w:p>
      <w:pPr>
        <w:pStyle w:val="nzIndenta"/>
      </w:pPr>
      <w:r>
        <w:tab/>
        <w:t>(b)</w:t>
      </w:r>
      <w:r>
        <w:tab/>
        <w:t>in a survey</w:t>
      </w:r>
      <w:r>
        <w:noBreakHyphen/>
        <w:t>strata scheme — the site value.</w:t>
      </w:r>
    </w:p>
    <w:p>
      <w:pPr>
        <w:pStyle w:val="nzSubsection"/>
      </w:pPr>
      <w:r>
        <w:tab/>
        <w:t>(4)</w:t>
      </w:r>
      <w:r>
        <w:tab/>
        <w:t>Without limitation, the regulations may prescribe matters relating to the determination of the value of a lot.</w:t>
      </w:r>
    </w:p>
    <w:p>
      <w:pPr>
        <w:pStyle w:val="nzSubsection"/>
      </w:pPr>
      <w:r>
        <w:tab/>
        <w:t>(5)</w:t>
      </w:r>
      <w:r>
        <w:tab/>
        <w:t>A schedule of unit entitlements, or an amendment of a schedule of unit entitlements, for a strata titles scheme must —</w:t>
      </w:r>
    </w:p>
    <w:p>
      <w:pPr>
        <w:pStyle w:val="nzIndenta"/>
      </w:pPr>
      <w:r>
        <w:tab/>
        <w:t>(a)</w:t>
      </w:r>
      <w:r>
        <w:tab/>
        <w:t>be in the approved form; and</w:t>
      </w:r>
    </w:p>
    <w:p>
      <w:pPr>
        <w:pStyle w:val="nzIndenta"/>
      </w:pPr>
      <w:r>
        <w:tab/>
        <w:t>(b)</w:t>
      </w:r>
      <w:r>
        <w:tab/>
        <w:t>be prepared and certified by a licensed valuer.</w:t>
      </w:r>
    </w:p>
    <w:p>
      <w:pPr>
        <w:pStyle w:val="nz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nz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nzHeading5"/>
      </w:pPr>
      <w:bookmarkStart w:id="927" w:name="_Toc530474390"/>
      <w:bookmarkStart w:id="928" w:name="_Toc530474985"/>
      <w:r>
        <w:t>38.</w:t>
      </w:r>
      <w:r>
        <w:tab/>
        <w:t>Requirements for registration of amendment of schedule of unit entitlements</w:t>
      </w:r>
      <w:bookmarkEnd w:id="927"/>
      <w:bookmarkEnd w:id="928"/>
    </w:p>
    <w:p>
      <w:pPr>
        <w:pStyle w:val="nzSubsection"/>
      </w:pPr>
      <w:r>
        <w:tab/>
        <w:t>(1)</w:t>
      </w:r>
      <w:r>
        <w:tab/>
        <w:t>An amendment of a schedule of unit entitlements may only be registered —</w:t>
      </w:r>
    </w:p>
    <w:p>
      <w:pPr>
        <w:pStyle w:val="nzIndenta"/>
      </w:pPr>
      <w:r>
        <w:tab/>
        <w:t>(a)</w:t>
      </w:r>
      <w:r>
        <w:tab/>
        <w:t>in conjunction with an amendment of the scheme plan to give effect to a subdivision; or</w:t>
      </w:r>
    </w:p>
    <w:p>
      <w:pPr>
        <w:pStyle w:val="nzIndenta"/>
      </w:pPr>
      <w:r>
        <w:tab/>
        <w:t>(b)</w:t>
      </w:r>
      <w:r>
        <w:tab/>
        <w:t>if the amendment is authorised by resolution without dissent of the strata company; or</w:t>
      </w:r>
    </w:p>
    <w:p>
      <w:pPr>
        <w:pStyle w:val="nzIndenta"/>
      </w:pPr>
      <w:r>
        <w:tab/>
        <w:t>(c)</w:t>
      </w:r>
      <w:r>
        <w:tab/>
        <w:t>if the amendment is authorised by order of the Tribunal.</w:t>
      </w:r>
    </w:p>
    <w:p>
      <w:pPr>
        <w:pStyle w:val="nzSubsection"/>
      </w:pPr>
      <w:r>
        <w:tab/>
        <w:t>(2)</w:t>
      </w:r>
      <w:r>
        <w:tab/>
        <w:t>An amendment under subsection (1)(b) must not be registered unless the holder of each designated interest over the whole or a part of the parcel —</w:t>
      </w:r>
    </w:p>
    <w:p>
      <w:pPr>
        <w:pStyle w:val="nzIndenta"/>
      </w:pPr>
      <w:r>
        <w:tab/>
        <w:t>(a)</w:t>
      </w:r>
      <w:r>
        <w:tab/>
        <w:t>has been given notice in the approved form of the amendment; and</w:t>
      </w:r>
    </w:p>
    <w:p>
      <w:pPr>
        <w:pStyle w:val="nzIndenta"/>
      </w:pPr>
      <w:r>
        <w:tab/>
        <w:t>(b)</w:t>
      </w:r>
      <w:r>
        <w:tab/>
        <w:t>either —</w:t>
      </w:r>
    </w:p>
    <w:p>
      <w:pPr>
        <w:pStyle w:val="nzIndenti"/>
      </w:pPr>
      <w:r>
        <w:tab/>
        <w:t>(i)</w:t>
      </w:r>
      <w:r>
        <w:tab/>
        <w:t>has given written consent to the amendment; or</w:t>
      </w:r>
    </w:p>
    <w:p>
      <w:pPr>
        <w:pStyle w:val="nzIndenti"/>
      </w:pPr>
      <w:r>
        <w:tab/>
        <w:t>(ii)</w:t>
      </w:r>
      <w:r>
        <w:tab/>
        <w:t>has not, at the end of 60 days after being given notice, made a written objection to the amendment.</w:t>
      </w:r>
    </w:p>
    <w:p>
      <w:pPr>
        <w:pStyle w:val="nz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nzSubsection"/>
      </w:pPr>
      <w:r>
        <w:tab/>
        <w:t>(4)</w:t>
      </w:r>
      <w:r>
        <w:tab/>
        <w:t>In considering whether an objection is unreasonable, the Tribunal may consider —</w:t>
      </w:r>
    </w:p>
    <w:p>
      <w:pPr>
        <w:pStyle w:val="nzIndenta"/>
      </w:pPr>
      <w:r>
        <w:tab/>
        <w:t>(a)</w:t>
      </w:r>
      <w:r>
        <w:tab/>
        <w:t>the merits of the proposed amendment of the strata titles scheme; and</w:t>
      </w:r>
    </w:p>
    <w:p>
      <w:pPr>
        <w:pStyle w:val="nzIndenta"/>
      </w:pPr>
      <w:r>
        <w:tab/>
        <w:t>(b)</w:t>
      </w:r>
      <w:r>
        <w:tab/>
        <w:t>the grounds for the objection; and</w:t>
      </w:r>
    </w:p>
    <w:p>
      <w:pPr>
        <w:pStyle w:val="nzIndenta"/>
      </w:pPr>
      <w:r>
        <w:tab/>
        <w:t>(c)</w:t>
      </w:r>
      <w:r>
        <w:tab/>
        <w:t>any other factor the Tribunal considers relevant.</w:t>
      </w:r>
    </w:p>
    <w:p>
      <w:pPr>
        <w:pStyle w:val="nz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nz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nzHeading3"/>
      </w:pPr>
      <w:bookmarkStart w:id="929" w:name="_Toc517437593"/>
      <w:bookmarkStart w:id="930" w:name="_Toc517438135"/>
      <w:bookmarkStart w:id="931" w:name="_Toc517440472"/>
      <w:bookmarkStart w:id="932" w:name="_Toc517447509"/>
      <w:bookmarkStart w:id="933" w:name="_Toc517449987"/>
      <w:bookmarkStart w:id="934" w:name="_Toc517450529"/>
      <w:bookmarkStart w:id="935" w:name="_Toc517856985"/>
      <w:bookmarkStart w:id="936" w:name="_Toc518293112"/>
      <w:bookmarkStart w:id="937" w:name="_Toc522744340"/>
      <w:bookmarkStart w:id="938" w:name="_Toc522747463"/>
      <w:bookmarkStart w:id="939" w:name="_Toc529183300"/>
      <w:bookmarkStart w:id="940" w:name="_Toc529188063"/>
      <w:bookmarkStart w:id="941" w:name="_Toc529434576"/>
      <w:bookmarkStart w:id="942" w:name="_Toc529524467"/>
      <w:bookmarkStart w:id="943" w:name="_Toc530474391"/>
      <w:bookmarkStart w:id="944" w:name="_Toc530474986"/>
      <w:r>
        <w:t>Division 4 — Scheme by</w:t>
      </w:r>
      <w:r>
        <w:noBreakHyphen/>
        <w:t>laws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nzHeading5"/>
      </w:pPr>
      <w:bookmarkStart w:id="945" w:name="_Toc530474392"/>
      <w:bookmarkStart w:id="946" w:name="_Toc530474987"/>
      <w:r>
        <w:t>39.</w:t>
      </w:r>
      <w:r>
        <w:tab/>
        <w:t>Scheme by</w:t>
      </w:r>
      <w:r>
        <w:noBreakHyphen/>
        <w:t>laws on registration</w:t>
      </w:r>
      <w:bookmarkEnd w:id="945"/>
      <w:bookmarkEnd w:id="946"/>
    </w:p>
    <w:p>
      <w:pPr>
        <w:pStyle w:val="nzSubsection"/>
        <w:rPr>
          <w:snapToGrid w:val="0"/>
        </w:rPr>
      </w:pPr>
      <w:r>
        <w:rPr>
          <w:snapToGrid w:val="0"/>
        </w:rPr>
        <w:tab/>
      </w:r>
      <w:r>
        <w:rPr>
          <w:snapToGrid w:val="0"/>
        </w:rPr>
        <w:tab/>
        <w:t xml:space="preserve">On </w:t>
      </w:r>
      <w:r>
        <w:t>registration</w:t>
      </w:r>
      <w:r>
        <w:rPr>
          <w:snapToGrid w:val="0"/>
        </w:rPr>
        <w:t xml:space="preserve"> of a strata titles scheme —</w:t>
      </w:r>
    </w:p>
    <w:p>
      <w:pPr>
        <w:pStyle w:val="nzIndenta"/>
      </w:pPr>
      <w:r>
        <w:tab/>
        <w:t>(a)</w:t>
      </w:r>
      <w:r>
        <w:tab/>
        <w:t>subject to paragraph (b), the governance by</w:t>
      </w:r>
      <w:r>
        <w:noBreakHyphen/>
        <w:t>laws set out in Schedule 1 and the conduct by</w:t>
      </w:r>
      <w:r>
        <w:noBreakHyphen/>
        <w:t>laws set out in Schedule 2 are taken to be registered for the scheme; and</w:t>
      </w:r>
    </w:p>
    <w:p>
      <w:pPr>
        <w:pStyle w:val="nzIndenta"/>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nzHeading5"/>
      </w:pPr>
      <w:bookmarkStart w:id="947" w:name="_Toc530474393"/>
      <w:bookmarkStart w:id="948" w:name="_Toc530474988"/>
      <w:r>
        <w:t>40.</w:t>
      </w:r>
      <w:r>
        <w:tab/>
        <w:t>Leasehold by</w:t>
      </w:r>
      <w:r>
        <w:noBreakHyphen/>
        <w:t>laws</w:t>
      </w:r>
      <w:bookmarkEnd w:id="947"/>
      <w:bookmarkEnd w:id="948"/>
    </w:p>
    <w:p>
      <w:pPr>
        <w:pStyle w:val="nz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nzIndenta"/>
      </w:pPr>
      <w:r>
        <w:tab/>
        <w:t>(a)</w:t>
      </w:r>
      <w:r>
        <w:tab/>
        <w:t>for postponement of the expiry day for the scheme; or</w:t>
      </w:r>
    </w:p>
    <w:p>
      <w:pPr>
        <w:pStyle w:val="nzIndenta"/>
      </w:pPr>
      <w:r>
        <w:tab/>
        <w:t>(b)</w:t>
      </w:r>
      <w:r>
        <w:tab/>
        <w:t>for compensation payable on the expiry of the scheme.</w:t>
      </w:r>
    </w:p>
    <w:p>
      <w:pPr>
        <w:pStyle w:val="nzSubsection"/>
      </w:pPr>
      <w:r>
        <w:tab/>
        <w:t>(2)</w:t>
      </w:r>
      <w:r>
        <w:tab/>
        <w:t>If a leasehold scheme does not have leasehold by</w:t>
      </w:r>
      <w:r>
        <w:noBreakHyphen/>
        <w:t>laws, the expiry day for the scheme cannot be postponed.</w:t>
      </w:r>
    </w:p>
    <w:p>
      <w:pPr>
        <w:pStyle w:val="nzSubsection"/>
      </w:pPr>
      <w:r>
        <w:tab/>
        <w:t>(3)</w:t>
      </w:r>
      <w:r>
        <w:tab/>
        <w:t>The expiry day for a leasehold scheme —</w:t>
      </w:r>
    </w:p>
    <w:p>
      <w:pPr>
        <w:pStyle w:val="nzIndenta"/>
      </w:pPr>
      <w:r>
        <w:tab/>
        <w:t>(a)</w:t>
      </w:r>
      <w:r>
        <w:tab/>
        <w:t>cannot be postponed to a day that is more than 99 years after registration of the scheme; and</w:t>
      </w:r>
    </w:p>
    <w:p>
      <w:pPr>
        <w:pStyle w:val="nzIndenta"/>
      </w:pPr>
      <w:r>
        <w:tab/>
        <w:t>(b)</w:t>
      </w:r>
      <w:r>
        <w:tab/>
        <w:t>cannot be postponed unless the postponement is supported by resolution of the strata company as set out in section 41.</w:t>
      </w:r>
    </w:p>
    <w:p>
      <w:pPr>
        <w:pStyle w:val="nzSubsection"/>
      </w:pPr>
      <w:r>
        <w:tab/>
        <w:t>(4)</w:t>
      </w:r>
      <w:r>
        <w:tab/>
        <w:t>Leasehold by</w:t>
      </w:r>
      <w:r>
        <w:noBreakHyphen/>
        <w:t>laws —</w:t>
      </w:r>
    </w:p>
    <w:p>
      <w:pPr>
        <w:pStyle w:val="nzIndenta"/>
      </w:pPr>
      <w:r>
        <w:tab/>
        <w:t>(a)</w:t>
      </w:r>
      <w:r>
        <w:tab/>
        <w:t>may provide that the owner of the leasehold scheme is to be paid an amount for the postponement of the expiry day for the scheme by the owner of each lot in the scheme and, if they do so —</w:t>
      </w:r>
    </w:p>
    <w:p>
      <w:pPr>
        <w:pStyle w:val="nzIndenti"/>
      </w:pPr>
      <w:r>
        <w:tab/>
        <w:t>(i)</w:t>
      </w:r>
      <w:r>
        <w:tab/>
        <w:t>the amount paid by the owners of the lots must be proportional to the unit entitlements of their respective lots; and</w:t>
      </w:r>
    </w:p>
    <w:p>
      <w:pPr>
        <w:pStyle w:val="nzIndenti"/>
      </w:pPr>
      <w:r>
        <w:tab/>
        <w:t>(ii)</w:t>
      </w:r>
      <w:r>
        <w:tab/>
        <w:t>the by</w:t>
      </w:r>
      <w:r>
        <w:noBreakHyphen/>
        <w:t>laws —</w:t>
      </w:r>
    </w:p>
    <w:p>
      <w:pPr>
        <w:pStyle w:val="nzIndentI0"/>
      </w:pPr>
      <w:r>
        <w:tab/>
        <w:t>(I)</w:t>
      </w:r>
      <w:r>
        <w:tab/>
        <w:t>must set out how the amount is to be calculated; and</w:t>
      </w:r>
    </w:p>
    <w:p>
      <w:pPr>
        <w:pStyle w:val="nzIndentI0"/>
      </w:pPr>
      <w:r>
        <w:tab/>
        <w:t>(II)</w:t>
      </w:r>
      <w:r>
        <w:tab/>
        <w:t>must set out when and how the amount is to be paid (which must be at least 4 months before the expiry day); and</w:t>
      </w:r>
    </w:p>
    <w:p>
      <w:pPr>
        <w:pStyle w:val="nz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nzIndenta"/>
        <w:rPr>
          <w:snapToGrid w:val="0"/>
        </w:rPr>
      </w:pPr>
      <w:r>
        <w:rPr>
          <w:snapToGrid w:val="0"/>
        </w:rPr>
        <w:tab/>
      </w:r>
      <w:r>
        <w:rPr>
          <w:snapToGrid w:val="0"/>
        </w:rPr>
        <w:tab/>
        <w:t>and</w:t>
      </w:r>
    </w:p>
    <w:p>
      <w:pPr>
        <w:pStyle w:val="nzIndenta"/>
      </w:pPr>
      <w:r>
        <w:tab/>
        <w:t>(b)</w:t>
      </w:r>
      <w:r>
        <w:tab/>
        <w:t>may provide for compensation to be payable to the owner of a lot on the expiry of the scheme for improvements to the lot effected by the owner or a former owner of the lot; and</w:t>
      </w:r>
    </w:p>
    <w:p>
      <w:pPr>
        <w:pStyle w:val="nzIndenta"/>
      </w:pPr>
      <w:r>
        <w:tab/>
        <w:t>(c)</w:t>
      </w:r>
      <w:r>
        <w:tab/>
        <w:t>must comply with requirements set out in the regulations.</w:t>
      </w:r>
    </w:p>
    <w:p>
      <w:pPr>
        <w:pStyle w:val="nzSubsection"/>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nzPermNoteHeading"/>
      </w:pPr>
      <w:r>
        <w:tab/>
        <w:t>Note for this section:</w:t>
      </w:r>
    </w:p>
    <w:p>
      <w:pPr>
        <w:pStyle w:val="nzPermNoteText"/>
      </w:pPr>
      <w:r>
        <w:tab/>
      </w:r>
      <w:r>
        <w:tab/>
        <w:t>Leasehold by</w:t>
      </w:r>
      <w:r>
        <w:noBreakHyphen/>
        <w:t>laws providing for postponement of the expiry day for the scheme can only be made, amended or repealed with the approval of the Planning Commission as set out in section 20.</w:t>
      </w:r>
    </w:p>
    <w:p>
      <w:pPr>
        <w:pStyle w:val="nzHeading5"/>
      </w:pPr>
      <w:bookmarkStart w:id="949" w:name="_Toc530474394"/>
      <w:bookmarkStart w:id="950" w:name="_Toc530474989"/>
      <w:r>
        <w:t>41.</w:t>
      </w:r>
      <w:r>
        <w:tab/>
        <w:t>Resolution for postponement of expiry day under leasehold by</w:t>
      </w:r>
      <w:r>
        <w:noBreakHyphen/>
        <w:t>laws</w:t>
      </w:r>
      <w:bookmarkEnd w:id="949"/>
      <w:bookmarkEnd w:id="950"/>
    </w:p>
    <w:p>
      <w:pPr>
        <w:pStyle w:val="nz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nzIndenta"/>
      </w:pPr>
      <w:r>
        <w:tab/>
        <w:t>(a)</w:t>
      </w:r>
      <w:r>
        <w:tab/>
        <w:t>14 days’ notice of the terms of the proposed resolution must be given to each member of the strata company before voting on the resolution opens;</w:t>
      </w:r>
    </w:p>
    <w:p>
      <w:pPr>
        <w:pStyle w:val="nzIndenta"/>
      </w:pPr>
      <w:r>
        <w:tab/>
        <w:t>(b)</w:t>
      </w:r>
      <w:r>
        <w:tab/>
        <w:t>the resolution must specify a proposed new expiry day (in accordance with the leasehold by</w:t>
      </w:r>
      <w:r>
        <w:noBreakHyphen/>
        <w:t>laws) that is a day that is not more than 99 years after registration of the scheme;</w:t>
      </w:r>
    </w:p>
    <w:p>
      <w:pPr>
        <w:pStyle w:val="nzIndenta"/>
      </w:pPr>
      <w:r>
        <w:tab/>
        <w:t>(c)</w:t>
      </w:r>
      <w:r>
        <w:tab/>
        <w:t>the votes in favour of the resolution must equal not less than 75% of the number of lots in the scheme;</w:t>
      </w:r>
    </w:p>
    <w:p>
      <w:pPr>
        <w:pStyle w:val="nzIndenta"/>
      </w:pPr>
      <w:r>
        <w:tab/>
        <w:t>(d)</w:t>
      </w:r>
      <w:r>
        <w:tab/>
        <w:t>the resolution must be passed not later than 6 months before the expiry day.</w:t>
      </w:r>
    </w:p>
    <w:p>
      <w:pPr>
        <w:pStyle w:val="nz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nzSubsection"/>
        <w:rPr>
          <w:snapToGrid w:val="0"/>
        </w:rPr>
      </w:pPr>
      <w:r>
        <w:rPr>
          <w:snapToGrid w:val="0"/>
        </w:rPr>
        <w:tab/>
        <w:t>(3)</w:t>
      </w:r>
      <w:r>
        <w:rPr>
          <w:snapToGrid w:val="0"/>
        </w:rPr>
        <w:tab/>
        <w:t>Section 126(a) does not apply to a vote on a resolution for postponing the expiry day for a leasehold scheme.</w:t>
      </w:r>
    </w:p>
    <w:p>
      <w:pPr>
        <w:pStyle w:val="nzSubsection"/>
        <w:rPr>
          <w:snapToGrid w:val="0"/>
        </w:rPr>
      </w:pPr>
      <w:r>
        <w:rPr>
          <w:snapToGrid w:val="0"/>
        </w:rPr>
        <w:tab/>
        <w:t>(4)</w:t>
      </w:r>
      <w:r>
        <w:rPr>
          <w:snapToGrid w:val="0"/>
        </w:rPr>
        <w:tab/>
        <w:t>The strata company must, as soon as reasonably practicable after the passing of a resolution under this section —</w:t>
      </w:r>
    </w:p>
    <w:p>
      <w:pPr>
        <w:pStyle w:val="nzIndenta"/>
      </w:pPr>
      <w:r>
        <w:tab/>
        <w:t>(a)</w:t>
      </w:r>
      <w:r>
        <w:tab/>
        <w:t>serve notice of the resolution, in the approved form, on the owner of the leasehold scheme; and</w:t>
      </w:r>
    </w:p>
    <w:p>
      <w:pPr>
        <w:pStyle w:val="nzIndenta"/>
      </w:pPr>
      <w:r>
        <w:tab/>
        <w:t>(b)</w:t>
      </w:r>
      <w:r>
        <w:tab/>
        <w:t>apply for registration of an amendment of the scheme notice to give effect to the postponement of the expiry day.</w:t>
      </w:r>
    </w:p>
    <w:p>
      <w:pPr>
        <w:pStyle w:val="nzHeading5"/>
      </w:pPr>
      <w:bookmarkStart w:id="951" w:name="_Toc530474395"/>
      <w:bookmarkStart w:id="952" w:name="_Toc530474990"/>
      <w:r>
        <w:t>42.</w:t>
      </w:r>
      <w:r>
        <w:tab/>
        <w:t>Staged subdivision by</w:t>
      </w:r>
      <w:r>
        <w:noBreakHyphen/>
        <w:t>laws</w:t>
      </w:r>
      <w:bookmarkEnd w:id="951"/>
      <w:bookmarkEnd w:id="952"/>
    </w:p>
    <w:p>
      <w:pPr>
        <w:pStyle w:val="nz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nzPermNoteHeading"/>
      </w:pPr>
      <w:r>
        <w:tab/>
        <w:t>Note for this subsection:</w:t>
      </w:r>
    </w:p>
    <w:p>
      <w:pPr>
        <w:pStyle w:val="nz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nzSubsection"/>
      </w:pPr>
      <w:r>
        <w:tab/>
        <w:t>(2)</w:t>
      </w:r>
      <w:r>
        <w:tab/>
        <w:t>Staged subdivision by</w:t>
      </w:r>
      <w:r>
        <w:noBreakHyphen/>
        <w:t>laws must—</w:t>
      </w:r>
    </w:p>
    <w:p>
      <w:pPr>
        <w:pStyle w:val="nzIndenta"/>
      </w:pPr>
      <w:r>
        <w:tab/>
        <w:t>(a)</w:t>
      </w:r>
      <w:r>
        <w:tab/>
        <w:t>describe in detail —</w:t>
      </w:r>
    </w:p>
    <w:p>
      <w:pPr>
        <w:pStyle w:val="nzIndenti"/>
      </w:pPr>
      <w:r>
        <w:tab/>
        <w:t>(i)</w:t>
      </w:r>
      <w:r>
        <w:tab/>
        <w:t>the stages of subdivision that are agreed; and</w:t>
      </w:r>
    </w:p>
    <w:p>
      <w:pPr>
        <w:pStyle w:val="nzIndenti"/>
      </w:pPr>
      <w:r>
        <w:tab/>
        <w:t>(ii)</w:t>
      </w:r>
      <w:r>
        <w:tab/>
        <w:t>any amendments to the scheme plan and schedule of unit entitlements that will be made on completion of each stage of subdivision;</w:t>
      </w:r>
    </w:p>
    <w:p>
      <w:pPr>
        <w:pStyle w:val="nzIndenta"/>
      </w:pPr>
      <w:r>
        <w:tab/>
      </w:r>
      <w:r>
        <w:tab/>
        <w:t>and</w:t>
      </w:r>
    </w:p>
    <w:p>
      <w:pPr>
        <w:pStyle w:val="nzIndenta"/>
      </w:pPr>
      <w:r>
        <w:tab/>
        <w:t>(b)</w:t>
      </w:r>
      <w:r>
        <w:tab/>
        <w:t>identify the lots or common property affected by each stage of subdivision; and</w:t>
      </w:r>
    </w:p>
    <w:p>
      <w:pPr>
        <w:pStyle w:val="nzIndenta"/>
      </w:pPr>
      <w:r>
        <w:tab/>
        <w:t>(c)</w:t>
      </w:r>
      <w:r>
        <w:tab/>
        <w:t>comply with requirements set out in the regulations.</w:t>
      </w:r>
    </w:p>
    <w:p>
      <w:pPr>
        <w:pStyle w:val="nz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nz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nz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nzSubsection"/>
        <w:rPr>
          <w:snapToGrid w:val="0"/>
        </w:rPr>
      </w:pPr>
      <w:r>
        <w:rPr>
          <w:snapToGrid w:val="0"/>
        </w:rPr>
        <w:tab/>
        <w:t>(6)</w:t>
      </w:r>
      <w:r>
        <w:rPr>
          <w:snapToGrid w:val="0"/>
        </w:rPr>
        <w:tab/>
        <w:t>Staged subdivision by</w:t>
      </w:r>
      <w:r>
        <w:rPr>
          <w:snapToGrid w:val="0"/>
        </w:rPr>
        <w:noBreakHyphen/>
        <w:t>laws can only be made, amended or repealed if —</w:t>
      </w:r>
    </w:p>
    <w:p>
      <w:pPr>
        <w:pStyle w:val="nzIndenta"/>
      </w:pPr>
      <w:r>
        <w:tab/>
        <w:t>(a)</w:t>
      </w:r>
      <w:r>
        <w:tab/>
        <w:t>for a leasehold scheme, the owner of the leasehold scheme —</w:t>
      </w:r>
    </w:p>
    <w:p>
      <w:pPr>
        <w:pStyle w:val="nzIndenti"/>
      </w:pPr>
      <w:r>
        <w:tab/>
        <w:t>(i)</w:t>
      </w:r>
      <w:r>
        <w:tab/>
        <w:t>has been given notice in the approved form of the by</w:t>
      </w:r>
      <w:r>
        <w:noBreakHyphen/>
        <w:t>laws; and</w:t>
      </w:r>
    </w:p>
    <w:p>
      <w:pPr>
        <w:pStyle w:val="nzIndenti"/>
      </w:pPr>
      <w:r>
        <w:tab/>
        <w:t>(ii)</w:t>
      </w:r>
      <w:r>
        <w:tab/>
        <w:t>has given written consent to the by</w:t>
      </w:r>
      <w:r>
        <w:noBreakHyphen/>
        <w:t>laws;</w:t>
      </w:r>
    </w:p>
    <w:p>
      <w:pPr>
        <w:pStyle w:val="nzIndenta"/>
      </w:pPr>
      <w:r>
        <w:tab/>
      </w:r>
      <w:r>
        <w:tab/>
        <w:t>and</w:t>
      </w:r>
    </w:p>
    <w:p>
      <w:pPr>
        <w:pStyle w:val="nzIndenta"/>
      </w:pPr>
      <w:r>
        <w:tab/>
        <w:t>(b)</w:t>
      </w:r>
      <w:r>
        <w:tab/>
        <w:t>in any case, the holder of each designated interest over the whole or a part of the parcel —</w:t>
      </w:r>
    </w:p>
    <w:p>
      <w:pPr>
        <w:pStyle w:val="nzIndenti"/>
      </w:pPr>
      <w:r>
        <w:tab/>
        <w:t>(i)</w:t>
      </w:r>
      <w:r>
        <w:tab/>
        <w:t>has been given notice in the approved form of the by</w:t>
      </w:r>
      <w:r>
        <w:noBreakHyphen/>
        <w:t>laws; and</w:t>
      </w:r>
    </w:p>
    <w:p>
      <w:pPr>
        <w:pStyle w:val="nzIndenti"/>
      </w:pPr>
      <w:r>
        <w:tab/>
        <w:t>(ii)</w:t>
      </w:r>
      <w:r>
        <w:tab/>
        <w:t>either —</w:t>
      </w:r>
    </w:p>
    <w:p>
      <w:pPr>
        <w:pStyle w:val="nzIndentI0"/>
      </w:pPr>
      <w:r>
        <w:tab/>
        <w:t>(I)</w:t>
      </w:r>
      <w:r>
        <w:tab/>
        <w:t>has given written consent to the application; or</w:t>
      </w:r>
    </w:p>
    <w:p>
      <w:pPr>
        <w:pStyle w:val="nzIndentI0"/>
      </w:pPr>
      <w:r>
        <w:tab/>
        <w:t>(II)</w:t>
      </w:r>
      <w:r>
        <w:tab/>
        <w:t>has not, at the end of 60 days after being given notice, made a written objection to the proposed by</w:t>
      </w:r>
      <w:r>
        <w:noBreakHyphen/>
        <w:t>laws.</w:t>
      </w:r>
    </w:p>
    <w:p>
      <w:pPr>
        <w:pStyle w:val="nz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nzSubsection"/>
        <w:rPr>
          <w:snapToGrid w:val="0"/>
        </w:rPr>
      </w:pPr>
      <w:r>
        <w:rPr>
          <w:snapToGrid w:val="0"/>
        </w:rPr>
        <w:tab/>
        <w:t>(8)</w:t>
      </w:r>
      <w:r>
        <w:rPr>
          <w:snapToGrid w:val="0"/>
        </w:rPr>
        <w:tab/>
        <w:t>In considering whether an objection is unreasonable, the Tribunal may consider —</w:t>
      </w:r>
    </w:p>
    <w:p>
      <w:pPr>
        <w:pStyle w:val="nzIndenta"/>
      </w:pPr>
      <w:r>
        <w:tab/>
        <w:t>(a)</w:t>
      </w:r>
      <w:r>
        <w:tab/>
        <w:t>the merits of the proposed by</w:t>
      </w:r>
      <w:r>
        <w:noBreakHyphen/>
        <w:t>laws; and</w:t>
      </w:r>
    </w:p>
    <w:p>
      <w:pPr>
        <w:pStyle w:val="nzIndenta"/>
      </w:pPr>
      <w:r>
        <w:tab/>
        <w:t>(b)</w:t>
      </w:r>
      <w:r>
        <w:tab/>
        <w:t>the grounds for the objection; and</w:t>
      </w:r>
    </w:p>
    <w:p>
      <w:pPr>
        <w:pStyle w:val="nzIndenta"/>
      </w:pPr>
      <w:r>
        <w:tab/>
        <w:t>(c)</w:t>
      </w:r>
      <w:r>
        <w:tab/>
        <w:t>any other factor the Tribunal considers relevant.</w:t>
      </w:r>
    </w:p>
    <w:p>
      <w:pPr>
        <w:pStyle w:val="nzSubsection"/>
      </w:pPr>
      <w:r>
        <w:tab/>
        <w:t>(9)</w:t>
      </w:r>
      <w:r>
        <w:tab/>
        <w:t>If the Tribunal makes such an order, the applicant must lodge a copy of the order certified by the Tribunal with the Registrar of Titles.</w:t>
      </w:r>
    </w:p>
    <w:p>
      <w:pPr>
        <w:pStyle w:val="nzHeading5"/>
      </w:pPr>
      <w:bookmarkStart w:id="953" w:name="_Toc530474396"/>
      <w:bookmarkStart w:id="954" w:name="_Toc530474991"/>
      <w:r>
        <w:t>43.</w:t>
      </w:r>
      <w:r>
        <w:tab/>
        <w:t>Exclusive use by</w:t>
      </w:r>
      <w:r>
        <w:noBreakHyphen/>
        <w:t>laws</w:t>
      </w:r>
      <w:bookmarkEnd w:id="953"/>
      <w:bookmarkEnd w:id="954"/>
    </w:p>
    <w:p>
      <w:pPr>
        <w:pStyle w:val="nz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nzSubsection"/>
      </w:pPr>
      <w:r>
        <w:tab/>
        <w:t>(2)</w:t>
      </w:r>
      <w:r>
        <w:tab/>
        <w:t>Exclusive use by</w:t>
      </w:r>
      <w:r>
        <w:noBreakHyphen/>
        <w:t>laws may include the following —</w:t>
      </w:r>
    </w:p>
    <w:p>
      <w:pPr>
        <w:pStyle w:val="nzIndenta"/>
      </w:pPr>
      <w:r>
        <w:tab/>
        <w:t>(a)</w:t>
      </w:r>
      <w:r>
        <w:tab/>
        <w:t>terms and conditions on which the occupiers of special lots may use the special common property;</w:t>
      </w:r>
    </w:p>
    <w:p>
      <w:pPr>
        <w:pStyle w:val="nzIndenta"/>
      </w:pPr>
      <w:r>
        <w:tab/>
        <w:t>(b)</w:t>
      </w:r>
      <w:r>
        <w:tab/>
        <w:t>particulars relating to access to the special common property and the provision and keeping of any key necessary;</w:t>
      </w:r>
    </w:p>
    <w:p>
      <w:pPr>
        <w:pStyle w:val="nzIndenta"/>
      </w:pPr>
      <w:r>
        <w:tab/>
        <w:t>(c)</w:t>
      </w:r>
      <w:r>
        <w:tab/>
        <w:t>particulars of the hours during which the special common property may be used;</w:t>
      </w:r>
    </w:p>
    <w:p>
      <w:pPr>
        <w:pStyle w:val="nzIndenta"/>
      </w:pPr>
      <w:r>
        <w:tab/>
        <w:t>(d)</w:t>
      </w:r>
      <w:r>
        <w:tab/>
        <w:t>provisions relating to the condition, maintenance, repair, renewal or replacement of the special common property;</w:t>
      </w:r>
    </w:p>
    <w:p>
      <w:pPr>
        <w:pStyle w:val="nzIndenta"/>
      </w:pPr>
      <w:r>
        <w:tab/>
        <w:t>(e)</w:t>
      </w:r>
      <w:r>
        <w:tab/>
        <w:t>provisions relating to insurance of the special common property to be maintained by the owners of special lots;</w:t>
      </w:r>
    </w:p>
    <w:p>
      <w:pPr>
        <w:pStyle w:val="nzIndenta"/>
      </w:pPr>
      <w:r>
        <w:tab/>
        <w:t>(f)</w:t>
      </w:r>
      <w:r>
        <w:tab/>
        <w:t>matters relating to the determination of amounts payable to the strata company by the owners of special lots and the imposition and collection of the amounts.</w:t>
      </w:r>
    </w:p>
    <w:p>
      <w:pPr>
        <w:pStyle w:val="nz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nz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nz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nzHeading5"/>
      </w:pPr>
      <w:bookmarkStart w:id="955" w:name="_Toc530474397"/>
      <w:bookmarkStart w:id="956" w:name="_Toc530474992"/>
      <w:r>
        <w:t>44.</w:t>
      </w:r>
      <w:r>
        <w:tab/>
        <w:t>Making of scheme by</w:t>
      </w:r>
      <w:r>
        <w:noBreakHyphen/>
        <w:t>laws</w:t>
      </w:r>
      <w:bookmarkEnd w:id="955"/>
      <w:bookmarkEnd w:id="956"/>
    </w:p>
    <w:p>
      <w:pPr>
        <w:pStyle w:val="nz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nzSubsection"/>
        <w:rPr>
          <w:snapToGrid w:val="0"/>
        </w:rPr>
      </w:pPr>
      <w:r>
        <w:rPr>
          <w:snapToGrid w:val="0"/>
        </w:rPr>
        <w:tab/>
        <w:t>(2)</w:t>
      </w:r>
      <w:r>
        <w:rPr>
          <w:snapToGrid w:val="0"/>
        </w:rPr>
        <w:tab/>
        <w:t>The resolution to make by</w:t>
      </w:r>
      <w:r>
        <w:rPr>
          <w:snapToGrid w:val="0"/>
        </w:rPr>
        <w:noBreakHyphen/>
        <w:t>laws must be —</w:t>
      </w:r>
    </w:p>
    <w:p>
      <w:pPr>
        <w:pStyle w:val="nzIndenta"/>
      </w:pPr>
      <w:r>
        <w:tab/>
        <w:t>(a)</w:t>
      </w:r>
      <w:r>
        <w:tab/>
        <w:t>for governance by</w:t>
      </w:r>
      <w:r>
        <w:noBreakHyphen/>
        <w:t>laws — a resolution without dissent; and</w:t>
      </w:r>
    </w:p>
    <w:p>
      <w:pPr>
        <w:pStyle w:val="nzIndenta"/>
      </w:pPr>
      <w:r>
        <w:tab/>
        <w:t>(b)</w:t>
      </w:r>
      <w:r>
        <w:tab/>
        <w:t>for conduct by</w:t>
      </w:r>
      <w:r>
        <w:noBreakHyphen/>
        <w:t>laws — a special resolution.</w:t>
      </w:r>
    </w:p>
    <w:p>
      <w:pPr>
        <w:pStyle w:val="nz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nz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nzSubsection"/>
        <w:rPr>
          <w:snapToGrid w:val="0"/>
        </w:rPr>
      </w:pPr>
      <w:r>
        <w:rPr>
          <w:snapToGrid w:val="0"/>
        </w:rPr>
        <w:tab/>
        <w:t>(5)</w:t>
      </w:r>
      <w:r>
        <w:rPr>
          <w:snapToGrid w:val="0"/>
        </w:rPr>
        <w:tab/>
        <w:t>Scheme by</w:t>
      </w:r>
      <w:r>
        <w:rPr>
          <w:snapToGrid w:val="0"/>
        </w:rPr>
        <w:noBreakHyphen/>
        <w:t>laws must be in the approved form.</w:t>
      </w:r>
    </w:p>
    <w:p>
      <w:pPr>
        <w:pStyle w:val="nzHeading5"/>
      </w:pPr>
      <w:bookmarkStart w:id="957" w:name="_Toc530474398"/>
      <w:bookmarkStart w:id="958" w:name="_Toc530474993"/>
      <w:r>
        <w:t>45.</w:t>
      </w:r>
      <w:r>
        <w:tab/>
        <w:t>Application of scheme by</w:t>
      </w:r>
      <w:r>
        <w:noBreakHyphen/>
        <w:t>laws</w:t>
      </w:r>
      <w:bookmarkEnd w:id="957"/>
      <w:bookmarkEnd w:id="958"/>
    </w:p>
    <w:p>
      <w:pPr>
        <w:pStyle w:val="nzSubsection"/>
      </w:pPr>
      <w:r>
        <w:tab/>
        <w:t>(1)</w:t>
      </w:r>
      <w:r>
        <w:tab/>
        <w:t>Scheme by</w:t>
      </w:r>
      <w:r>
        <w:noBreakHyphen/>
        <w:t>laws may apply to the following —</w:t>
      </w:r>
    </w:p>
    <w:p>
      <w:pPr>
        <w:pStyle w:val="nzIndenta"/>
      </w:pPr>
      <w:r>
        <w:tab/>
        <w:t>(a)</w:t>
      </w:r>
      <w:r>
        <w:tab/>
        <w:t>the strata company for the strata titles scheme;</w:t>
      </w:r>
    </w:p>
    <w:p>
      <w:pPr>
        <w:pStyle w:val="nzIndenta"/>
      </w:pPr>
      <w:r>
        <w:tab/>
        <w:t>(b)</w:t>
      </w:r>
      <w:r>
        <w:tab/>
        <w:t>a member, for the time being, of the strata company for the strata titles scheme;</w:t>
      </w:r>
    </w:p>
    <w:p>
      <w:pPr>
        <w:pStyle w:val="nzIndenta"/>
      </w:pPr>
      <w:r>
        <w:tab/>
        <w:t>(c)</w:t>
      </w:r>
      <w:r>
        <w:tab/>
        <w:t>an occupier or lessee, for the time being, of a lot, or the common property, in the strata titles scheme;</w:t>
      </w:r>
    </w:p>
    <w:p>
      <w:pPr>
        <w:pStyle w:val="nzIndenta"/>
      </w:pPr>
      <w:r>
        <w:tab/>
        <w:t>(d)</w:t>
      </w:r>
      <w:r>
        <w:tab/>
        <w:t>in the case of leasehold by</w:t>
      </w:r>
      <w:r>
        <w:noBreakHyphen/>
        <w:t>laws — the owner of the leasehold scheme;</w:t>
      </w:r>
    </w:p>
    <w:p>
      <w:pPr>
        <w:pStyle w:val="nzIndenta"/>
      </w:pPr>
      <w:r>
        <w:tab/>
        <w:t>(e)</w:t>
      </w:r>
      <w:r>
        <w:tab/>
        <w:t>in the case of exclusive use by</w:t>
      </w:r>
      <w:r>
        <w:noBreakHyphen/>
        <w:t>laws — the owners and occupiers, for the time being, of special lots.</w:t>
      </w:r>
    </w:p>
    <w:p>
      <w:pPr>
        <w:pStyle w:val="nz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nzSubsection"/>
      </w:pPr>
      <w:r>
        <w:tab/>
        <w:t>(3)</w:t>
      </w:r>
      <w:r>
        <w:tab/>
        <w:t>A lease of a lot or common property in a strata titles scheme is taken to contain an agreement by the lessee that the lessee will comply with the scheme by</w:t>
      </w:r>
      <w:r>
        <w:noBreakHyphen/>
        <w:t>laws.</w:t>
      </w:r>
    </w:p>
    <w:p>
      <w:pPr>
        <w:pStyle w:val="nz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nz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nzSubsection"/>
      </w:pPr>
      <w:r>
        <w:tab/>
        <w:t>(6)</w:t>
      </w:r>
      <w:r>
        <w:tab/>
        <w:t>An interest created under scheme by</w:t>
      </w:r>
      <w:r>
        <w:noBreakHyphen/>
        <w:t xml:space="preserve">laws does not have effect as an interest registered under the </w:t>
      </w:r>
      <w:r>
        <w:rPr>
          <w:i/>
        </w:rPr>
        <w:t>Transfer of Land Act 1893</w:t>
      </w:r>
      <w:r>
        <w:t>.</w:t>
      </w:r>
    </w:p>
    <w:p>
      <w:pPr>
        <w:pStyle w:val="nzSubsection"/>
      </w:pPr>
      <w:r>
        <w:tab/>
        <w:t>(7)</w:t>
      </w:r>
      <w:r>
        <w:tab/>
        <w:t>Nothing in subsection (6) derogates from the operation of leasehold by</w:t>
      </w:r>
      <w:r>
        <w:noBreakHyphen/>
        <w:t>laws.</w:t>
      </w:r>
    </w:p>
    <w:p>
      <w:pPr>
        <w:pStyle w:val="nzHeading5"/>
      </w:pPr>
      <w:bookmarkStart w:id="959" w:name="_Toc530474399"/>
      <w:bookmarkStart w:id="960" w:name="_Toc530474994"/>
      <w:r>
        <w:t>46.</w:t>
      </w:r>
      <w:r>
        <w:tab/>
        <w:t>Invalidity of scheme by</w:t>
      </w:r>
      <w:r>
        <w:noBreakHyphen/>
        <w:t>laws</w:t>
      </w:r>
      <w:bookmarkEnd w:id="959"/>
      <w:bookmarkEnd w:id="960"/>
    </w:p>
    <w:p>
      <w:pPr>
        <w:pStyle w:val="nzSubsection"/>
      </w:pPr>
      <w:r>
        <w:tab/>
      </w:r>
      <w:r>
        <w:tab/>
        <w:t>Scheme by</w:t>
      </w:r>
      <w:r>
        <w:noBreakHyphen/>
        <w:t>laws are invalid as follows —</w:t>
      </w:r>
    </w:p>
    <w:p>
      <w:pPr>
        <w:pStyle w:val="nzIndenta"/>
      </w:pPr>
      <w:r>
        <w:tab/>
        <w:t>(a)</w:t>
      </w:r>
      <w:r>
        <w:tab/>
        <w:t>to the extent that there is no power to make the by</w:t>
      </w:r>
      <w:r>
        <w:noBreakHyphen/>
        <w:t>laws;</w:t>
      </w:r>
    </w:p>
    <w:p>
      <w:pPr>
        <w:pStyle w:val="nzIndenta"/>
      </w:pPr>
      <w:r>
        <w:tab/>
        <w:t>(b)</w:t>
      </w:r>
      <w:r>
        <w:tab/>
        <w:t>to the extent that they are inconsistent with this Act or any other written law;</w:t>
      </w:r>
    </w:p>
    <w:p>
      <w:pPr>
        <w:pStyle w:val="nzIndenta"/>
      </w:pPr>
      <w:r>
        <w:tab/>
        <w:t>(c)</w:t>
      </w:r>
      <w:r>
        <w:tab/>
        <w:t>to the extent that they are inconsistent with a restricted use condition;</w:t>
      </w:r>
    </w:p>
    <w:p>
      <w:pPr>
        <w:pStyle w:val="nzIndenta"/>
      </w:pPr>
      <w:r>
        <w:tab/>
        <w:t>(d)</w:t>
      </w:r>
      <w:r>
        <w:tab/>
        <w:t>for a leasehold scheme — to the extent that they are inconsistent with the covenants or conditions of a strata lease over a lot in the scheme;</w:t>
      </w:r>
    </w:p>
    <w:p>
      <w:pPr>
        <w:pStyle w:val="nzIndenta"/>
      </w:pPr>
      <w:r>
        <w:tab/>
        <w:t>(e)</w:t>
      </w:r>
      <w:r>
        <w:tab/>
        <w:t>to the extent that they purport to deny or limit the right of a member of the strata company to vote on a proposed resolution of the strata company (except as set out in this Act);</w:t>
      </w:r>
    </w:p>
    <w:p>
      <w:pPr>
        <w:pStyle w:val="nzIndenta"/>
      </w:pPr>
      <w:r>
        <w:tab/>
        <w:t>(f)</w:t>
      </w:r>
      <w:r>
        <w:tab/>
        <w:t>to the extent that they prohibit or restrict the devolution of a lot or a transfer, lease, mortgage or other dealing with a lot;</w:t>
      </w:r>
    </w:p>
    <w:p>
      <w:pPr>
        <w:pStyle w:val="nzIndenta"/>
      </w:pPr>
      <w:r>
        <w:tab/>
        <w:t>(g)</w:t>
      </w:r>
      <w:r>
        <w:tab/>
        <w:t>to the extent that they purport to discharge or modify an easement or restrictive covenant;</w:t>
      </w:r>
    </w:p>
    <w:p>
      <w:pPr>
        <w:pStyle w:val="nzIndenta"/>
      </w:pPr>
      <w:r>
        <w:tab/>
        <w:t>(h)</w:t>
      </w:r>
      <w:r>
        <w:tab/>
        <w:t>to the extent that they prohibit or restrict the keeping on a lot of an animal that is used as an assistance animal by a person with a disability who is an owner or occupier of a lot;</w:t>
      </w:r>
    </w:p>
    <w:p>
      <w:pPr>
        <w:pStyle w:val="nzIndenta"/>
      </w:pPr>
      <w:r>
        <w:tab/>
        <w:t>(i)</w:t>
      </w:r>
      <w:r>
        <w:tab/>
        <w:t>to the extent that they prohibit or restrict the use on the parcel of an assistance animal by a person with a disability;</w:t>
      </w:r>
    </w:p>
    <w:p>
      <w:pPr>
        <w:pStyle w:val="nzIndenta"/>
      </w:pPr>
      <w:r>
        <w:tab/>
        <w:t>(j)</w:t>
      </w:r>
      <w:r>
        <w:tab/>
        <w:t>to the extent that, having regard to the interests of all of the owners of lots in the strata titles scheme in the use and enjoyment of their lots and the common property —</w:t>
      </w:r>
    </w:p>
    <w:p>
      <w:pPr>
        <w:pStyle w:val="nzIndenti"/>
      </w:pPr>
      <w:r>
        <w:tab/>
        <w:t>(i)</w:t>
      </w:r>
      <w:r>
        <w:tab/>
        <w:t>they are unfairly prejudicial to, or unfairly discriminatory against, 1 or more of the owners of lots; or</w:t>
      </w:r>
    </w:p>
    <w:p>
      <w:pPr>
        <w:pStyle w:val="nzIndenti"/>
      </w:pPr>
      <w:r>
        <w:tab/>
        <w:t>(ii)</w:t>
      </w:r>
      <w:r>
        <w:tab/>
        <w:t>they are oppressive or unreasonable.</w:t>
      </w:r>
    </w:p>
    <w:p>
      <w:pPr>
        <w:pStyle w:val="nzHeading5"/>
      </w:pPr>
      <w:bookmarkStart w:id="961" w:name="_Toc530474400"/>
      <w:bookmarkStart w:id="962" w:name="_Toc530474995"/>
      <w:r>
        <w:t>47.</w:t>
      </w:r>
      <w:r>
        <w:tab/>
        <w:t>Enforcement of scheme by</w:t>
      </w:r>
      <w:r>
        <w:noBreakHyphen/>
        <w:t>laws</w:t>
      </w:r>
      <w:bookmarkEnd w:id="961"/>
      <w:bookmarkEnd w:id="962"/>
    </w:p>
    <w:p>
      <w:pPr>
        <w:pStyle w:val="nzSubsection"/>
      </w:pPr>
      <w:r>
        <w:tab/>
        <w:t>(1)</w:t>
      </w:r>
      <w:r>
        <w:tab/>
        <w:t>A strata company may —</w:t>
      </w:r>
    </w:p>
    <w:p>
      <w:pPr>
        <w:pStyle w:val="nzIndenta"/>
      </w:pPr>
      <w:r>
        <w:tab/>
        <w:t>(a)</w:t>
      </w:r>
      <w:r>
        <w:tab/>
        <w:t>give a written notice to a person alleged to have contravened the scheme by</w:t>
      </w:r>
      <w:r>
        <w:noBreakHyphen/>
        <w:t>laws; or</w:t>
      </w:r>
    </w:p>
    <w:p>
      <w:pPr>
        <w:pStyle w:val="nzIndenta"/>
      </w:pPr>
      <w:r>
        <w:tab/>
        <w:t>(b)</w:t>
      </w:r>
      <w:r>
        <w:tab/>
        <w:t>apply to the Tribunal under this section for an order enforcing scheme by</w:t>
      </w:r>
      <w:r>
        <w:noBreakHyphen/>
        <w:t>laws if —</w:t>
      </w:r>
    </w:p>
    <w:p>
      <w:pPr>
        <w:pStyle w:val="nzIndenti"/>
      </w:pPr>
      <w:r>
        <w:tab/>
        <w:t>(i)</w:t>
      </w:r>
      <w:r>
        <w:tab/>
        <w:t>the contravention has had serious adverse consequences for a person other than the person alleged to have contravened the scheme by</w:t>
      </w:r>
      <w:r>
        <w:noBreakHyphen/>
        <w:t>laws; or</w:t>
      </w:r>
    </w:p>
    <w:p>
      <w:pPr>
        <w:pStyle w:val="nzIndenti"/>
      </w:pPr>
      <w:r>
        <w:tab/>
        <w:t>(ii)</w:t>
      </w:r>
      <w:r>
        <w:tab/>
        <w:t>the person has contravened the particular scheme by</w:t>
      </w:r>
      <w:r>
        <w:noBreakHyphen/>
        <w:t>law on at least 3 separate occasions; or</w:t>
      </w:r>
    </w:p>
    <w:p>
      <w:pPr>
        <w:pStyle w:val="nzIndenti"/>
      </w:pPr>
      <w:r>
        <w:tab/>
        <w:t>(iii)</w:t>
      </w:r>
      <w:r>
        <w:tab/>
        <w:t>the person has been given notice under paragraph (a) and has contravened the notice.</w:t>
      </w:r>
    </w:p>
    <w:p>
      <w:pPr>
        <w:pStyle w:val="nzSubsection"/>
      </w:pPr>
      <w:r>
        <w:tab/>
        <w:t>(2)</w:t>
      </w:r>
      <w:r>
        <w:tab/>
        <w:t>A written notice given by a strata company to a person alleged to have contravened the scheme by</w:t>
      </w:r>
      <w:r>
        <w:noBreakHyphen/>
        <w:t>laws must —</w:t>
      </w:r>
    </w:p>
    <w:p>
      <w:pPr>
        <w:pStyle w:val="nzIndenta"/>
      </w:pPr>
      <w:r>
        <w:tab/>
        <w:t>(a)</w:t>
      </w:r>
      <w:r>
        <w:tab/>
        <w:t>specify the particular scheme by</w:t>
      </w:r>
      <w:r>
        <w:noBreakHyphen/>
        <w:t>law that is alleged to have been contravened; and</w:t>
      </w:r>
    </w:p>
    <w:p>
      <w:pPr>
        <w:pStyle w:val="nzIndenta"/>
      </w:pPr>
      <w:r>
        <w:tab/>
        <w:t>(b)</w:t>
      </w:r>
      <w:r>
        <w:tab/>
        <w:t>specify the particular facts relied on as evidence of the contravention; and</w:t>
      </w:r>
    </w:p>
    <w:p>
      <w:pPr>
        <w:pStyle w:val="nzIndenta"/>
      </w:pPr>
      <w:r>
        <w:tab/>
        <w:t>(c)</w:t>
      </w:r>
      <w:r>
        <w:tab/>
        <w:t>specify the action that must be taken or refrained from being taken in order to avoid a continuing or further contravention of the particular scheme by</w:t>
      </w:r>
      <w:r>
        <w:noBreakHyphen/>
        <w:t>law; and</w:t>
      </w:r>
    </w:p>
    <w:p>
      <w:pPr>
        <w:pStyle w:val="nzIndenta"/>
      </w:pPr>
      <w:r>
        <w:tab/>
        <w:t>(d)</w:t>
      </w:r>
      <w:r>
        <w:tab/>
        <w:t>contain an explanation of the effect of this section in terms set out in the regulations.</w:t>
      </w:r>
    </w:p>
    <w:p>
      <w:pPr>
        <w:pStyle w:val="nzSubsection"/>
      </w:pPr>
      <w:r>
        <w:tab/>
        <w:t>(3)</w:t>
      </w:r>
      <w:r>
        <w:tab/>
        <w:t>An application may also be made to the Tribunal for enforcement of scheme by</w:t>
      </w:r>
      <w:r>
        <w:noBreakHyphen/>
        <w:t>laws by —</w:t>
      </w:r>
    </w:p>
    <w:p>
      <w:pPr>
        <w:pStyle w:val="nzIndenta"/>
      </w:pPr>
      <w:r>
        <w:tab/>
        <w:t>(a)</w:t>
      </w:r>
      <w:r>
        <w:tab/>
        <w:t>the owner of a lot in the strata titles scheme; or</w:t>
      </w:r>
    </w:p>
    <w:p>
      <w:pPr>
        <w:pStyle w:val="nzIndenta"/>
      </w:pPr>
      <w:r>
        <w:tab/>
        <w:t>(b)</w:t>
      </w:r>
      <w:r>
        <w:tab/>
        <w:t>if the scheme is a leasehold scheme — the owner of the leasehold scheme; or</w:t>
      </w:r>
    </w:p>
    <w:p>
      <w:pPr>
        <w:pStyle w:val="nzIndenta"/>
      </w:pPr>
      <w:r>
        <w:tab/>
        <w:t>(c)</w:t>
      </w:r>
      <w:r>
        <w:tab/>
        <w:t>a mortgagee of a lot in the strata titles scheme; or</w:t>
      </w:r>
    </w:p>
    <w:p>
      <w:pPr>
        <w:pStyle w:val="nzIndenta"/>
      </w:pPr>
      <w:r>
        <w:tab/>
        <w:t>(d)</w:t>
      </w:r>
      <w:r>
        <w:tab/>
        <w:t>an occupier of a lot in the strata titles scheme.</w:t>
      </w:r>
    </w:p>
    <w:p>
      <w:pPr>
        <w:pStyle w:val="nzSubsection"/>
      </w:pPr>
      <w:r>
        <w:tab/>
        <w:t>(4)</w:t>
      </w:r>
      <w:r>
        <w:tab/>
        <w:t>An application can only be made under subsection (3) on the grounds that —</w:t>
      </w:r>
    </w:p>
    <w:p>
      <w:pPr>
        <w:pStyle w:val="nzIndenta"/>
      </w:pPr>
      <w:r>
        <w:tab/>
        <w:t>(a)</w:t>
      </w:r>
      <w:r>
        <w:tab/>
        <w:t>if a person other than the strata company is alleged to have contravened the scheme by</w:t>
      </w:r>
      <w:r>
        <w:noBreakHyphen/>
        <w:t>laws — the person has been given notice under subsection (1)(a) and has contravened the notice; or</w:t>
      </w:r>
    </w:p>
    <w:p>
      <w:pPr>
        <w:pStyle w:val="nzIndenta"/>
      </w:pPr>
      <w:r>
        <w:tab/>
        <w:t>(b)</w:t>
      </w:r>
      <w:r>
        <w:tab/>
        <w:t>the contravention has had serious adverse consequences for a person other than the person alleged to have contravened the scheme by</w:t>
      </w:r>
      <w:r>
        <w:noBreakHyphen/>
        <w:t>laws; or</w:t>
      </w:r>
    </w:p>
    <w:p>
      <w:pPr>
        <w:pStyle w:val="nzIndenta"/>
      </w:pPr>
      <w:r>
        <w:tab/>
        <w:t>(c)</w:t>
      </w:r>
      <w:r>
        <w:tab/>
        <w:t>the person has contravened the particular scheme by</w:t>
      </w:r>
      <w:r>
        <w:noBreakHyphen/>
        <w:t>law on at least 3 separate occasions.</w:t>
      </w:r>
    </w:p>
    <w:p>
      <w:pPr>
        <w:pStyle w:val="nzSubsection"/>
      </w:pPr>
      <w:r>
        <w:tab/>
        <w:t>(5)</w:t>
      </w:r>
      <w:r>
        <w:tab/>
        <w:t>The Tribunal may, if satisfied that a person has contravened the scheme by</w:t>
      </w:r>
      <w:r>
        <w:noBreakHyphen/>
        <w:t>laws, by order require the person to do 1 or more of the following —</w:t>
      </w:r>
    </w:p>
    <w:p>
      <w:pPr>
        <w:pStyle w:val="nzIndenta"/>
      </w:pPr>
      <w:r>
        <w:tab/>
        <w:t>(a)</w:t>
      </w:r>
      <w:r>
        <w:tab/>
        <w:t>pay a specified amount to the strata company by way of penalty for the contravention;</w:t>
      </w:r>
    </w:p>
    <w:p>
      <w:pPr>
        <w:pStyle w:val="nzIndenta"/>
      </w:pPr>
      <w:r>
        <w:tab/>
        <w:t>(b)</w:t>
      </w:r>
      <w:r>
        <w:tab/>
        <w:t>take specified action within a period stated in the order to remedy the contravention or prevent further contraventions;</w:t>
      </w:r>
    </w:p>
    <w:p>
      <w:pPr>
        <w:pStyle w:val="nzIndenta"/>
      </w:pPr>
      <w:r>
        <w:tab/>
        <w:t>(c)</w:t>
      </w:r>
      <w:r>
        <w:tab/>
        <w:t>refrain from taking specified action to prevent further contraventions.</w:t>
      </w:r>
    </w:p>
    <w:p>
      <w:pPr>
        <w:pStyle w:val="nzSubsection"/>
      </w:pPr>
      <w:r>
        <w:tab/>
        <w:t>(6)</w:t>
      </w:r>
      <w:r>
        <w:tab/>
        <w:t>The Tribunal’s power to impose a penalty is subject to the following limitations —</w:t>
      </w:r>
    </w:p>
    <w:p>
      <w:pPr>
        <w:pStyle w:val="nzIndenta"/>
      </w:pPr>
      <w:r>
        <w:tab/>
        <w:t>(a)</w:t>
      </w:r>
      <w:r>
        <w:tab/>
        <w:t>a penalty must not be imposed on the strata company;</w:t>
      </w:r>
    </w:p>
    <w:p>
      <w:pPr>
        <w:pStyle w:val="nzIndenta"/>
      </w:pPr>
      <w:r>
        <w:tab/>
        <w:t>(b)</w:t>
      </w:r>
      <w:r>
        <w:tab/>
        <w:t>a penalty may only be imposed if the Tribunal is satisfied of the matters set out in subsection (1)(b) or (4) as the case requires;</w:t>
      </w:r>
    </w:p>
    <w:p>
      <w:pPr>
        <w:pStyle w:val="nzIndenta"/>
      </w:pPr>
      <w:r>
        <w:tab/>
        <w:t>(c)</w:t>
      </w:r>
      <w:r>
        <w:tab/>
        <w:t>the penalty must not exceed an amount fixed by the regulations;</w:t>
      </w:r>
    </w:p>
    <w:p>
      <w:pPr>
        <w:pStyle w:val="nzIndenta"/>
      </w:pPr>
      <w:r>
        <w:tab/>
        <w:t>(d)</w:t>
      </w:r>
      <w:r>
        <w:tab/>
        <w:t>a daily penalty may be imposed for a continuing contravention only if that is authorised by the regulations.</w:t>
      </w:r>
    </w:p>
    <w:p>
      <w:pPr>
        <w:pStyle w:val="nzSubsection"/>
      </w:pPr>
      <w:r>
        <w:tab/>
        <w:t>(7)</w:t>
      </w:r>
      <w:r>
        <w:tab/>
        <w:t>The regulations may —</w:t>
      </w:r>
    </w:p>
    <w:p>
      <w:pPr>
        <w:pStyle w:val="nzIndenta"/>
      </w:pPr>
      <w:r>
        <w:tab/>
        <w:t>(a)</w:t>
      </w:r>
      <w:r>
        <w:tab/>
        <w:t>specify a maximum amount that may be imposed by the Tribunal by way of penalty for contravention of scheme by</w:t>
      </w:r>
      <w:r>
        <w:noBreakHyphen/>
        <w:t>laws; and</w:t>
      </w:r>
    </w:p>
    <w:p>
      <w:pPr>
        <w:pStyle w:val="nzIndenta"/>
      </w:pPr>
      <w:r>
        <w:tab/>
        <w:t>(b)</w:t>
      </w:r>
      <w:r>
        <w:tab/>
        <w:t>specify circumstances in which a daily penalty may be imposed for a continuing contravention and a maximum amount that may be imposed as a daily penalty.</w:t>
      </w:r>
    </w:p>
    <w:p>
      <w:pPr>
        <w:pStyle w:val="nz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nzSubsection"/>
      </w:pPr>
      <w:r>
        <w:tab/>
        <w:t>(9)</w:t>
      </w:r>
      <w:r>
        <w:tab/>
        <w:t>An amount otherwise ordered to be paid by way of penalty under this section is recoverable as a debt in a court of competent jurisdiction.</w:t>
      </w:r>
    </w:p>
    <w:p>
      <w:pPr>
        <w:pStyle w:val="nzHeading5"/>
      </w:pPr>
      <w:bookmarkStart w:id="963" w:name="_Toc530474401"/>
      <w:bookmarkStart w:id="964" w:name="_Toc530474996"/>
      <w:r>
        <w:t>48.</w:t>
      </w:r>
      <w:r>
        <w:tab/>
        <w:t>Requirements for registration of amendment to give effect to scheme by</w:t>
      </w:r>
      <w:r>
        <w:noBreakHyphen/>
        <w:t>laws</w:t>
      </w:r>
      <w:bookmarkEnd w:id="963"/>
      <w:bookmarkEnd w:id="964"/>
    </w:p>
    <w:p>
      <w:pPr>
        <w:pStyle w:val="nz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nz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nzHeading3"/>
      </w:pPr>
      <w:bookmarkStart w:id="965" w:name="_Toc517437604"/>
      <w:bookmarkStart w:id="966" w:name="_Toc517438146"/>
      <w:bookmarkStart w:id="967" w:name="_Toc517440483"/>
      <w:bookmarkStart w:id="968" w:name="_Toc517447520"/>
      <w:bookmarkStart w:id="969" w:name="_Toc517449998"/>
      <w:bookmarkStart w:id="970" w:name="_Toc517450540"/>
      <w:bookmarkStart w:id="971" w:name="_Toc517856996"/>
      <w:bookmarkStart w:id="972" w:name="_Toc518293123"/>
      <w:bookmarkStart w:id="973" w:name="_Toc522744351"/>
      <w:bookmarkStart w:id="974" w:name="_Toc522747474"/>
      <w:bookmarkStart w:id="975" w:name="_Toc529183311"/>
      <w:bookmarkStart w:id="976" w:name="_Toc529188074"/>
      <w:bookmarkStart w:id="977" w:name="_Toc529434587"/>
      <w:bookmarkStart w:id="978" w:name="_Toc529524478"/>
      <w:bookmarkStart w:id="979" w:name="_Toc530474402"/>
      <w:bookmarkStart w:id="980" w:name="_Toc530474997"/>
      <w:r>
        <w:t>Division 5 — Strata leases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zHeading5"/>
      </w:pPr>
      <w:bookmarkStart w:id="981" w:name="_Toc530474403"/>
      <w:bookmarkStart w:id="982" w:name="_Toc530474998"/>
      <w:r>
        <w:t>49.</w:t>
      </w:r>
      <w:r>
        <w:tab/>
        <w:t>Relationship with other laws</w:t>
      </w:r>
      <w:bookmarkEnd w:id="981"/>
      <w:bookmarkEnd w:id="982"/>
    </w:p>
    <w:p>
      <w:pPr>
        <w:pStyle w:val="nzSubsection"/>
      </w:pPr>
      <w:r>
        <w:tab/>
        <w:t>(1)</w:t>
      </w:r>
      <w:r>
        <w:tab/>
        <w:t xml:space="preserve">When a strata lease is registered as a scheme document, the lease is taken to be a registered lease under the </w:t>
      </w:r>
      <w:r>
        <w:rPr>
          <w:i/>
          <w:snapToGrid w:val="0"/>
        </w:rPr>
        <w:t>Transfer of Land Act 1893</w:t>
      </w:r>
      <w:r>
        <w:t>.</w:t>
      </w:r>
    </w:p>
    <w:p>
      <w:pPr>
        <w:pStyle w:val="nzSubsection"/>
      </w:pPr>
      <w:r>
        <w:tab/>
        <w:t>(2)</w:t>
      </w:r>
      <w:r>
        <w:tab/>
        <w:t>The following provisions do not apply to or in relation to a strata lease —</w:t>
      </w:r>
    </w:p>
    <w:p>
      <w:pPr>
        <w:pStyle w:val="nzIndenta"/>
      </w:pPr>
      <w:r>
        <w:tab/>
        <w:t>(a)</w:t>
      </w:r>
      <w:r>
        <w:tab/>
        <w:t xml:space="preserve">the </w:t>
      </w:r>
      <w:r>
        <w:rPr>
          <w:i/>
        </w:rPr>
        <w:t xml:space="preserve">Transfer of Land Act 1893 </w:t>
      </w:r>
      <w:r>
        <w:t>Part IV Division 2;</w:t>
      </w:r>
    </w:p>
    <w:p>
      <w:pPr>
        <w:pStyle w:val="nzIndenta"/>
      </w:pPr>
      <w:r>
        <w:tab/>
        <w:t>(b)</w:t>
      </w:r>
      <w:r>
        <w:tab/>
        <w:t xml:space="preserve">the </w:t>
      </w:r>
      <w:r>
        <w:rPr>
          <w:i/>
        </w:rPr>
        <w:t xml:space="preserve">Property Law Act 1969 </w:t>
      </w:r>
      <w:r>
        <w:t>sections 72, 73, 74, 75, 76, 79, 80, 81 and 83 and Part VII Division 2;</w:t>
      </w:r>
    </w:p>
    <w:p>
      <w:pPr>
        <w:pStyle w:val="nzIndenta"/>
      </w:pPr>
      <w:r>
        <w:tab/>
        <w:t>(c)</w:t>
      </w:r>
      <w:r>
        <w:tab/>
        <w:t>other provisions of those or other Acts specified in the regulations.</w:t>
      </w:r>
    </w:p>
    <w:p>
      <w:pPr>
        <w:pStyle w:val="nz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nzHeading5"/>
      </w:pPr>
      <w:bookmarkStart w:id="983" w:name="_Toc530474404"/>
      <w:bookmarkStart w:id="984" w:name="_Toc530474999"/>
      <w:r>
        <w:t>50.</w:t>
      </w:r>
      <w:r>
        <w:tab/>
        <w:t>Term of strata lease</w:t>
      </w:r>
      <w:bookmarkEnd w:id="983"/>
      <w:bookmarkEnd w:id="984"/>
    </w:p>
    <w:p>
      <w:pPr>
        <w:pStyle w:val="nz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nzSubsection"/>
      </w:pPr>
      <w:r>
        <w:tab/>
        <w:t>(2)</w:t>
      </w:r>
      <w:r>
        <w:tab/>
        <w:t>A strata lease is of no effect to the extent that it purports to extend beyond the expiry day for the scheme.</w:t>
      </w:r>
    </w:p>
    <w:p>
      <w:pPr>
        <w:pStyle w:val="nzSubsection"/>
      </w:pPr>
      <w:r>
        <w:tab/>
        <w:t>(3)</w:t>
      </w:r>
      <w:r>
        <w:tab/>
        <w:t>A strata lease is not subject to renewal, but its term is extended by postponement of the expiry day for the scheme.</w:t>
      </w:r>
    </w:p>
    <w:p>
      <w:pPr>
        <w:pStyle w:val="nzSubsection"/>
      </w:pPr>
      <w:r>
        <w:tab/>
        <w:t>(4)</w:t>
      </w:r>
      <w:r>
        <w:tab/>
        <w:t>The fact that the expiry day may be postponed does not render a strata lease invalid for being of uncertain duration or for any other reason.</w:t>
      </w:r>
    </w:p>
    <w:p>
      <w:pPr>
        <w:pStyle w:val="nzSubsection"/>
      </w:pPr>
      <w:r>
        <w:tab/>
        <w:t>(5)</w:t>
      </w:r>
      <w:r>
        <w:tab/>
        <w:t>A strata lease is not subject to forfeiture.</w:t>
      </w:r>
    </w:p>
    <w:p>
      <w:pPr>
        <w:pStyle w:val="nzHeading5"/>
      </w:pPr>
      <w:bookmarkStart w:id="985" w:name="_Toc530474405"/>
      <w:bookmarkStart w:id="986" w:name="_Toc530475000"/>
      <w:r>
        <w:t>51.</w:t>
      </w:r>
      <w:r>
        <w:tab/>
        <w:t>Limitations on powers of owner of leasehold scheme</w:t>
      </w:r>
      <w:bookmarkEnd w:id="985"/>
      <w:bookmarkEnd w:id="986"/>
    </w:p>
    <w:p>
      <w:pPr>
        <w:pStyle w:val="nzSubsection"/>
      </w:pPr>
      <w:r>
        <w:tab/>
        <w:t>(1)</w:t>
      </w:r>
      <w:r>
        <w:tab/>
        <w:t>The owner of a leasehold scheme must not interfere with the use and enjoyment of a lot or common property in the leasehold scheme by the owner of a lot in the scheme.</w:t>
      </w:r>
    </w:p>
    <w:p>
      <w:pPr>
        <w:pStyle w:val="nzSubsection"/>
      </w:pPr>
      <w:r>
        <w:tab/>
        <w:t>(2)</w:t>
      </w:r>
      <w:r>
        <w:tab/>
        <w:t>Subject to subsection (3), the consent of the owner of the leasehold scheme is not required by the owner of a lot in the scheme to deal with or dispose of the strata title for the lot.</w:t>
      </w:r>
    </w:p>
    <w:p>
      <w:pPr>
        <w:pStyle w:val="nzSubsection"/>
      </w:pPr>
      <w:r>
        <w:tab/>
        <w:t>(3)</w:t>
      </w:r>
      <w:r>
        <w:tab/>
        <w:t>The regulations may specify circumstances in which the consent of the owner of the leasehold scheme may be required despite subsection (2).</w:t>
      </w:r>
    </w:p>
    <w:p>
      <w:pPr>
        <w:pStyle w:val="nz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nzHeading5"/>
      </w:pPr>
      <w:bookmarkStart w:id="987" w:name="_Toc530474406"/>
      <w:bookmarkStart w:id="988" w:name="_Toc530475001"/>
      <w:r>
        <w:t>52.</w:t>
      </w:r>
      <w:r>
        <w:tab/>
        <w:t>Content and form of strata lease</w:t>
      </w:r>
      <w:bookmarkEnd w:id="987"/>
      <w:bookmarkEnd w:id="988"/>
    </w:p>
    <w:p>
      <w:pPr>
        <w:pStyle w:val="nzSubsection"/>
      </w:pPr>
      <w:r>
        <w:tab/>
        <w:t>(1)</w:t>
      </w:r>
      <w:r>
        <w:tab/>
        <w:t>A strata lease —</w:t>
      </w:r>
    </w:p>
    <w:p>
      <w:pPr>
        <w:pStyle w:val="nzIndenta"/>
      </w:pPr>
      <w:r>
        <w:tab/>
        <w:t>(a)</w:t>
      </w:r>
      <w:r>
        <w:tab/>
        <w:t>can only contain covenants or conditions allowed by the regulations; and</w:t>
      </w:r>
    </w:p>
    <w:p>
      <w:pPr>
        <w:pStyle w:val="nz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nzIndenta"/>
      </w:pPr>
      <w:r>
        <w:tab/>
        <w:t>(c)</w:t>
      </w:r>
      <w:r>
        <w:tab/>
        <w:t>cannot grant the owner of the leasehold scheme a right of re</w:t>
      </w:r>
      <w:r>
        <w:noBreakHyphen/>
        <w:t>entry of the lot for breach of a covenant or condition (express or implied); and</w:t>
      </w:r>
    </w:p>
    <w:p>
      <w:pPr>
        <w:pStyle w:val="nzIndenta"/>
      </w:pPr>
      <w:r>
        <w:tab/>
        <w:t>(d)</w:t>
      </w:r>
      <w:r>
        <w:tab/>
        <w:t>must be in the approved form.</w:t>
      </w:r>
    </w:p>
    <w:p>
      <w:pPr>
        <w:pStyle w:val="nzSubsection"/>
      </w:pPr>
      <w:r>
        <w:tab/>
        <w:t>(2)</w:t>
      </w:r>
      <w:r>
        <w:tab/>
        <w:t>The covenants or conditions allowed by the regulations cannot include covenants or conditions for the following —</w:t>
      </w:r>
    </w:p>
    <w:p>
      <w:pPr>
        <w:pStyle w:val="nzIndenta"/>
      </w:pPr>
      <w:r>
        <w:tab/>
        <w:t>(a)</w:t>
      </w:r>
      <w:r>
        <w:tab/>
        <w:t>a matter that could be included in leasehold by</w:t>
      </w:r>
      <w:r>
        <w:noBreakHyphen/>
        <w:t>laws;</w:t>
      </w:r>
    </w:p>
    <w:p>
      <w:pPr>
        <w:pStyle w:val="nzIndenta"/>
      </w:pPr>
      <w:r>
        <w:tab/>
        <w:t>(b)</w:t>
      </w:r>
      <w:r>
        <w:tab/>
        <w:t>refurbishment of the lot or improvements on the lot;</w:t>
      </w:r>
    </w:p>
    <w:p>
      <w:pPr>
        <w:pStyle w:val="nzIndenta"/>
      </w:pPr>
      <w:r>
        <w:tab/>
        <w:t>(c)</w:t>
      </w:r>
      <w:r>
        <w:tab/>
        <w:t>a matter that is dealt with under this Act including —</w:t>
      </w:r>
    </w:p>
    <w:p>
      <w:pPr>
        <w:pStyle w:val="nzIndenti"/>
      </w:pPr>
      <w:r>
        <w:tab/>
        <w:t>(i)</w:t>
      </w:r>
      <w:r>
        <w:tab/>
        <w:t>financial contributions towards the maintenance, repair, renewal or replacement of common property in the leasehold scheme or property of the strata company; and</w:t>
      </w:r>
    </w:p>
    <w:p>
      <w:pPr>
        <w:pStyle w:val="nzIndenti"/>
      </w:pPr>
      <w:r>
        <w:tab/>
        <w:t>(ii)</w:t>
      </w:r>
      <w:r>
        <w:tab/>
        <w:t>the insurance required for the leasehold scheme;</w:t>
      </w:r>
    </w:p>
    <w:p>
      <w:pPr>
        <w:pStyle w:val="nzIndenta"/>
      </w:pPr>
      <w:r>
        <w:tab/>
        <w:t>(d)</w:t>
      </w:r>
      <w:r>
        <w:tab/>
        <w:t>the acquisition of the owner of a leasehold scheme’s freehold reversion in the lot and the common property appurtenant to the lot;</w:t>
      </w:r>
    </w:p>
    <w:p>
      <w:pPr>
        <w:pStyle w:val="nzIndenta"/>
      </w:pPr>
      <w:r>
        <w:tab/>
        <w:t>(e)</w:t>
      </w:r>
      <w:r>
        <w:tab/>
        <w:t>compensation for the value of improvements to the lot;</w:t>
      </w:r>
    </w:p>
    <w:p>
      <w:pPr>
        <w:pStyle w:val="nzIndenta"/>
      </w:pPr>
      <w:r>
        <w:tab/>
        <w:t>(f)</w:t>
      </w:r>
      <w:r>
        <w:tab/>
        <w:t>any other matter specified in the regulations.</w:t>
      </w:r>
    </w:p>
    <w:p>
      <w:pPr>
        <w:pStyle w:val="nzSubsection"/>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nzPermNoteHeading"/>
      </w:pPr>
      <w:r>
        <w:tab/>
        <w:t>Note for this subsection:</w:t>
      </w:r>
    </w:p>
    <w:p>
      <w:pPr>
        <w:pStyle w:val="nzPermNoteText"/>
      </w:pPr>
      <w:r>
        <w:tab/>
      </w:r>
      <w:r>
        <w:tab/>
        <w:t>For example, the thing cannot be made the subject of a lease, contract or deed.</w:t>
      </w:r>
    </w:p>
    <w:p>
      <w:pPr>
        <w:pStyle w:val="nzHeading5"/>
      </w:pPr>
      <w:bookmarkStart w:id="989" w:name="_Toc530474407"/>
      <w:bookmarkStart w:id="990" w:name="_Toc530475002"/>
      <w:r>
        <w:t>53.</w:t>
      </w:r>
      <w:r>
        <w:tab/>
        <w:t>Amendment of strata lease</w:t>
      </w:r>
      <w:bookmarkEnd w:id="989"/>
      <w:bookmarkEnd w:id="990"/>
    </w:p>
    <w:p>
      <w:pPr>
        <w:pStyle w:val="nzSubsection"/>
      </w:pPr>
      <w:r>
        <w:tab/>
        <w:t>(1)</w:t>
      </w:r>
      <w:r>
        <w:tab/>
        <w:t>A strata lease can only be amended by written agreement between the owner of the leasehold scheme and the owner of the lot to which the strata lease relates.</w:t>
      </w:r>
    </w:p>
    <w:p>
      <w:pPr>
        <w:pStyle w:val="nzSubsection"/>
      </w:pPr>
      <w:r>
        <w:tab/>
        <w:t>(2)</w:t>
      </w:r>
      <w:r>
        <w:tab/>
        <w:t>The regulations may impose additional requirements for the amendment of a strata lease.</w:t>
      </w:r>
    </w:p>
    <w:p>
      <w:pPr>
        <w:pStyle w:val="nzSubsection"/>
      </w:pPr>
      <w:r>
        <w:tab/>
        <w:t>(3)</w:t>
      </w:r>
      <w:r>
        <w:tab/>
        <w:t>The amendment of a strata lease cannot take effect until registration of the amendment.</w:t>
      </w:r>
    </w:p>
    <w:p>
      <w:pPr>
        <w:pStyle w:val="nzSubsection"/>
      </w:pPr>
      <w:r>
        <w:tab/>
        <w:t>(4)</w:t>
      </w:r>
      <w:r>
        <w:tab/>
        <w:t>An amendment of a strata lease must not be registered unless —</w:t>
      </w:r>
    </w:p>
    <w:p>
      <w:pPr>
        <w:pStyle w:val="nzIndenta"/>
      </w:pPr>
      <w:r>
        <w:tab/>
        <w:t>(a)</w:t>
      </w:r>
      <w:r>
        <w:tab/>
        <w:t>if the owner of the leasehold scheme or the owner of the lot is not an applicant, that owner has given written consent to the amendment; and</w:t>
      </w:r>
    </w:p>
    <w:p>
      <w:pPr>
        <w:pStyle w:val="nzIndenta"/>
      </w:pPr>
      <w:r>
        <w:tab/>
        <w:t>(b)</w:t>
      </w:r>
      <w:r>
        <w:tab/>
        <w:t>the strata lease as amended is lodged with the Registrar of Titles.</w:t>
      </w:r>
    </w:p>
    <w:p>
      <w:pPr>
        <w:pStyle w:val="nzHeading5"/>
      </w:pPr>
      <w:bookmarkStart w:id="991" w:name="_Toc530474408"/>
      <w:bookmarkStart w:id="992" w:name="_Toc530475003"/>
      <w:r>
        <w:t>54.</w:t>
      </w:r>
      <w:r>
        <w:tab/>
        <w:t>Enforcement of strata lease</w:t>
      </w:r>
      <w:bookmarkEnd w:id="991"/>
      <w:bookmarkEnd w:id="992"/>
    </w:p>
    <w:p>
      <w:pPr>
        <w:pStyle w:val="nzSubsection"/>
      </w:pPr>
      <w:r>
        <w:tab/>
        <w:t>(1)</w:t>
      </w:r>
      <w:r>
        <w:tab/>
        <w:t>The owner of a leasehold scheme or the owner of a lot in the leasehold scheme may apply to the Tribunal for enforcement of a covenant or condition in the strata lease or an obligation under this Division.</w:t>
      </w:r>
    </w:p>
    <w:p>
      <w:pPr>
        <w:pStyle w:val="nzSubsection"/>
      </w:pPr>
      <w:r>
        <w:tab/>
        <w:t>(2)</w:t>
      </w:r>
      <w:r>
        <w:tab/>
        <w:t>However, an application can only be made by the owner of the leasehold scheme if —</w:t>
      </w:r>
    </w:p>
    <w:p>
      <w:pPr>
        <w:pStyle w:val="nz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nz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nzSubsection"/>
      </w:pPr>
      <w:r>
        <w:tab/>
        <w:t>(3)</w:t>
      </w:r>
      <w:r>
        <w:tab/>
        <w:t>The Tribunal may, if satisfied that the owner of a lot in a leasehold scheme has breached a covenant or condition in the strata lease, by order do 1 or more of the following —</w:t>
      </w:r>
    </w:p>
    <w:p>
      <w:pPr>
        <w:pStyle w:val="nzIndenta"/>
      </w:pPr>
      <w:r>
        <w:tab/>
        <w:t>(a)</w:t>
      </w:r>
      <w:r>
        <w:tab/>
        <w:t>require the owner of the lot to pay compensation to the owner of the leasehold scheme for any pecuniary loss or damage caused by the breach of the strata lease;</w:t>
      </w:r>
    </w:p>
    <w:p>
      <w:pPr>
        <w:pStyle w:val="nzIndenta"/>
      </w:pPr>
      <w:r>
        <w:tab/>
        <w:t>(b)</w:t>
      </w:r>
      <w:r>
        <w:tab/>
        <w:t>require the owner of the lot to do, or refrain from doing, a specified act to remedy the breach;</w:t>
      </w:r>
    </w:p>
    <w:p>
      <w:pPr>
        <w:pStyle w:val="nz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nzIndenti"/>
      </w:pPr>
      <w:r>
        <w:tab/>
        <w:t>(i)</w:t>
      </w:r>
      <w:r>
        <w:tab/>
        <w:t>the execution of a dealing or other document; or</w:t>
      </w:r>
    </w:p>
    <w:p>
      <w:pPr>
        <w:pStyle w:val="nzIndenti"/>
      </w:pPr>
      <w:r>
        <w:tab/>
        <w:t>(ii)</w:t>
      </w:r>
      <w:r>
        <w:tab/>
        <w:t>the payment of costs, expenses, damages or compensation; or</w:t>
      </w:r>
    </w:p>
    <w:p>
      <w:pPr>
        <w:pStyle w:val="nzIndenti"/>
      </w:pPr>
      <w:r>
        <w:tab/>
        <w:t>(iii)</w:t>
      </w:r>
      <w:r>
        <w:tab/>
        <w:t>the giving of security;</w:t>
      </w:r>
    </w:p>
    <w:p>
      <w:pPr>
        <w:pStyle w:val="nz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nzSubsection"/>
      </w:pPr>
      <w:r>
        <w:tab/>
        <w:t>(4)</w:t>
      </w:r>
      <w:r>
        <w:tab/>
        <w:t>The Tribunal may, if satisfied that the owner of a leasehold scheme has breached a covenant or condition in the strata lease or has contravened this Act, by order do 1 or more of the following —</w:t>
      </w:r>
    </w:p>
    <w:p>
      <w:pPr>
        <w:pStyle w:val="nz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nzIndenta"/>
      </w:pPr>
      <w:r>
        <w:tab/>
        <w:t>(b)</w:t>
      </w:r>
      <w:r>
        <w:tab/>
        <w:t>require the owner of the leasehold scheme to return possession of a lot in the scheme to the owner of the lot.</w:t>
      </w:r>
    </w:p>
    <w:p>
      <w:pPr>
        <w:pStyle w:val="nzHeading5"/>
      </w:pPr>
      <w:bookmarkStart w:id="993" w:name="_Toc530474409"/>
      <w:bookmarkStart w:id="994" w:name="_Toc530475004"/>
      <w:r>
        <w:t>55.</w:t>
      </w:r>
      <w:r>
        <w:tab/>
        <w:t>Contracting out prohibited</w:t>
      </w:r>
      <w:bookmarkEnd w:id="993"/>
      <w:bookmarkEnd w:id="994"/>
    </w:p>
    <w:p>
      <w:pPr>
        <w:pStyle w:val="nzSubsection"/>
      </w:pPr>
      <w:r>
        <w:tab/>
        <w:t>(1)</w:t>
      </w:r>
      <w:r>
        <w:tab/>
        <w:t>A contract or any other agreement or arrangement is of no effect to the extent that it purports to exclude or restrict the operation of this Division.</w:t>
      </w:r>
    </w:p>
    <w:p>
      <w:pPr>
        <w:pStyle w:val="nzSubsection"/>
      </w:pPr>
      <w:r>
        <w:tab/>
        <w:t>(2)</w:t>
      </w:r>
      <w:r>
        <w:tab/>
        <w:t>A purported waiver of a right, remedy or benefit conferred on a person under this Division is of no effect.</w:t>
      </w:r>
    </w:p>
    <w:p>
      <w:pPr>
        <w:pStyle w:val="nzHeading2"/>
      </w:pPr>
      <w:bookmarkStart w:id="995" w:name="_Toc517437612"/>
      <w:bookmarkStart w:id="996" w:name="_Toc517438154"/>
      <w:bookmarkStart w:id="997" w:name="_Toc517440491"/>
      <w:bookmarkStart w:id="998" w:name="_Toc517447528"/>
      <w:bookmarkStart w:id="999" w:name="_Toc517450006"/>
      <w:bookmarkStart w:id="1000" w:name="_Toc517450548"/>
      <w:bookmarkStart w:id="1001" w:name="_Toc517857004"/>
      <w:bookmarkStart w:id="1002" w:name="_Toc518293131"/>
      <w:bookmarkStart w:id="1003" w:name="_Toc522744359"/>
      <w:bookmarkStart w:id="1004" w:name="_Toc522747482"/>
      <w:bookmarkStart w:id="1005" w:name="_Toc529183319"/>
      <w:bookmarkStart w:id="1006" w:name="_Toc529188082"/>
      <w:bookmarkStart w:id="1007" w:name="_Toc529434595"/>
      <w:bookmarkStart w:id="1008" w:name="_Toc529524486"/>
      <w:bookmarkStart w:id="1009" w:name="_Toc530474410"/>
      <w:bookmarkStart w:id="1010" w:name="_Toc530475005"/>
      <w:r>
        <w:t>Part 5</w:t>
      </w:r>
      <w:r>
        <w:rPr>
          <w:b w:val="0"/>
        </w:rPr>
        <w:t> </w:t>
      </w:r>
      <w:r>
        <w:t>—</w:t>
      </w:r>
      <w:r>
        <w:rPr>
          <w:b w:val="0"/>
        </w:rPr>
        <w:t> </w:t>
      </w:r>
      <w:r>
        <w:t>Registration and land titles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nzHeading3"/>
      </w:pPr>
      <w:bookmarkStart w:id="1011" w:name="_Toc517437613"/>
      <w:bookmarkStart w:id="1012" w:name="_Toc517438155"/>
      <w:bookmarkStart w:id="1013" w:name="_Toc517440492"/>
      <w:bookmarkStart w:id="1014" w:name="_Toc517447529"/>
      <w:bookmarkStart w:id="1015" w:name="_Toc517450007"/>
      <w:bookmarkStart w:id="1016" w:name="_Toc517450549"/>
      <w:bookmarkStart w:id="1017" w:name="_Toc517857005"/>
      <w:bookmarkStart w:id="1018" w:name="_Toc518293132"/>
      <w:bookmarkStart w:id="1019" w:name="_Toc522744360"/>
      <w:bookmarkStart w:id="1020" w:name="_Toc522747483"/>
      <w:bookmarkStart w:id="1021" w:name="_Toc529183320"/>
      <w:bookmarkStart w:id="1022" w:name="_Toc529188083"/>
      <w:bookmarkStart w:id="1023" w:name="_Toc529434596"/>
      <w:bookmarkStart w:id="1024" w:name="_Toc529524487"/>
      <w:bookmarkStart w:id="1025" w:name="_Toc530474411"/>
      <w:bookmarkStart w:id="1026" w:name="_Toc530475006"/>
      <w:r>
        <w:t>Division 1 — Schemes and amendment of schemes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zHeading5"/>
      </w:pPr>
      <w:bookmarkStart w:id="1027" w:name="_Toc530474412"/>
      <w:bookmarkStart w:id="1028" w:name="_Toc530475007"/>
      <w:r>
        <w:t>56</w:t>
      </w:r>
      <w:r>
        <w:rPr>
          <w:snapToGrid w:val="0"/>
        </w:rPr>
        <w:t>.</w:t>
      </w:r>
      <w:r>
        <w:rPr>
          <w:snapToGrid w:val="0"/>
        </w:rPr>
        <w:tab/>
        <w:t>Application for registration</w:t>
      </w:r>
      <w:bookmarkEnd w:id="1027"/>
      <w:bookmarkEnd w:id="1028"/>
    </w:p>
    <w:p>
      <w:pPr>
        <w:pStyle w:val="nzSubsection"/>
        <w:rPr>
          <w:snapToGrid w:val="0"/>
        </w:rPr>
      </w:pPr>
      <w:r>
        <w:rPr>
          <w:snapToGrid w:val="0"/>
        </w:rPr>
        <w:tab/>
        <w:t>(1)</w:t>
      </w:r>
      <w:r>
        <w:rPr>
          <w:snapToGrid w:val="0"/>
        </w:rPr>
        <w:tab/>
        <w:t>An application for registration of a strata titles scheme or an amendment of a strata titles scheme can be made —</w:t>
      </w:r>
    </w:p>
    <w:p>
      <w:pPr>
        <w:pStyle w:val="nzIndenta"/>
      </w:pPr>
      <w:r>
        <w:tab/>
        <w:t>(a)</w:t>
      </w:r>
      <w:r>
        <w:tab/>
        <w:t>for registration to give effect to a subdivision, by the scheme developer for the subdivision; or</w:t>
      </w:r>
    </w:p>
    <w:p>
      <w:pPr>
        <w:pStyle w:val="nzIndenta"/>
      </w:pPr>
      <w:r>
        <w:tab/>
        <w:t>(b)</w:t>
      </w:r>
      <w:r>
        <w:tab/>
        <w:t>for registration of an amendment of a strata titles scheme, by —</w:t>
      </w:r>
    </w:p>
    <w:p>
      <w:pPr>
        <w:pStyle w:val="nzIndenti"/>
      </w:pPr>
      <w:r>
        <w:tab/>
        <w:t>(i)</w:t>
      </w:r>
      <w:r>
        <w:tab/>
        <w:t>the strata company for the scheme; or</w:t>
      </w:r>
    </w:p>
    <w:p>
      <w:pPr>
        <w:pStyle w:val="nzIndenti"/>
      </w:pPr>
      <w:r>
        <w:tab/>
        <w:t>(ii)</w:t>
      </w:r>
      <w:r>
        <w:tab/>
        <w:t>an owner of a lot in the scheme; or</w:t>
      </w:r>
    </w:p>
    <w:p>
      <w:pPr>
        <w:pStyle w:val="nzIndenti"/>
      </w:pPr>
      <w:r>
        <w:tab/>
        <w:t>(iii)</w:t>
      </w:r>
      <w:r>
        <w:tab/>
        <w:t>if the scheme is a leasehold scheme, the owner of the leasehold scheme.</w:t>
      </w:r>
    </w:p>
    <w:p>
      <w:pPr>
        <w:pStyle w:val="nzSubsection"/>
      </w:pPr>
      <w:r>
        <w:tab/>
        <w:t>(2)</w:t>
      </w:r>
      <w:r>
        <w:tab/>
        <w:t>An application for registration of a strata titles scheme or an amendment of a strata titles scheme must —</w:t>
      </w:r>
    </w:p>
    <w:p>
      <w:pPr>
        <w:pStyle w:val="nzIndenta"/>
      </w:pPr>
      <w:r>
        <w:tab/>
        <w:t>(a)</w:t>
      </w:r>
      <w:r>
        <w:tab/>
        <w:t>be lodged with the Registrar of Titles; and</w:t>
      </w:r>
    </w:p>
    <w:p>
      <w:pPr>
        <w:pStyle w:val="nzIndenta"/>
      </w:pPr>
      <w:r>
        <w:tab/>
        <w:t>(b)</w:t>
      </w:r>
      <w:r>
        <w:tab/>
        <w:t>be in the approved form; and</w:t>
      </w:r>
    </w:p>
    <w:p>
      <w:pPr>
        <w:pStyle w:val="nzIndenta"/>
      </w:pPr>
      <w:r>
        <w:tab/>
        <w:t>(c)</w:t>
      </w:r>
      <w:r>
        <w:tab/>
        <w:t>be accompanied by —</w:t>
      </w:r>
    </w:p>
    <w:p>
      <w:pPr>
        <w:pStyle w:val="nzIndenti"/>
      </w:pPr>
      <w:r>
        <w:tab/>
        <w:t>(i)</w:t>
      </w:r>
      <w:r>
        <w:tab/>
        <w:t>for registration of a scheme — the scheme documents; or</w:t>
      </w:r>
    </w:p>
    <w:p>
      <w:pPr>
        <w:pStyle w:val="nzIndenti"/>
      </w:pPr>
      <w:r>
        <w:tab/>
        <w:t>(ii)</w:t>
      </w:r>
      <w:r>
        <w:tab/>
        <w:t>for an amendment of a scheme — amendments or replacements of the scheme documents that require modification as a consequence of the amendment of the scheme;</w:t>
      </w:r>
    </w:p>
    <w:p>
      <w:pPr>
        <w:pStyle w:val="nzIndenta"/>
      </w:pPr>
      <w:r>
        <w:tab/>
      </w:r>
      <w:r>
        <w:tab/>
        <w:t>and</w:t>
      </w:r>
    </w:p>
    <w:p>
      <w:pPr>
        <w:pStyle w:val="nzIndenta"/>
      </w:pPr>
      <w:r>
        <w:tab/>
        <w:t>(d)</w:t>
      </w:r>
      <w:r>
        <w:tab/>
        <w:t>be accompanied by evidence, in the approved form, that the requirements of this Act for the making and registration of the scheme documents or amendments of the scheme documents have been complied with; and</w:t>
      </w:r>
    </w:p>
    <w:p>
      <w:pPr>
        <w:pStyle w:val="nzPermNoteHeading"/>
      </w:pPr>
      <w:r>
        <w:tab/>
        <w:t>Note for this paragraph:</w:t>
      </w:r>
    </w:p>
    <w:p>
      <w:pPr>
        <w:pStyle w:val="nz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nzIndenta"/>
      </w:pPr>
      <w:r>
        <w:tab/>
        <w:t>(e)</w:t>
      </w:r>
      <w:r>
        <w:tab/>
        <w:t>must be accompanied, if applicable, by —</w:t>
      </w:r>
    </w:p>
    <w:p>
      <w:pPr>
        <w:pStyle w:val="nzIndenti"/>
      </w:pPr>
      <w:r>
        <w:tab/>
        <w:t>(i)</w:t>
      </w:r>
      <w:r>
        <w:tab/>
        <w:t>a statement (in the approved form) of how each item registered or recorded for the scheme in the Register is to be dealt with; and</w:t>
      </w:r>
    </w:p>
    <w:p>
      <w:pPr>
        <w:pStyle w:val="nzIndenti"/>
      </w:pPr>
      <w:r>
        <w:tab/>
        <w:t>(ii)</w:t>
      </w:r>
      <w:r>
        <w:tab/>
        <w:t>disposition statements, instruments or documents necessary for that purpose;</w:t>
      </w:r>
    </w:p>
    <w:p>
      <w:pPr>
        <w:pStyle w:val="nzIndenta"/>
      </w:pPr>
      <w:r>
        <w:tab/>
      </w:r>
      <w:r>
        <w:tab/>
        <w:t>and</w:t>
      </w:r>
    </w:p>
    <w:p>
      <w:pPr>
        <w:pStyle w:val="nzIndenta"/>
      </w:pPr>
      <w:r>
        <w:tab/>
        <w:t>(f)</w:t>
      </w:r>
      <w:r>
        <w:tab/>
        <w:t>be accompanied by the fee fixed by the regulations.</w:t>
      </w:r>
    </w:p>
    <w:p>
      <w:pPr>
        <w:pStyle w:val="nz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nzSubsection"/>
      </w:pPr>
      <w:r>
        <w:tab/>
        <w:t>(4)</w:t>
      </w:r>
      <w:r>
        <w:tab/>
        <w:t>The regulations may impose time limits within which an application for registration must be made.</w:t>
      </w:r>
    </w:p>
    <w:p>
      <w:pPr>
        <w:pStyle w:val="nzPermNoteHeading"/>
      </w:pPr>
      <w:r>
        <w:tab/>
        <w:t>Note for this subsection:</w:t>
      </w:r>
    </w:p>
    <w:p>
      <w:pPr>
        <w:pStyle w:val="nzPermNoteText"/>
      </w:pPr>
      <w:r>
        <w:tab/>
      </w:r>
      <w:r>
        <w:tab/>
        <w:t>For example, an application involving an amendment of a scheme plan may be required to be made within a specified period after endorsement of the scheme plan by the Planning Commission.</w:t>
      </w:r>
    </w:p>
    <w:p>
      <w:pPr>
        <w:pStyle w:val="nzHeading5"/>
      </w:pPr>
      <w:bookmarkStart w:id="1029" w:name="_Toc530474413"/>
      <w:bookmarkStart w:id="1030" w:name="_Toc530475008"/>
      <w:r>
        <w:t>57.</w:t>
      </w:r>
      <w:r>
        <w:tab/>
        <w:t>Effect of registration</w:t>
      </w:r>
      <w:bookmarkEnd w:id="1029"/>
      <w:bookmarkEnd w:id="1030"/>
    </w:p>
    <w:p>
      <w:pPr>
        <w:pStyle w:val="nzSubsection"/>
      </w:pPr>
      <w:r>
        <w:tab/>
        <w:t>(1)</w:t>
      </w:r>
      <w:r>
        <w:tab/>
        <w:t>On registration of a freehold scheme —</w:t>
      </w:r>
    </w:p>
    <w:p>
      <w:pPr>
        <w:pStyle w:val="nzIndenta"/>
      </w:pPr>
      <w:r>
        <w:tab/>
        <w:t>(a)</w:t>
      </w:r>
      <w:r>
        <w:tab/>
        <w:t>the title to the parcel of land that existed immediately before registration of the scheme ceases to exist; and</w:t>
      </w:r>
    </w:p>
    <w:p>
      <w:pPr>
        <w:pStyle w:val="nzIndenta"/>
      </w:pPr>
      <w:r>
        <w:tab/>
        <w:t>(b)</w:t>
      </w:r>
      <w:r>
        <w:tab/>
        <w:t xml:space="preserve">the certificate of title for the parcel must be cancelled under the </w:t>
      </w:r>
      <w:r>
        <w:rPr>
          <w:i/>
        </w:rPr>
        <w:t>Transfer of Land Act 1893</w:t>
      </w:r>
      <w:r>
        <w:t>.</w:t>
      </w:r>
    </w:p>
    <w:p>
      <w:pPr>
        <w:pStyle w:val="nzSubsection"/>
      </w:pPr>
      <w:r>
        <w:tab/>
        <w:t>(2)</w:t>
      </w:r>
      <w:r>
        <w:tab/>
        <w:t>On registration of a leasehold scheme —</w:t>
      </w:r>
    </w:p>
    <w:p>
      <w:pPr>
        <w:pStyle w:val="nz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nzIndenta"/>
      </w:pPr>
      <w:r>
        <w:tab/>
        <w:t>(b)</w:t>
      </w:r>
      <w:r>
        <w:tab/>
        <w:t xml:space="preserve">the certificate of title for the parcel must be endorsed accordingly under the </w:t>
      </w:r>
      <w:r>
        <w:rPr>
          <w:i/>
        </w:rPr>
        <w:t>Transfer of Land Act 1893</w:t>
      </w:r>
      <w:r>
        <w:t>.</w:t>
      </w:r>
    </w:p>
    <w:p>
      <w:pPr>
        <w:pStyle w:val="nzSubsection"/>
      </w:pPr>
      <w:r>
        <w:tab/>
        <w:t>(3)</w:t>
      </w:r>
      <w:r>
        <w:tab/>
        <w:t>On registration of a strata titles scheme or an amendment of a strata titles scheme to give effect to a subdivision of land —</w:t>
      </w:r>
    </w:p>
    <w:p>
      <w:pPr>
        <w:pStyle w:val="nzIndenta"/>
      </w:pPr>
      <w:r>
        <w:tab/>
        <w:t>(a)</w:t>
      </w:r>
      <w:r>
        <w:tab/>
        <w:t>the relevant lots are created, cease to exist or are varied as required by the subdivision; and</w:t>
      </w:r>
    </w:p>
    <w:p>
      <w:pPr>
        <w:pStyle w:val="nzIndenta"/>
      </w:pPr>
      <w:r>
        <w:tab/>
        <w:t>(b)</w:t>
      </w:r>
      <w:r>
        <w:tab/>
        <w:t>if a lot in a leasehold scheme ceases to exist, the strata lease for the lot is extinguished; and</w:t>
      </w:r>
    </w:p>
    <w:p>
      <w:pPr>
        <w:pStyle w:val="nzIndenta"/>
      </w:pPr>
      <w:r>
        <w:tab/>
        <w:t>(c)</w:t>
      </w:r>
      <w:r>
        <w:tab/>
        <w:t>the relevant common property (if any) comes into existence, ceases to exist or is varied as required by the subdivision.</w:t>
      </w:r>
    </w:p>
    <w:p>
      <w:pPr>
        <w:pStyle w:val="nzSubsection"/>
      </w:pPr>
      <w:r>
        <w:tab/>
        <w:t>(4)</w:t>
      </w:r>
      <w:r>
        <w:tab/>
        <w:t>A scheme document, or an amendment of a scheme document, has effect from when it is registered or recorded by the Registrar of Titles.</w:t>
      </w:r>
    </w:p>
    <w:p>
      <w:pPr>
        <w:pStyle w:val="nzHeading5"/>
      </w:pPr>
      <w:bookmarkStart w:id="1031" w:name="_Toc530474414"/>
      <w:bookmarkStart w:id="1032" w:name="_Toc530475009"/>
      <w:r>
        <w:t>58.</w:t>
      </w:r>
      <w:r>
        <w:tab/>
        <w:t>Registration process</w:t>
      </w:r>
      <w:bookmarkEnd w:id="1031"/>
      <w:bookmarkEnd w:id="1032"/>
    </w:p>
    <w:p>
      <w:pPr>
        <w:pStyle w:val="nzSubsection"/>
        <w:rPr>
          <w:snapToGrid w:val="0"/>
        </w:rPr>
      </w:pPr>
      <w:r>
        <w:tab/>
        <w:t>(1)</w:t>
      </w:r>
      <w:r>
        <w:tab/>
      </w:r>
      <w:r>
        <w:rPr>
          <w:snapToGrid w:val="0"/>
        </w:rPr>
        <w:t>To register a strata titles scheme or an amendment of a strata titles scheme, the Registrar of Titles must —</w:t>
      </w:r>
    </w:p>
    <w:p>
      <w:pPr>
        <w:pStyle w:val="nz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nz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nz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nzIndenta"/>
        <w:rPr>
          <w:snapToGrid w:val="0"/>
        </w:rPr>
      </w:pPr>
      <w:r>
        <w:rPr>
          <w:snapToGrid w:val="0"/>
        </w:rPr>
        <w:tab/>
        <w:t>(d)</w:t>
      </w:r>
      <w:r>
        <w:rPr>
          <w:snapToGrid w:val="0"/>
        </w:rPr>
        <w:tab/>
        <w:t>on registration of a strata titles scheme or an amendment of a strata titles scheme to give effect to a subdivision of land —</w:t>
      </w:r>
    </w:p>
    <w:p>
      <w:pPr>
        <w:pStyle w:val="nz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nzIndenti"/>
        <w:rPr>
          <w:snapToGrid w:val="0"/>
        </w:rPr>
      </w:pPr>
      <w:r>
        <w:rPr>
          <w:snapToGrid w:val="0"/>
        </w:rPr>
        <w:tab/>
        <w:t>(ii)</w:t>
      </w:r>
      <w:r>
        <w:rPr>
          <w:snapToGrid w:val="0"/>
        </w:rPr>
        <w:tab/>
        <w:t>for a leasehold scheme, ensure that there is —</w:t>
      </w:r>
    </w:p>
    <w:p>
      <w:pPr>
        <w:pStyle w:val="nzIndentI0"/>
      </w:pPr>
      <w:r>
        <w:rPr>
          <w:snapToGrid w:val="0"/>
        </w:rPr>
        <w:tab/>
        <w:t>(I)</w:t>
      </w:r>
      <w:r>
        <w:rPr>
          <w:snapToGrid w:val="0"/>
        </w:rPr>
        <w:tab/>
      </w:r>
      <w:r>
        <w:t>a strata lease registered for each lot in the scheme; and</w:t>
      </w:r>
    </w:p>
    <w:p>
      <w:pPr>
        <w:pStyle w:val="nz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nzIndenti"/>
        <w:rPr>
          <w:snapToGrid w:val="0"/>
        </w:rPr>
      </w:pPr>
      <w:r>
        <w:rPr>
          <w:snapToGrid w:val="0"/>
        </w:rPr>
        <w:tab/>
      </w:r>
      <w:r>
        <w:rPr>
          <w:snapToGrid w:val="0"/>
        </w:rPr>
        <w:tab/>
        <w:t>and</w:t>
      </w:r>
    </w:p>
    <w:p>
      <w:pPr>
        <w:pStyle w:val="nz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nzSubsection"/>
      </w:pPr>
      <w:r>
        <w:tab/>
        <w:t>(2)</w:t>
      </w:r>
      <w:r>
        <w:tab/>
        <w:t>A separate certificate of title is not to be created for common property or for a parcel subdivided by a freehold scheme.</w:t>
      </w:r>
    </w:p>
    <w:p>
      <w:pPr>
        <w:pStyle w:val="nzSubsection"/>
      </w:pPr>
      <w:r>
        <w:tab/>
        <w:t>(3)</w:t>
      </w:r>
      <w:r>
        <w:tab/>
        <w:t xml:space="preserve">The </w:t>
      </w:r>
      <w:r>
        <w:rPr>
          <w:i/>
        </w:rPr>
        <w:t>Transfer of Land Act 1893</w:t>
      </w:r>
      <w:r>
        <w:t xml:space="preserve"> section 48B does not apply to a certificate of title for a lot in a leasehold scheme.</w:t>
      </w:r>
    </w:p>
    <w:p>
      <w:pPr>
        <w:pStyle w:val="nzSubsection"/>
      </w:pPr>
      <w:r>
        <w:tab/>
        <w:t>(4)</w:t>
      </w:r>
      <w:r>
        <w:tab/>
        <w:t xml:space="preserve">The </w:t>
      </w:r>
      <w:r>
        <w:rPr>
          <w:i/>
        </w:rPr>
        <w:t>Transfer of Land Act 1893</w:t>
      </w:r>
      <w:r>
        <w:t xml:space="preserve"> section 166 does not apply to a subdivision of land by a strata titles scheme.</w:t>
      </w:r>
    </w:p>
    <w:p>
      <w:pPr>
        <w:pStyle w:val="nz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nzPermNoteHeading"/>
      </w:pPr>
      <w:r>
        <w:tab/>
        <w:t>Note for this subsection:</w:t>
      </w:r>
    </w:p>
    <w:p>
      <w:pPr>
        <w:pStyle w:val="nzPermNoteText"/>
      </w:pPr>
      <w:r>
        <w:tab/>
      </w:r>
      <w:r>
        <w:tab/>
        <w:t>For example, an item may comprise an estate, interest, right, encumbrance, notification, memorial or caveat.</w:t>
      </w:r>
    </w:p>
    <w:p>
      <w:pPr>
        <w:pStyle w:val="nzHeading5"/>
      </w:pPr>
      <w:bookmarkStart w:id="1033" w:name="_Toc530474415"/>
      <w:bookmarkStart w:id="1034" w:name="_Toc530475010"/>
      <w:r>
        <w:t>59.</w:t>
      </w:r>
      <w:r>
        <w:tab/>
        <w:t>No presumption of validity of scheme by</w:t>
      </w:r>
      <w:r>
        <w:noBreakHyphen/>
        <w:t>laws</w:t>
      </w:r>
      <w:bookmarkEnd w:id="1033"/>
      <w:bookmarkEnd w:id="1034"/>
    </w:p>
    <w:p>
      <w:pPr>
        <w:pStyle w:val="nzSubsection"/>
      </w:pPr>
      <w:r>
        <w:tab/>
        <w:t>(1)</w:t>
      </w:r>
      <w:r>
        <w:tab/>
        <w:t>The Registrar of Titles may, but is not obliged to, examine scheme by</w:t>
      </w:r>
      <w:r>
        <w:noBreakHyphen/>
        <w:t>laws lodged for registration for compliance with this Act.</w:t>
      </w:r>
    </w:p>
    <w:p>
      <w:pPr>
        <w:pStyle w:val="nzSubsection"/>
      </w:pPr>
      <w:r>
        <w:tab/>
        <w:t>(2)</w:t>
      </w:r>
      <w:r>
        <w:tab/>
        <w:t>It must not be presumed that, because the Registrar of Titles has registered scheme by</w:t>
      </w:r>
      <w:r>
        <w:noBreakHyphen/>
        <w:t>laws, the by</w:t>
      </w:r>
      <w:r>
        <w:noBreakHyphen/>
        <w:t>laws are valid or enforceable.</w:t>
      </w:r>
    </w:p>
    <w:p>
      <w:pPr>
        <w:pStyle w:val="nzSubsection"/>
      </w:pPr>
      <w:r>
        <w:tab/>
        <w:t>(3)</w:t>
      </w:r>
      <w:r>
        <w:tab/>
        <w:t>The State does not guarantee the validity or enforceability of scheme by</w:t>
      </w:r>
      <w:r>
        <w:noBreakHyphen/>
        <w:t>laws.</w:t>
      </w:r>
    </w:p>
    <w:p>
      <w:pPr>
        <w:pStyle w:val="nzHeading3"/>
      </w:pPr>
      <w:bookmarkStart w:id="1035" w:name="_Toc517437618"/>
      <w:bookmarkStart w:id="1036" w:name="_Toc517438160"/>
      <w:bookmarkStart w:id="1037" w:name="_Toc517440497"/>
      <w:bookmarkStart w:id="1038" w:name="_Toc517447534"/>
      <w:bookmarkStart w:id="1039" w:name="_Toc517450012"/>
      <w:bookmarkStart w:id="1040" w:name="_Toc517450554"/>
      <w:bookmarkStart w:id="1041" w:name="_Toc517857010"/>
      <w:bookmarkStart w:id="1042" w:name="_Toc518293137"/>
      <w:bookmarkStart w:id="1043" w:name="_Toc522744365"/>
      <w:bookmarkStart w:id="1044" w:name="_Toc522747488"/>
      <w:bookmarkStart w:id="1045" w:name="_Toc529183325"/>
      <w:bookmarkStart w:id="1046" w:name="_Toc529188088"/>
      <w:bookmarkStart w:id="1047" w:name="_Toc529434601"/>
      <w:bookmarkStart w:id="1048" w:name="_Toc529524492"/>
      <w:bookmarkStart w:id="1049" w:name="_Toc530474416"/>
      <w:bookmarkStart w:id="1050" w:name="_Toc530475011"/>
      <w:r>
        <w:t>Division 2 — Re</w:t>
      </w:r>
      <w:r>
        <w:noBreakHyphen/>
        <w:t>entry or surrender of strata leases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zHeading5"/>
      </w:pPr>
      <w:bookmarkStart w:id="1051" w:name="_Toc530474417"/>
      <w:bookmarkStart w:id="1052" w:name="_Toc530475012"/>
      <w:r>
        <w:t>60.</w:t>
      </w:r>
      <w:r>
        <w:tab/>
        <w:t>Notice and registration</w:t>
      </w:r>
      <w:bookmarkEnd w:id="1051"/>
      <w:bookmarkEnd w:id="1052"/>
    </w:p>
    <w:p>
      <w:pPr>
        <w:pStyle w:val="nz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nz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nzIndenta"/>
      </w:pPr>
      <w:r>
        <w:tab/>
        <w:t>(b)</w:t>
      </w:r>
      <w:r>
        <w:tab/>
        <w:t>the Registrar of Titles must register the notice; and</w:t>
      </w:r>
    </w:p>
    <w:p>
      <w:pPr>
        <w:pStyle w:val="nzIndenta"/>
      </w:pPr>
      <w:r>
        <w:tab/>
        <w:t>(c)</w:t>
      </w:r>
      <w:r>
        <w:tab/>
        <w:t>on registration of the notice —</w:t>
      </w:r>
    </w:p>
    <w:p>
      <w:pPr>
        <w:pStyle w:val="nzIndenti"/>
      </w:pPr>
      <w:r>
        <w:tab/>
        <w:t>(i)</w:t>
      </w:r>
      <w:r>
        <w:tab/>
        <w:t>the Registrar must register the owner of the leasehold scheme as the owner of the lot; and</w:t>
      </w:r>
    </w:p>
    <w:p>
      <w:pPr>
        <w:pStyle w:val="nzIndenti"/>
      </w:pPr>
      <w:r>
        <w:tab/>
        <w:t>(ii)</w:t>
      </w:r>
      <w:r>
        <w:tab/>
        <w:t>the owner of the leasehold scheme is entitled to vacant possession of the lot; and</w:t>
      </w:r>
    </w:p>
    <w:p>
      <w:pPr>
        <w:pStyle w:val="nzIndenti"/>
      </w:pPr>
      <w:r>
        <w:tab/>
        <w:t>(iii)</w:t>
      </w:r>
      <w:r>
        <w:tab/>
        <w:t>the strata lease is otherwise unaffected.</w:t>
      </w:r>
    </w:p>
    <w:p>
      <w:pPr>
        <w:pStyle w:val="nzHeading3"/>
      </w:pPr>
      <w:bookmarkStart w:id="1053" w:name="_Toc517437620"/>
      <w:bookmarkStart w:id="1054" w:name="_Toc517438162"/>
      <w:bookmarkStart w:id="1055" w:name="_Toc517440499"/>
      <w:bookmarkStart w:id="1056" w:name="_Toc517447536"/>
      <w:bookmarkStart w:id="1057" w:name="_Toc517450014"/>
      <w:bookmarkStart w:id="1058" w:name="_Toc517450556"/>
      <w:bookmarkStart w:id="1059" w:name="_Toc517857012"/>
      <w:bookmarkStart w:id="1060" w:name="_Toc518293139"/>
      <w:bookmarkStart w:id="1061" w:name="_Toc522744367"/>
      <w:bookmarkStart w:id="1062" w:name="_Toc522747490"/>
      <w:bookmarkStart w:id="1063" w:name="_Toc529183327"/>
      <w:bookmarkStart w:id="1064" w:name="_Toc529188090"/>
      <w:bookmarkStart w:id="1065" w:name="_Toc529434603"/>
      <w:bookmarkStart w:id="1066" w:name="_Toc529524494"/>
      <w:bookmarkStart w:id="1067" w:name="_Toc530474418"/>
      <w:bookmarkStart w:id="1068" w:name="_Toc530475013"/>
      <w:r>
        <w:t>Division 3 — Statutory easements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zHeading5"/>
      </w:pPr>
      <w:bookmarkStart w:id="1069" w:name="_Toc530474419"/>
      <w:bookmarkStart w:id="1070" w:name="_Toc530475014"/>
      <w:r>
        <w:t>61.</w:t>
      </w:r>
      <w:r>
        <w:tab/>
        <w:t>Easement for support, shelter and projections — lot</w:t>
      </w:r>
      <w:bookmarkEnd w:id="1069"/>
      <w:bookmarkEnd w:id="1070"/>
    </w:p>
    <w:p>
      <w:pPr>
        <w:pStyle w:val="nzSubsection"/>
        <w:rPr>
          <w:snapToGrid w:val="0"/>
        </w:rPr>
      </w:pPr>
      <w:r>
        <w:tab/>
        <w:t>(1)</w:t>
      </w:r>
      <w:r>
        <w:tab/>
      </w:r>
      <w:r>
        <w:rPr>
          <w:snapToGrid w:val="0"/>
        </w:rPr>
        <w:t>For each lot in a strata titles scheme there is an easement</w:t>
      </w:r>
      <w:r>
        <w:rPr>
          <w:snapToGrid w:val="0"/>
          <w:spacing w:val="-4"/>
        </w:rPr>
        <w:t xml:space="preserve"> benefiting the lot —</w:t>
      </w:r>
    </w:p>
    <w:p>
      <w:pPr>
        <w:pStyle w:val="nzIndenta"/>
      </w:pPr>
      <w:r>
        <w:rPr>
          <w:snapToGrid w:val="0"/>
        </w:rPr>
        <w:tab/>
        <w:t>(a)</w:t>
      </w:r>
      <w:r>
        <w:rPr>
          <w:snapToGrid w:val="0"/>
        </w:rPr>
        <w:tab/>
        <w:t>for the subjacent and lateral support of the lot —</w:t>
      </w:r>
    </w:p>
    <w:p>
      <w:pPr>
        <w:pStyle w:val="nzIndenti"/>
      </w:pPr>
      <w:r>
        <w:tab/>
        <w:t>(i)</w:t>
      </w:r>
      <w:r>
        <w:tab/>
        <w:t>by every other lot in the scheme capable of affording support; and</w:t>
      </w:r>
    </w:p>
    <w:p>
      <w:pPr>
        <w:pStyle w:val="nzIndenti"/>
      </w:pPr>
      <w:r>
        <w:tab/>
        <w:t>(ii)</w:t>
      </w:r>
      <w:r>
        <w:tab/>
        <w:t>by all the common property in the scheme capable of affording support;</w:t>
      </w:r>
    </w:p>
    <w:p>
      <w:pPr>
        <w:pStyle w:val="nzIndenta"/>
      </w:pPr>
      <w:r>
        <w:tab/>
      </w:r>
      <w:r>
        <w:tab/>
        <w:t>and</w:t>
      </w:r>
    </w:p>
    <w:p>
      <w:pPr>
        <w:pStyle w:val="nzIndenta"/>
        <w:rPr>
          <w:snapToGrid w:val="0"/>
          <w:spacing w:val="-4"/>
        </w:rPr>
      </w:pPr>
      <w:r>
        <w:tab/>
        <w:t>(b)</w:t>
      </w:r>
      <w:r>
        <w:tab/>
      </w:r>
      <w:r>
        <w:rPr>
          <w:snapToGrid w:val="0"/>
          <w:spacing w:val="-4"/>
        </w:rPr>
        <w:t>if the scheme is a strata scheme —</w:t>
      </w:r>
    </w:p>
    <w:p>
      <w:pPr>
        <w:pStyle w:val="nzIndenti"/>
      </w:pPr>
      <w:r>
        <w:tab/>
        <w:t>(i)</w:t>
      </w:r>
      <w:r>
        <w:tab/>
        <w:t>for the support and shelter of the parts of a scheme building within the lot by every other part of the scheme building capable of affording support or shelter; and</w:t>
      </w:r>
    </w:p>
    <w:p>
      <w:pPr>
        <w:pStyle w:val="nzIndenti"/>
      </w:pPr>
      <w:r>
        <w:tab/>
        <w:t>(ii)</w:t>
      </w:r>
      <w:r>
        <w:tab/>
        <w:t>for the projection of window sills, windows, window awnings, eaves, guttering and other minor parts of a scheme building within the lot.</w:t>
      </w:r>
    </w:p>
    <w:p>
      <w:pPr>
        <w:pStyle w:val="nzSubsection"/>
      </w:pPr>
      <w:r>
        <w:tab/>
        <w:t>(2)</w:t>
      </w:r>
      <w:r>
        <w:tab/>
        <w:t>The easement entitles the owner of a lot benefited by the easement to examine, maintain, repair, modify and replace the support, shelter or projection to which the easement relates.</w:t>
      </w:r>
    </w:p>
    <w:p>
      <w:pPr>
        <w:pStyle w:val="nzSubsection"/>
      </w:pPr>
      <w:r>
        <w:tab/>
        <w:t>(3)</w:t>
      </w:r>
      <w:r>
        <w:tab/>
        <w:t>The rights conferred by the easement must be exercised so as to minimise, as far as reasonably practicable, interference with the use and enjoyment of lots and common property in the strata titles scheme.</w:t>
      </w:r>
    </w:p>
    <w:p>
      <w:pPr>
        <w:pStyle w:val="nzSubsection"/>
      </w:pPr>
      <w:r>
        <w:tab/>
        <w:t>(4)</w:t>
      </w:r>
      <w:r>
        <w:tab/>
        <w:t>For each lot in a strata titles scheme there is an easement burdening the lot —</w:t>
      </w:r>
    </w:p>
    <w:p>
      <w:pPr>
        <w:pStyle w:val="nzIndenta"/>
      </w:pPr>
      <w:r>
        <w:rPr>
          <w:snapToGrid w:val="0"/>
        </w:rPr>
        <w:tab/>
        <w:t>(a)</w:t>
      </w:r>
      <w:r>
        <w:rPr>
          <w:snapToGrid w:val="0"/>
        </w:rPr>
        <w:tab/>
        <w:t>for the subjacent and lateral support of —</w:t>
      </w:r>
    </w:p>
    <w:p>
      <w:pPr>
        <w:pStyle w:val="nzIndenti"/>
      </w:pPr>
      <w:r>
        <w:tab/>
        <w:t>(i)</w:t>
      </w:r>
      <w:r>
        <w:tab/>
        <w:t>every other lot in the scheme capable of enjoying support; and</w:t>
      </w:r>
    </w:p>
    <w:p>
      <w:pPr>
        <w:pStyle w:val="nzIndenti"/>
      </w:pPr>
      <w:r>
        <w:tab/>
        <w:t>(ii)</w:t>
      </w:r>
      <w:r>
        <w:tab/>
        <w:t>all the common property in the scheme capable of enjoying support;</w:t>
      </w:r>
    </w:p>
    <w:p>
      <w:pPr>
        <w:pStyle w:val="nzIndenta"/>
      </w:pPr>
      <w:r>
        <w:tab/>
      </w:r>
      <w:r>
        <w:tab/>
      </w:r>
      <w:r>
        <w:rPr>
          <w:snapToGrid w:val="0"/>
        </w:rPr>
        <w:t>and</w:t>
      </w:r>
    </w:p>
    <w:p>
      <w:pPr>
        <w:pStyle w:val="nzIndenta"/>
        <w:rPr>
          <w:snapToGrid w:val="0"/>
          <w:spacing w:val="-4"/>
        </w:rPr>
      </w:pPr>
      <w:r>
        <w:tab/>
        <w:t>(b)</w:t>
      </w:r>
      <w:r>
        <w:tab/>
      </w:r>
      <w:r>
        <w:rPr>
          <w:snapToGrid w:val="0"/>
          <w:spacing w:val="-4"/>
        </w:rPr>
        <w:t>if the scheme is a strata scheme —</w:t>
      </w:r>
    </w:p>
    <w:p>
      <w:pPr>
        <w:pStyle w:val="nzIndenti"/>
      </w:pPr>
      <w:r>
        <w:tab/>
        <w:t>(i)</w:t>
      </w:r>
      <w:r>
        <w:tab/>
        <w:t>for the support and shelter by the parts of a scheme building within the lot of all other parts of the scheme building capable of enjoying support or shelter; and</w:t>
      </w:r>
    </w:p>
    <w:p>
      <w:pPr>
        <w:pStyle w:val="nzIndenti"/>
      </w:pPr>
      <w:r>
        <w:tab/>
        <w:t>(ii)</w:t>
      </w:r>
      <w:r>
        <w:tab/>
        <w:t>for the projection over the lot by window sills, windows, window awnings, eaves, guttering and other minor parts of a scheme building within another lot or the common property.</w:t>
      </w:r>
    </w:p>
    <w:p>
      <w:pPr>
        <w:pStyle w:val="nzSubsection"/>
      </w:pPr>
      <w:r>
        <w:tab/>
        <w:t>(5)</w:t>
      </w:r>
      <w:r>
        <w:tab/>
        <w:t>An owner or occupier of a lot must not do anything or permit anything to be done that would interfere with rights under the easement burdening the lot under this section.</w:t>
      </w:r>
    </w:p>
    <w:p>
      <w:pPr>
        <w:pStyle w:val="nzSubsection"/>
      </w:pPr>
      <w:r>
        <w:tab/>
        <w:t>(6)</w:t>
      </w:r>
      <w:r>
        <w:tab/>
        <w:t>An easement under this section has effect even if the lot benefited and the lot burdened have the same owner.</w:t>
      </w:r>
    </w:p>
    <w:p>
      <w:pPr>
        <w:pStyle w:val="nzHeading5"/>
      </w:pPr>
      <w:bookmarkStart w:id="1071" w:name="_Toc530474420"/>
      <w:bookmarkStart w:id="1072" w:name="_Toc530475015"/>
      <w:r>
        <w:t>62.</w:t>
      </w:r>
      <w:r>
        <w:tab/>
        <w:t>Easement for support, shelter and projections — common property</w:t>
      </w:r>
      <w:bookmarkEnd w:id="1071"/>
      <w:bookmarkEnd w:id="1072"/>
    </w:p>
    <w:p>
      <w:pPr>
        <w:pStyle w:val="nz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nz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nzIndenta"/>
        <w:rPr>
          <w:snapToGrid w:val="0"/>
        </w:rPr>
      </w:pPr>
      <w:r>
        <w:rPr>
          <w:snapToGrid w:val="0"/>
        </w:rPr>
        <w:tab/>
        <w:t>(b)</w:t>
      </w:r>
      <w:r>
        <w:rPr>
          <w:snapToGrid w:val="0"/>
        </w:rPr>
        <w:tab/>
        <w:t>if the scheme is a strata scheme —</w:t>
      </w:r>
    </w:p>
    <w:p>
      <w:pPr>
        <w:pStyle w:val="nzIndenti"/>
      </w:pPr>
      <w:r>
        <w:tab/>
        <w:t>(i)</w:t>
      </w:r>
      <w:r>
        <w:tab/>
        <w:t>for the support and shelter of the parts of a scheme building within the common property by every other part of the scheme building capable of affording support or shelter; and</w:t>
      </w:r>
    </w:p>
    <w:p>
      <w:pPr>
        <w:pStyle w:val="nzIndenti"/>
      </w:pPr>
      <w:r>
        <w:tab/>
        <w:t>(ii)</w:t>
      </w:r>
      <w:r>
        <w:tab/>
        <w:t>for the projection of window sills, windows, window awnings, eaves, guttering and other minor parts of a scheme building within the common property.</w:t>
      </w:r>
    </w:p>
    <w:p>
      <w:pPr>
        <w:pStyle w:val="nzSubsection"/>
      </w:pPr>
      <w:r>
        <w:tab/>
        <w:t>(2)</w:t>
      </w:r>
      <w:r>
        <w:tab/>
        <w:t>The easement entitles the strata company to examine, maintain, repair, modify and replace the support, shelter or projection to which the easement relates.</w:t>
      </w:r>
    </w:p>
    <w:p>
      <w:pPr>
        <w:pStyle w:val="nzSubsection"/>
      </w:pPr>
      <w:r>
        <w:tab/>
        <w:t>(3)</w:t>
      </w:r>
      <w:r>
        <w:tab/>
        <w:t>The rights conferred by the easement must be exercised so as to minimise, as far as reasonably practicable, interference with the use and enjoyment of lots and common property in the strata titles scheme.</w:t>
      </w:r>
    </w:p>
    <w:p>
      <w:pPr>
        <w:pStyle w:val="nzSubsection"/>
      </w:pPr>
      <w:r>
        <w:tab/>
        <w:t>(4)</w:t>
      </w:r>
      <w:r>
        <w:tab/>
        <w:t>For common property in a strata titles scheme there is an easement burdening the common property —</w:t>
      </w:r>
    </w:p>
    <w:p>
      <w:pPr>
        <w:pStyle w:val="nzIndenta"/>
        <w:rPr>
          <w:snapToGrid w:val="0"/>
        </w:rPr>
      </w:pPr>
      <w:r>
        <w:rPr>
          <w:snapToGrid w:val="0"/>
        </w:rPr>
        <w:tab/>
        <w:t>(a)</w:t>
      </w:r>
      <w:r>
        <w:rPr>
          <w:snapToGrid w:val="0"/>
        </w:rPr>
        <w:tab/>
        <w:t>for the subjacent and lateral support of every lot in the strata titles scheme capable of enjoying support; and</w:t>
      </w:r>
    </w:p>
    <w:p>
      <w:pPr>
        <w:pStyle w:val="nzIndenta"/>
        <w:rPr>
          <w:snapToGrid w:val="0"/>
        </w:rPr>
      </w:pPr>
      <w:r>
        <w:rPr>
          <w:snapToGrid w:val="0"/>
        </w:rPr>
        <w:tab/>
        <w:t>(b)</w:t>
      </w:r>
      <w:r>
        <w:rPr>
          <w:snapToGrid w:val="0"/>
        </w:rPr>
        <w:tab/>
        <w:t>if the scheme is a strata scheme —</w:t>
      </w:r>
    </w:p>
    <w:p>
      <w:pPr>
        <w:pStyle w:val="nzIndenti"/>
      </w:pPr>
      <w:r>
        <w:tab/>
        <w:t>(i)</w:t>
      </w:r>
      <w:r>
        <w:tab/>
        <w:t>for the support and shelter by the parts of a scheme building within the common property of all other parts of the scheme building capable of enjoying support or shelter; and</w:t>
      </w:r>
    </w:p>
    <w:p>
      <w:pPr>
        <w:pStyle w:val="nzIndenti"/>
      </w:pPr>
      <w:r>
        <w:tab/>
        <w:t>(ii)</w:t>
      </w:r>
      <w:r>
        <w:tab/>
        <w:t>for the projection over the common property by window sills, windows, window awnings, eaves, guttering and other minor parts of a scheme building within a lot.</w:t>
      </w:r>
    </w:p>
    <w:p>
      <w:pPr>
        <w:pStyle w:val="nz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nzHeading5"/>
      </w:pPr>
      <w:bookmarkStart w:id="1073" w:name="_Toc530474421"/>
      <w:bookmarkStart w:id="1074" w:name="_Toc530475016"/>
      <w:r>
        <w:t>63.</w:t>
      </w:r>
      <w:r>
        <w:tab/>
        <w:t>Utility service easement</w:t>
      </w:r>
      <w:bookmarkEnd w:id="1073"/>
      <w:bookmarkEnd w:id="1074"/>
    </w:p>
    <w:p>
      <w:pPr>
        <w:pStyle w:val="nz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nzSubsection"/>
      </w:pPr>
      <w:r>
        <w:tab/>
        <w:t>(2)</w:t>
      </w:r>
      <w:r>
        <w:tab/>
        <w:t>A utility service easement entitles the strata company, and the owner of a lot, in the strata titles scheme —</w:t>
      </w:r>
    </w:p>
    <w:p>
      <w:pPr>
        <w:pStyle w:val="nzIndenta"/>
        <w:rPr>
          <w:snapToGrid w:val="0"/>
        </w:rPr>
      </w:pPr>
      <w:r>
        <w:rPr>
          <w:snapToGrid w:val="0"/>
        </w:rPr>
        <w:tab/>
        <w:t>(a)</w:t>
      </w:r>
      <w:r>
        <w:rPr>
          <w:snapToGrid w:val="0"/>
        </w:rPr>
        <w:tab/>
        <w:t>to install and remove utility conduits; and</w:t>
      </w:r>
    </w:p>
    <w:p>
      <w:pPr>
        <w:pStyle w:val="nzIndenta"/>
        <w:rPr>
          <w:snapToGrid w:val="0"/>
        </w:rPr>
      </w:pPr>
      <w:r>
        <w:rPr>
          <w:snapToGrid w:val="0"/>
        </w:rPr>
        <w:tab/>
        <w:t>(b)</w:t>
      </w:r>
      <w:r>
        <w:rPr>
          <w:snapToGrid w:val="0"/>
        </w:rPr>
        <w:tab/>
        <w:t>to examine, maintain, repair, modify and replace utility conduits.</w:t>
      </w:r>
    </w:p>
    <w:p>
      <w:pPr>
        <w:pStyle w:val="nz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nz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nzIndenta"/>
        <w:rPr>
          <w:snapToGrid w:val="0"/>
        </w:rPr>
      </w:pPr>
      <w:r>
        <w:rPr>
          <w:snapToGrid w:val="0"/>
        </w:rPr>
        <w:tab/>
        <w:t>(a)</w:t>
      </w:r>
      <w:r>
        <w:rPr>
          <w:snapToGrid w:val="0"/>
        </w:rPr>
        <w:tab/>
        <w:t>in the reasonable exercise of rights under a utility service easement of which it has the benefit; or</w:t>
      </w:r>
    </w:p>
    <w:p>
      <w:pPr>
        <w:pStyle w:val="nzIndenta"/>
        <w:rPr>
          <w:snapToGrid w:val="0"/>
        </w:rPr>
      </w:pPr>
      <w:r>
        <w:rPr>
          <w:snapToGrid w:val="0"/>
        </w:rPr>
        <w:tab/>
        <w:t>(b)</w:t>
      </w:r>
      <w:r>
        <w:rPr>
          <w:snapToGrid w:val="0"/>
        </w:rPr>
        <w:tab/>
        <w:t>in the performance of its function of controlling and managing common property in the scheme.</w:t>
      </w:r>
    </w:p>
    <w:p>
      <w:pPr>
        <w:pStyle w:val="nz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nzSubsection"/>
      </w:pPr>
      <w:r>
        <w:tab/>
        <w:t>(6)</w:t>
      </w:r>
      <w:r>
        <w:tab/>
        <w:t>A utility service easement has effect even if the lot benefited and the lot burdened have the same owner.</w:t>
      </w:r>
    </w:p>
    <w:p>
      <w:pPr>
        <w:pStyle w:val="nz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nz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nz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nzHeading5"/>
      </w:pPr>
      <w:bookmarkStart w:id="1075" w:name="_Toc530474422"/>
      <w:bookmarkStart w:id="1076" w:name="_Toc530475017"/>
      <w:r>
        <w:t>64.</w:t>
      </w:r>
      <w:r>
        <w:tab/>
        <w:t>Common property (utility and sustainability infrastructure) easement</w:t>
      </w:r>
      <w:bookmarkEnd w:id="1075"/>
      <w:bookmarkEnd w:id="1076"/>
    </w:p>
    <w:p>
      <w:pPr>
        <w:pStyle w:val="nzSubsection"/>
      </w:pPr>
      <w:r>
        <w:tab/>
        <w:t>(1)</w:t>
      </w:r>
      <w:r>
        <w:tab/>
        <w:t>This section applies if —</w:t>
      </w:r>
    </w:p>
    <w:p>
      <w:pPr>
        <w:pStyle w:val="nz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nzIndenta"/>
      </w:pPr>
      <w:r>
        <w:tab/>
        <w:t>(b)</w:t>
      </w:r>
      <w:r>
        <w:tab/>
        <w:t>this section is applied to the infrastructure contract by ordinary resolution of the strata company.</w:t>
      </w:r>
    </w:p>
    <w:p>
      <w:pPr>
        <w:pStyle w:val="nzSubsection"/>
      </w:pPr>
      <w:r>
        <w:tab/>
        <w:t>(2)</w:t>
      </w:r>
      <w:r>
        <w:tab/>
        <w:t>An infrastructure contract must —</w:t>
      </w:r>
    </w:p>
    <w:p>
      <w:pPr>
        <w:pStyle w:val="nzIndenta"/>
      </w:pPr>
      <w:r>
        <w:tab/>
        <w:t>(a)</w:t>
      </w:r>
      <w:r>
        <w:tab/>
        <w:t>specify the common property over which there is an easement under this section; and</w:t>
      </w:r>
    </w:p>
    <w:p>
      <w:pPr>
        <w:pStyle w:val="nzIndenta"/>
      </w:pPr>
      <w:r>
        <w:tab/>
        <w:t>(b)</w:t>
      </w:r>
      <w:r>
        <w:tab/>
        <w:t>specify the infrastructure to which the easement applies.</w:t>
      </w:r>
    </w:p>
    <w:p>
      <w:pPr>
        <w:pStyle w:val="nz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nzIndenta"/>
      </w:pPr>
      <w:r>
        <w:tab/>
        <w:t>(a)</w:t>
      </w:r>
      <w:r>
        <w:tab/>
        <w:t>to install and remove the infrastructure specified in the contract; and</w:t>
      </w:r>
    </w:p>
    <w:p>
      <w:pPr>
        <w:pStyle w:val="nzIndenta"/>
      </w:pPr>
      <w:r>
        <w:tab/>
        <w:t>(b)</w:t>
      </w:r>
      <w:r>
        <w:tab/>
        <w:t>to operate that infrastructure; and</w:t>
      </w:r>
    </w:p>
    <w:p>
      <w:pPr>
        <w:pStyle w:val="nzIndenta"/>
      </w:pPr>
      <w:r>
        <w:tab/>
        <w:t>(c)</w:t>
      </w:r>
      <w:r>
        <w:tab/>
        <w:t>to examine, maintain, repair, modify and replace that infrastructure.</w:t>
      </w:r>
    </w:p>
    <w:p>
      <w:pPr>
        <w:pStyle w:val="nzSubsection"/>
      </w:pPr>
      <w:r>
        <w:tab/>
        <w:t>(4)</w:t>
      </w:r>
      <w:r>
        <w:tab/>
        <w:t>The easement is subject to any conditions set out in the infrastructure contract (as in force from time to time).</w:t>
      </w:r>
    </w:p>
    <w:p>
      <w:pPr>
        <w:pStyle w:val="nzSubsection"/>
      </w:pPr>
      <w:r>
        <w:tab/>
        <w:t>(5)</w:t>
      </w:r>
      <w:r>
        <w:tab/>
        <w:t>The infrastructure contract may be varied by agreement between the strata company and the person who is the infrastructure owner from time to time.</w:t>
      </w:r>
    </w:p>
    <w:p>
      <w:pPr>
        <w:pStyle w:val="nzSubsection"/>
      </w:pPr>
      <w:r>
        <w:tab/>
        <w:t>(6)</w:t>
      </w:r>
      <w:r>
        <w:tab/>
        <w:t>The easement ceases to exist if the infrastructure contract is terminated or otherwise ceases to have effect.</w:t>
      </w:r>
    </w:p>
    <w:p>
      <w:pPr>
        <w:pStyle w:val="nzSubsection"/>
      </w:pPr>
      <w:r>
        <w:tab/>
        <w:t>(7)</w:t>
      </w:r>
      <w:r>
        <w:tab/>
        <w:t>The rights conferred by the easement must be exercised so as to minimise, as far as reasonably practicable, interference with the enjoyment and use of the common property.</w:t>
      </w:r>
    </w:p>
    <w:p>
      <w:pPr>
        <w:pStyle w:val="nzSubsection"/>
      </w:pPr>
      <w:r>
        <w:tab/>
        <w:t>(8)</w:t>
      </w:r>
      <w:r>
        <w:tab/>
        <w:t>The regulations may —</w:t>
      </w:r>
    </w:p>
    <w:p>
      <w:pPr>
        <w:pStyle w:val="nzIndenta"/>
      </w:pPr>
      <w:r>
        <w:tab/>
        <w:t>(a)</w:t>
      </w:r>
      <w:r>
        <w:tab/>
        <w:t>specify special procedures for notice or voting on the resolution required for the application of this section; and</w:t>
      </w:r>
    </w:p>
    <w:p>
      <w:pPr>
        <w:pStyle w:val="nzIndenta"/>
      </w:pPr>
      <w:r>
        <w:tab/>
        <w:t>(b)</w:t>
      </w:r>
      <w:r>
        <w:tab/>
        <w:t>set out terms and conditions that are to be taken to be implied in an infrastructure contract; and</w:t>
      </w:r>
    </w:p>
    <w:p>
      <w:pPr>
        <w:pStyle w:val="nzIndenta"/>
      </w:pPr>
      <w:r>
        <w:tab/>
        <w:t>(c)</w:t>
      </w:r>
      <w:r>
        <w:tab/>
        <w:t>otherwise regulate the rights and obligations of the strata company and the infrastructure owner.</w:t>
      </w:r>
    </w:p>
    <w:p>
      <w:pPr>
        <w:pStyle w:val="nzHeading5"/>
      </w:pPr>
      <w:bookmarkStart w:id="1077" w:name="_Toc530474423"/>
      <w:bookmarkStart w:id="1078" w:name="_Toc530475018"/>
      <w:r>
        <w:t>65.</w:t>
      </w:r>
      <w:r>
        <w:tab/>
        <w:t>Entry under statutory easement</w:t>
      </w:r>
      <w:bookmarkEnd w:id="1077"/>
      <w:bookmarkEnd w:id="1078"/>
    </w:p>
    <w:p>
      <w:pPr>
        <w:pStyle w:val="nzSubsection"/>
      </w:pPr>
      <w:r>
        <w:tab/>
        <w:t>(1)</w:t>
      </w:r>
      <w:r>
        <w:tab/>
        <w:t>A strata company has a right to enter the common property of its strata titles scheme to exercise its rights under a statutory easement without notice to any person.</w:t>
      </w:r>
    </w:p>
    <w:p>
      <w:pPr>
        <w:pStyle w:val="nzSubsection"/>
      </w:pPr>
      <w:r>
        <w:tab/>
        <w:t>(2)</w:t>
      </w:r>
      <w:r>
        <w:tab/>
        <w:t>If a person needs to enter a lot or common property in order to exercise rights under a statutory easement (other than as set out in subsection (1)), the person must give notice —</w:t>
      </w:r>
    </w:p>
    <w:p>
      <w:pPr>
        <w:pStyle w:val="nzIndenta"/>
      </w:pPr>
      <w:r>
        <w:tab/>
        <w:t>(a)</w:t>
      </w:r>
      <w:r>
        <w:tab/>
        <w:t>for entry to a lot — to the occupier of the lot; and</w:t>
      </w:r>
    </w:p>
    <w:p>
      <w:pPr>
        <w:pStyle w:val="nzIndenta"/>
      </w:pPr>
      <w:r>
        <w:tab/>
        <w:t>(b)</w:t>
      </w:r>
      <w:r>
        <w:tab/>
        <w:t>for entry to common property other than special common property — to the strata company for the strata titles scheme; and</w:t>
      </w:r>
    </w:p>
    <w:p>
      <w:pPr>
        <w:pStyle w:val="nz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nzSubsection"/>
      </w:pPr>
      <w:r>
        <w:tab/>
        <w:t>(3)</w:t>
      </w:r>
      <w:r>
        <w:tab/>
        <w:t>Notice is unnecessary—</w:t>
      </w:r>
    </w:p>
    <w:p>
      <w:pPr>
        <w:pStyle w:val="nzIndenta"/>
      </w:pPr>
      <w:r>
        <w:tab/>
        <w:t>(a)</w:t>
      </w:r>
      <w:r>
        <w:tab/>
        <w:t>in an emergency if there is insufficient time to give notice; or</w:t>
      </w:r>
    </w:p>
    <w:p>
      <w:pPr>
        <w:pStyle w:val="nzIndenta"/>
      </w:pPr>
      <w:r>
        <w:tab/>
        <w:t>(b)</w:t>
      </w:r>
      <w:r>
        <w:tab/>
        <w:t>for entry to a lot, if the occupier of the lot dispenses with the requirement for notice; or</w:t>
      </w:r>
    </w:p>
    <w:p>
      <w:pPr>
        <w:pStyle w:val="nzIndenta"/>
      </w:pPr>
      <w:r>
        <w:tab/>
        <w:t>(c)</w:t>
      </w:r>
      <w:r>
        <w:tab/>
        <w:t>for entry to common property other than special common property if —</w:t>
      </w:r>
    </w:p>
    <w:p>
      <w:pPr>
        <w:pStyle w:val="nzIndenti"/>
      </w:pPr>
      <w:r>
        <w:tab/>
        <w:t>(i)</w:t>
      </w:r>
      <w:r>
        <w:tab/>
        <w:t>the person has the right to enter and enters only for the purposes of inspection; or</w:t>
      </w:r>
    </w:p>
    <w:p>
      <w:pPr>
        <w:pStyle w:val="nzIndenti"/>
      </w:pPr>
      <w:r>
        <w:tab/>
        <w:t>(ii)</w:t>
      </w:r>
      <w:r>
        <w:tab/>
        <w:t>the strata company dispenses with the requirement for notice;</w:t>
      </w:r>
    </w:p>
    <w:p>
      <w:pPr>
        <w:pStyle w:val="nzIndenta"/>
      </w:pPr>
      <w:r>
        <w:tab/>
      </w:r>
      <w:r>
        <w:tab/>
        <w:t>or</w:t>
      </w:r>
    </w:p>
    <w:p>
      <w:pPr>
        <w:pStyle w:val="nzIndenta"/>
      </w:pPr>
      <w:r>
        <w:tab/>
        <w:t>(d)</w:t>
      </w:r>
      <w:r>
        <w:tab/>
        <w:t>for entry to special common property — if the requirement for notice is dispensed with by the occupiers of the special lots.</w:t>
      </w:r>
    </w:p>
    <w:p>
      <w:pPr>
        <w:pStyle w:val="nzSubsection"/>
      </w:pPr>
      <w:r>
        <w:tab/>
        <w:t>(4)</w:t>
      </w:r>
      <w:r>
        <w:tab/>
        <w:t>Notice must be given in the approved form.</w:t>
      </w:r>
    </w:p>
    <w:p>
      <w:pPr>
        <w:pStyle w:val="nzSubsection"/>
      </w:pPr>
      <w:r>
        <w:tab/>
        <w:t>(5)</w:t>
      </w:r>
      <w:r>
        <w:tab/>
        <w:t>The length of the notice must be at least —</w:t>
      </w:r>
    </w:p>
    <w:p>
      <w:pPr>
        <w:pStyle w:val="nzIndenta"/>
      </w:pPr>
      <w:r>
        <w:tab/>
        <w:t>(a)</w:t>
      </w:r>
      <w:r>
        <w:tab/>
        <w:t>for entry by a strata company — 7 days unless a shorter period is agreed to by the occupier of the lot; and</w:t>
      </w:r>
    </w:p>
    <w:p>
      <w:pPr>
        <w:pStyle w:val="nzIndenta"/>
      </w:pPr>
      <w:r>
        <w:tab/>
        <w:t>(b)</w:t>
      </w:r>
      <w:r>
        <w:tab/>
        <w:t>in any other case — 28 days unless a shorter period is agreed to by the occupier of the lot or strata company, as the case requires.</w:t>
      </w:r>
    </w:p>
    <w:p>
      <w:pPr>
        <w:pStyle w:val="nz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nz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nzHeading5"/>
      </w:pPr>
      <w:bookmarkStart w:id="1079" w:name="_Toc530474424"/>
      <w:bookmarkStart w:id="1080" w:name="_Toc530475019"/>
      <w:r>
        <w:t>66.</w:t>
      </w:r>
      <w:r>
        <w:tab/>
        <w:t>Rectification of damage</w:t>
      </w:r>
      <w:bookmarkEnd w:id="1079"/>
      <w:bookmarkEnd w:id="1080"/>
    </w:p>
    <w:p>
      <w:pPr>
        <w:pStyle w:val="nzSubsection"/>
      </w:pPr>
      <w:r>
        <w:tab/>
        <w:t>(1)</w:t>
      </w:r>
      <w:r>
        <w:tab/>
        <w:t>Any damage caused to a lot or common property in the course of exercising rights under a statutory easement must be repaired and made good as soon as practicable by the person exercising those rights.</w:t>
      </w:r>
    </w:p>
    <w:p>
      <w:pPr>
        <w:pStyle w:val="nzSubsection"/>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nzPermNoteHeading"/>
      </w:pPr>
      <w:r>
        <w:tab/>
        <w:t>Note for this Division:</w:t>
      </w:r>
    </w:p>
    <w:p>
      <w:pPr>
        <w:pStyle w:val="nzPermNoteText"/>
      </w:pPr>
      <w:r>
        <w:tab/>
      </w:r>
      <w:r>
        <w:tab/>
        <w:t>Schedule 2A sets out an additional statutory easement for single tier strata schemes.</w:t>
      </w:r>
    </w:p>
    <w:p>
      <w:pPr>
        <w:pStyle w:val="nzHeading3"/>
      </w:pPr>
      <w:bookmarkStart w:id="1081" w:name="_Toc517437627"/>
      <w:bookmarkStart w:id="1082" w:name="_Toc517438169"/>
      <w:bookmarkStart w:id="1083" w:name="_Toc517440506"/>
      <w:bookmarkStart w:id="1084" w:name="_Toc517447543"/>
      <w:bookmarkStart w:id="1085" w:name="_Toc517450021"/>
      <w:bookmarkStart w:id="1086" w:name="_Toc517450563"/>
      <w:bookmarkStart w:id="1087" w:name="_Toc517857019"/>
      <w:bookmarkStart w:id="1088" w:name="_Toc518293146"/>
      <w:bookmarkStart w:id="1089" w:name="_Toc522744374"/>
      <w:bookmarkStart w:id="1090" w:name="_Toc522747497"/>
      <w:bookmarkStart w:id="1091" w:name="_Toc529183334"/>
      <w:bookmarkStart w:id="1092" w:name="_Toc529188097"/>
      <w:bookmarkStart w:id="1093" w:name="_Toc529434610"/>
      <w:bookmarkStart w:id="1094" w:name="_Toc529524501"/>
      <w:bookmarkStart w:id="1095" w:name="_Toc530474425"/>
      <w:bookmarkStart w:id="1096" w:name="_Toc530475020"/>
      <w:r>
        <w:t>Division 4 — Rates, taxes and charges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nzHeading2"/>
      </w:pPr>
      <w:bookmarkStart w:id="1097" w:name="_Toc517437628"/>
      <w:bookmarkStart w:id="1098" w:name="_Toc517438170"/>
      <w:bookmarkStart w:id="1099" w:name="_Toc517440507"/>
      <w:bookmarkStart w:id="1100" w:name="_Toc517447544"/>
      <w:bookmarkStart w:id="1101" w:name="_Toc517450022"/>
      <w:bookmarkStart w:id="1102" w:name="_Toc517450564"/>
      <w:bookmarkStart w:id="1103" w:name="_Toc517857020"/>
      <w:bookmarkStart w:id="1104" w:name="_Toc518293147"/>
      <w:bookmarkStart w:id="1105" w:name="_Toc522744375"/>
      <w:bookmarkStart w:id="1106" w:name="_Toc522747498"/>
      <w:bookmarkStart w:id="1107" w:name="_Toc529183335"/>
      <w:bookmarkStart w:id="1108" w:name="_Toc529188098"/>
      <w:bookmarkStart w:id="1109" w:name="_Toc529434611"/>
      <w:bookmarkStart w:id="1110" w:name="_Toc529524502"/>
      <w:bookmarkStart w:id="1111" w:name="_Toc530474426"/>
      <w:bookmarkStart w:id="1112" w:name="_Toc530475021"/>
      <w:r>
        <w:t>Part 6</w:t>
      </w:r>
      <w:r>
        <w:rPr>
          <w:b w:val="0"/>
        </w:rPr>
        <w:t> </w:t>
      </w:r>
      <w:r>
        <w:t>—</w:t>
      </w:r>
      <w:r>
        <w:rPr>
          <w:b w:val="0"/>
        </w:rPr>
        <w:t> </w:t>
      </w:r>
      <w:r>
        <w:t>Scheme developer</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nzHeading5"/>
      </w:pPr>
      <w:bookmarkStart w:id="1113" w:name="_Toc530474427"/>
      <w:bookmarkStart w:id="1114" w:name="_Toc530475022"/>
      <w:r>
        <w:t>77.</w:t>
      </w:r>
      <w:r>
        <w:tab/>
        <w:t>First statutory general meeting</w:t>
      </w:r>
      <w:bookmarkEnd w:id="1113"/>
      <w:bookmarkEnd w:id="1114"/>
    </w:p>
    <w:p>
      <w:pPr>
        <w:pStyle w:val="nz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nzSubsection"/>
      </w:pPr>
      <w:r>
        <w:tab/>
        <w:t>(2)</w:t>
      </w:r>
      <w:r>
        <w:tab/>
        <w:t>The scheme developer must do so even if the scheme developer is no longer a member of the strata company and even if there are no other members of the strata company.</w:t>
      </w:r>
    </w:p>
    <w:p>
      <w:pPr>
        <w:pStyle w:val="nzSubsection"/>
      </w:pPr>
      <w:r>
        <w:tab/>
        <w:t>(3)</w:t>
      </w:r>
      <w:r>
        <w:tab/>
        <w:t>If there is another member of the strata company, a member of the strata company may convene the meeting if the scheme developer fails to do so.</w:t>
      </w:r>
    </w:p>
    <w:p>
      <w:pPr>
        <w:pStyle w:val="nz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nzSubsection"/>
      </w:pPr>
      <w:r>
        <w:tab/>
        <w:t>(5)</w:t>
      </w:r>
      <w:r>
        <w:tab/>
        <w:t>The person who convenes the meeting is to preside at the meeting or nominate someone to preside at the meeting.</w:t>
      </w:r>
    </w:p>
    <w:p>
      <w:pPr>
        <w:pStyle w:val="nzHeading5"/>
      </w:pPr>
      <w:bookmarkStart w:id="1115" w:name="_Toc530474428"/>
      <w:bookmarkStart w:id="1116" w:name="_Toc530475023"/>
      <w:r>
        <w:t>78.</w:t>
      </w:r>
      <w:r>
        <w:tab/>
        <w:t>Key documents</w:t>
      </w:r>
      <w:bookmarkEnd w:id="1115"/>
      <w:bookmarkEnd w:id="1116"/>
    </w:p>
    <w:p>
      <w:pPr>
        <w:pStyle w:val="nzSubsection"/>
        <w:rPr>
          <w:snapToGrid w:val="0"/>
        </w:rPr>
      </w:pPr>
      <w:r>
        <w:tab/>
        <w:t>(1)</w:t>
      </w:r>
      <w:r>
        <w:tab/>
      </w:r>
      <w:r>
        <w:rPr>
          <w:snapToGrid w:val="0"/>
        </w:rPr>
        <w:t>The scheme developer of a subdivision of land by a strata titles scheme must ensure that —</w:t>
      </w:r>
    </w:p>
    <w:p>
      <w:pPr>
        <w:pStyle w:val="nzIndenta"/>
      </w:pPr>
      <w:r>
        <w:tab/>
        <w:t>(a)</w:t>
      </w:r>
      <w:r>
        <w:tab/>
        <w:t>all the key documents for the subdivision that come into the possession or control of the scheme developer are retained; and</w:t>
      </w:r>
    </w:p>
    <w:p>
      <w:pPr>
        <w:pStyle w:val="nzIndenta"/>
      </w:pPr>
      <w:r>
        <w:tab/>
        <w:t>(b)</w:t>
      </w:r>
      <w:r>
        <w:tab/>
        <w:t>all the key documents for the subdivision that the scheme developer possesses or controls are given to the strata company —</w:t>
      </w:r>
    </w:p>
    <w:p>
      <w:pPr>
        <w:pStyle w:val="nzIndenti"/>
        <w:rPr>
          <w:snapToGrid w:val="0"/>
        </w:rPr>
      </w:pPr>
      <w:r>
        <w:rPr>
          <w:snapToGrid w:val="0"/>
        </w:rPr>
        <w:tab/>
        <w:t>(i)</w:t>
      </w:r>
      <w:r>
        <w:rPr>
          <w:snapToGrid w:val="0"/>
        </w:rPr>
        <w:tab/>
        <w:t>at the first general meeting of the strata company following the subdivision; or</w:t>
      </w:r>
    </w:p>
    <w:p>
      <w:pPr>
        <w:pStyle w:val="nz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nz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nzHeading5"/>
      </w:pPr>
      <w:bookmarkStart w:id="1117" w:name="_Toc530474429"/>
      <w:bookmarkStart w:id="1118" w:name="_Toc530475024"/>
      <w:r>
        <w:t>79.</w:t>
      </w:r>
      <w:r>
        <w:tab/>
        <w:t>Disclosure of remuneration and other benefits</w:t>
      </w:r>
      <w:bookmarkEnd w:id="1117"/>
      <w:bookmarkEnd w:id="1118"/>
    </w:p>
    <w:p>
      <w:pPr>
        <w:pStyle w:val="nzSubsection"/>
        <w:rPr>
          <w:snapToGrid w:val="0"/>
        </w:rPr>
      </w:pPr>
      <w:r>
        <w:rPr>
          <w:snapToGrid w:val="0"/>
        </w:rPr>
        <w:tab/>
        <w:t>(1)</w:t>
      </w:r>
      <w:r>
        <w:rPr>
          <w:snapToGrid w:val="0"/>
        </w:rPr>
        <w:tab/>
        <w:t>This section applies to the following —</w:t>
      </w:r>
    </w:p>
    <w:p>
      <w:pPr>
        <w:pStyle w:val="nzIndenta"/>
      </w:pPr>
      <w:r>
        <w:tab/>
        <w:t>(a)</w:t>
      </w:r>
      <w:r>
        <w:tab/>
        <w:t>a contract for the provision of services or amenities to the strata company or to members of the strata company entered into or arranged by a scheme developer for the subdivision or by the strata company;</w:t>
      </w:r>
    </w:p>
    <w:p>
      <w:pPr>
        <w:pStyle w:val="nzIndenta"/>
      </w:pPr>
      <w:r>
        <w:tab/>
        <w:t>(b)</w:t>
      </w:r>
      <w:r>
        <w:tab/>
        <w:t>any other contract that binds the strata company;</w:t>
      </w:r>
    </w:p>
    <w:p>
      <w:pPr>
        <w:pStyle w:val="nzIndenta"/>
      </w:pPr>
      <w:r>
        <w:tab/>
        <w:t>(c)</w:t>
      </w:r>
      <w:r>
        <w:tab/>
        <w:t>a lease or licence of the common property of the strata titles scheme.</w:t>
      </w:r>
    </w:p>
    <w:p>
      <w:pPr>
        <w:pStyle w:val="nz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nz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nzIndenta"/>
      </w:pPr>
      <w:r>
        <w:tab/>
        <w:t>(b)</w:t>
      </w:r>
      <w:r>
        <w:tab/>
        <w:t>details of any other direct or indirect pecuniary interest that the scheme developer or an associate of the scheme developer has in the contract, lease or licence, other than as a member of the strata company.</w:t>
      </w:r>
    </w:p>
    <w:p>
      <w:pPr>
        <w:pStyle w:val="nzSubsection"/>
      </w:pPr>
      <w:r>
        <w:tab/>
        <w:t>(3)</w:t>
      </w:r>
      <w:r>
        <w:tab/>
        <w:t>The disclosure —</w:t>
      </w:r>
    </w:p>
    <w:p>
      <w:pPr>
        <w:pStyle w:val="nzIndenta"/>
      </w:pPr>
      <w:r>
        <w:tab/>
        <w:t>(a)</w:t>
      </w:r>
      <w:r>
        <w:tab/>
        <w:t>must be made as soon as reasonably practicable after the scheme developer becomes aware of the facts giving rise to the requirement to disclose; and</w:t>
      </w:r>
    </w:p>
    <w:p>
      <w:pPr>
        <w:pStyle w:val="nzIndenta"/>
      </w:pPr>
      <w:r>
        <w:tab/>
        <w:t>(b)</w:t>
      </w:r>
      <w:r>
        <w:tab/>
        <w:t>must include information as to the value of the remuneration or other benefit.</w:t>
      </w:r>
    </w:p>
    <w:p>
      <w:pPr>
        <w:pStyle w:val="nzHeading5"/>
      </w:pPr>
      <w:bookmarkStart w:id="1119" w:name="_Toc530474430"/>
      <w:bookmarkStart w:id="1120" w:name="_Toc530475025"/>
      <w:r>
        <w:t>80.</w:t>
      </w:r>
      <w:r>
        <w:tab/>
        <w:t>Defects in scheme buildings or infrastructure</w:t>
      </w:r>
      <w:bookmarkEnd w:id="1119"/>
      <w:bookmarkEnd w:id="1120"/>
    </w:p>
    <w:p>
      <w:pPr>
        <w:pStyle w:val="nzSubsection"/>
      </w:pPr>
      <w:r>
        <w:tab/>
        <w:t>(1)</w:t>
      </w:r>
      <w:r>
        <w:tab/>
        <w:t>On establishment of a strata company for a strata scheme, the strata company is subrogated to all the rights and remedies of the scheme developer in respect of —</w:t>
      </w:r>
    </w:p>
    <w:p>
      <w:pPr>
        <w:pStyle w:val="nzIndenta"/>
      </w:pPr>
      <w:r>
        <w:tab/>
        <w:t>(a)</w:t>
      </w:r>
      <w:r>
        <w:tab/>
        <w:t>in a strata scheme — each scheme building; and</w:t>
      </w:r>
    </w:p>
    <w:p>
      <w:pPr>
        <w:pStyle w:val="nzIndenta"/>
      </w:pPr>
      <w:r>
        <w:tab/>
        <w:t>(b)</w:t>
      </w:r>
      <w:r>
        <w:tab/>
        <w:t>in a strata scheme or survey</w:t>
      </w:r>
      <w:r>
        <w:noBreakHyphen/>
        <w:t>strata scheme — infrastructure comprising common property of the scheme.</w:t>
      </w:r>
    </w:p>
    <w:p>
      <w:pPr>
        <w:pStyle w:val="nz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nzIndenta"/>
      </w:pPr>
      <w:r>
        <w:tab/>
        <w:t>(a)</w:t>
      </w:r>
      <w:r>
        <w:tab/>
        <w:t>the scheme developer of a subdivision of land by the strata titles scheme in which the building was constructed or modified; or</w:t>
      </w:r>
    </w:p>
    <w:p>
      <w:pPr>
        <w:pStyle w:val="nzIndenta"/>
      </w:pPr>
      <w:r>
        <w:tab/>
        <w:t>(b)</w:t>
      </w:r>
      <w:r>
        <w:tab/>
        <w:t>an associate of such a person.</w:t>
      </w:r>
    </w:p>
    <w:p>
      <w:pPr>
        <w:pStyle w:val="nz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nzHeading5"/>
      </w:pPr>
      <w:bookmarkStart w:id="1121" w:name="_Toc530474431"/>
      <w:bookmarkStart w:id="1122" w:name="_Toc530475026"/>
      <w:r>
        <w:t>81.</w:t>
      </w:r>
      <w:r>
        <w:tab/>
        <w:t>Contracting out prohibited</w:t>
      </w:r>
      <w:bookmarkEnd w:id="1121"/>
      <w:bookmarkEnd w:id="1122"/>
    </w:p>
    <w:p>
      <w:pPr>
        <w:pStyle w:val="nzSubsection"/>
        <w:rPr>
          <w:snapToGrid w:val="0"/>
        </w:rPr>
      </w:pPr>
      <w:r>
        <w:tab/>
        <w:t>(1)</w:t>
      </w:r>
      <w:r>
        <w:tab/>
      </w:r>
      <w:r>
        <w:rPr>
          <w:snapToGrid w:val="0"/>
        </w:rPr>
        <w:t>A contract or any other agreement or arrangement is of no effect to the extent that it purports to exclude or restrict the operation of this Part.</w:t>
      </w:r>
    </w:p>
    <w:p>
      <w:pPr>
        <w:pStyle w:val="nzSubsection"/>
        <w:rPr>
          <w:snapToGrid w:val="0"/>
        </w:rPr>
      </w:pPr>
      <w:r>
        <w:rPr>
          <w:snapToGrid w:val="0"/>
        </w:rPr>
        <w:tab/>
        <w:t>(2)</w:t>
      </w:r>
      <w:r>
        <w:rPr>
          <w:snapToGrid w:val="0"/>
        </w:rPr>
        <w:tab/>
        <w:t>A purported waiver of a right, remedy or benefit conferred on a person under this Part is of no effect.</w:t>
      </w:r>
    </w:p>
    <w:p>
      <w:pPr>
        <w:pStyle w:val="nzHeading2"/>
      </w:pPr>
      <w:bookmarkStart w:id="1123" w:name="_Toc517437634"/>
      <w:bookmarkStart w:id="1124" w:name="_Toc517438176"/>
      <w:bookmarkStart w:id="1125" w:name="_Toc517440513"/>
      <w:bookmarkStart w:id="1126" w:name="_Toc517447550"/>
      <w:bookmarkStart w:id="1127" w:name="_Toc517450028"/>
      <w:bookmarkStart w:id="1128" w:name="_Toc517450570"/>
      <w:bookmarkStart w:id="1129" w:name="_Toc517857026"/>
      <w:bookmarkStart w:id="1130" w:name="_Toc518293153"/>
      <w:bookmarkStart w:id="1131" w:name="_Toc522744381"/>
      <w:bookmarkStart w:id="1132" w:name="_Toc522747504"/>
      <w:bookmarkStart w:id="1133" w:name="_Toc529183341"/>
      <w:bookmarkStart w:id="1134" w:name="_Toc529188104"/>
      <w:bookmarkStart w:id="1135" w:name="_Toc529434617"/>
      <w:bookmarkStart w:id="1136" w:name="_Toc529524508"/>
      <w:bookmarkStart w:id="1137" w:name="_Toc530474432"/>
      <w:bookmarkStart w:id="1138" w:name="_Toc530475027"/>
      <w:r>
        <w:t>Part 7</w:t>
      </w:r>
      <w:r>
        <w:rPr>
          <w:b w:val="0"/>
        </w:rPr>
        <w:t> </w:t>
      </w:r>
      <w:r>
        <w:t>—</w:t>
      </w:r>
      <w:r>
        <w:rPr>
          <w:b w:val="0"/>
        </w:rPr>
        <w:t> </w:t>
      </w:r>
      <w:r>
        <w:t>Lot owners and occupiers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nzHeading3"/>
      </w:pPr>
      <w:bookmarkStart w:id="1139" w:name="_Toc517437635"/>
      <w:bookmarkStart w:id="1140" w:name="_Toc517438177"/>
      <w:bookmarkStart w:id="1141" w:name="_Toc517440514"/>
      <w:bookmarkStart w:id="1142" w:name="_Toc517447551"/>
      <w:bookmarkStart w:id="1143" w:name="_Toc517450029"/>
      <w:bookmarkStart w:id="1144" w:name="_Toc517450571"/>
      <w:bookmarkStart w:id="1145" w:name="_Toc517857027"/>
      <w:bookmarkStart w:id="1146" w:name="_Toc518293154"/>
      <w:bookmarkStart w:id="1147" w:name="_Toc522744382"/>
      <w:bookmarkStart w:id="1148" w:name="_Toc522747505"/>
      <w:bookmarkStart w:id="1149" w:name="_Toc529183342"/>
      <w:bookmarkStart w:id="1150" w:name="_Toc529188105"/>
      <w:bookmarkStart w:id="1151" w:name="_Toc529434618"/>
      <w:bookmarkStart w:id="1152" w:name="_Toc529524509"/>
      <w:bookmarkStart w:id="1153" w:name="_Toc530474433"/>
      <w:bookmarkStart w:id="1154" w:name="_Toc530475028"/>
      <w:r>
        <w:t>Division 1 — General</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nzHeading5"/>
      </w:pPr>
      <w:bookmarkStart w:id="1155" w:name="_Toc530474434"/>
      <w:bookmarkStart w:id="1156" w:name="_Toc530475029"/>
      <w:r>
        <w:t>82.</w:t>
      </w:r>
      <w:r>
        <w:tab/>
        <w:t>Offence to contravene restricted use condition</w:t>
      </w:r>
      <w:bookmarkEnd w:id="1155"/>
      <w:bookmarkEnd w:id="1156"/>
    </w:p>
    <w:p>
      <w:pPr>
        <w:pStyle w:val="nz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nzPenstart"/>
        <w:rPr>
          <w:snapToGrid w:val="0"/>
        </w:rPr>
      </w:pPr>
      <w:r>
        <w:rPr>
          <w:snapToGrid w:val="0"/>
        </w:rPr>
        <w:tab/>
        <w:t>Penalty for this subsection:</w:t>
      </w:r>
    </w:p>
    <w:p>
      <w:pPr>
        <w:pStyle w:val="nzPenpara"/>
        <w:rPr>
          <w:snapToGrid w:val="0"/>
        </w:rPr>
      </w:pPr>
      <w:r>
        <w:rPr>
          <w:snapToGrid w:val="0"/>
        </w:rPr>
        <w:tab/>
        <w:t>(a)</w:t>
      </w:r>
      <w:r>
        <w:rPr>
          <w:snapToGrid w:val="0"/>
        </w:rPr>
        <w:tab/>
        <w:t>a fine of $10 000;</w:t>
      </w:r>
    </w:p>
    <w:p>
      <w:pPr>
        <w:pStyle w:val="nzPenpara"/>
        <w:rPr>
          <w:snapToGrid w:val="0"/>
        </w:rPr>
      </w:pPr>
      <w:r>
        <w:rPr>
          <w:snapToGrid w:val="0"/>
        </w:rPr>
        <w:tab/>
        <w:t>(b)</w:t>
      </w:r>
      <w:r>
        <w:rPr>
          <w:snapToGrid w:val="0"/>
        </w:rPr>
        <w:tab/>
        <w:t>a daily penalty of a fine of $1 000 for each day or part of a day during which the offence continues.</w:t>
      </w:r>
    </w:p>
    <w:p>
      <w:pPr>
        <w:pStyle w:val="nzHeading5"/>
      </w:pPr>
      <w:bookmarkStart w:id="1157" w:name="_Toc530474435"/>
      <w:bookmarkStart w:id="1158" w:name="_Toc530475030"/>
      <w:r>
        <w:t>83.</w:t>
      </w:r>
      <w:r>
        <w:tab/>
        <w:t>Use and enjoyment</w:t>
      </w:r>
      <w:bookmarkEnd w:id="1157"/>
      <w:bookmarkEnd w:id="1158"/>
    </w:p>
    <w:p>
      <w:pPr>
        <w:pStyle w:val="nz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nzHeading5"/>
        <w:rPr>
          <w:snapToGrid w:val="0"/>
        </w:rPr>
      </w:pPr>
      <w:bookmarkStart w:id="1159" w:name="_Toc530474436"/>
      <w:bookmarkStart w:id="1160" w:name="_Toc530475031"/>
      <w:r>
        <w:t>85.</w:t>
      </w:r>
      <w:r>
        <w:tab/>
        <w:t>Person to act for lot owner in certain circumstances</w:t>
      </w:r>
      <w:bookmarkEnd w:id="1159"/>
      <w:bookmarkEnd w:id="1160"/>
    </w:p>
    <w:p>
      <w:pPr>
        <w:pStyle w:val="nzSubsection"/>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nzSubsection"/>
      </w:pPr>
      <w:r>
        <w:tab/>
        <w:t>(2)</w:t>
      </w:r>
      <w:r>
        <w:tab/>
        <w:t>The Tribunal may, on an application under this section, by order —</w:t>
      </w:r>
    </w:p>
    <w:p>
      <w:pPr>
        <w:pStyle w:val="nzIndenta"/>
      </w:pPr>
      <w:r>
        <w:tab/>
        <w:t>(a)</w:t>
      </w:r>
      <w:r>
        <w:tab/>
        <w:t>dispense with the requirement for the owner to vote or consent on a particular matter; or</w:t>
      </w:r>
    </w:p>
    <w:p>
      <w:pPr>
        <w:pStyle w:val="nz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nzHeading3"/>
      </w:pPr>
      <w:bookmarkStart w:id="1161" w:name="_Toc517437639"/>
      <w:bookmarkStart w:id="1162" w:name="_Toc517438181"/>
      <w:bookmarkStart w:id="1163" w:name="_Toc517440518"/>
      <w:bookmarkStart w:id="1164" w:name="_Toc517447555"/>
      <w:bookmarkStart w:id="1165" w:name="_Toc517450033"/>
      <w:bookmarkStart w:id="1166" w:name="_Toc517450575"/>
      <w:bookmarkStart w:id="1167" w:name="_Toc517857031"/>
      <w:bookmarkStart w:id="1168" w:name="_Toc518293158"/>
      <w:bookmarkStart w:id="1169" w:name="_Toc522744386"/>
      <w:bookmarkStart w:id="1170" w:name="_Toc522747509"/>
      <w:bookmarkStart w:id="1171" w:name="_Toc529183346"/>
      <w:bookmarkStart w:id="1172" w:name="_Toc529188109"/>
      <w:bookmarkStart w:id="1173" w:name="_Toc529434622"/>
      <w:bookmarkStart w:id="1174" w:name="_Toc529524513"/>
      <w:bookmarkStart w:id="1175" w:name="_Toc530474437"/>
      <w:bookmarkStart w:id="1176" w:name="_Toc530475032"/>
      <w:r>
        <w:t>Division 2 — Structural alteration of lots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zPermNoteHeading"/>
      </w:pPr>
      <w:r>
        <w:tab/>
        <w:t>Note for this Division:</w:t>
      </w:r>
    </w:p>
    <w:p>
      <w:pPr>
        <w:pStyle w:val="nzPermNoteText"/>
      </w:pPr>
      <w:r>
        <w:tab/>
      </w:r>
      <w:r>
        <w:tab/>
        <w:t>This Division does not derogate from the requirement for subdivision approval if the definition of a lot is modified.</w:t>
      </w:r>
    </w:p>
    <w:p>
      <w:pPr>
        <w:pStyle w:val="nzHeading5"/>
        <w:rPr>
          <w:snapToGrid w:val="0"/>
        </w:rPr>
      </w:pPr>
      <w:bookmarkStart w:id="1177" w:name="_Toc530474438"/>
      <w:bookmarkStart w:id="1178" w:name="_Toc530475033"/>
      <w:r>
        <w:t>86.</w:t>
      </w:r>
      <w:r>
        <w:tab/>
        <w:t>Terms used in this Division</w:t>
      </w:r>
      <w:bookmarkEnd w:id="1177"/>
      <w:bookmarkEnd w:id="1178"/>
    </w:p>
    <w:p>
      <w:pPr>
        <w:pStyle w:val="nzSubsection"/>
        <w:rPr>
          <w:snapToGrid w:val="0"/>
        </w:rPr>
      </w:pPr>
      <w:r>
        <w:rPr>
          <w:snapToGrid w:val="0"/>
        </w:rPr>
        <w:tab/>
      </w:r>
      <w:r>
        <w:rPr>
          <w:snapToGrid w:val="0"/>
        </w:rPr>
        <w:tab/>
        <w:t xml:space="preserve">In </w:t>
      </w:r>
      <w:r>
        <w:t>this</w:t>
      </w:r>
      <w:r>
        <w:rPr>
          <w:snapToGrid w:val="0"/>
        </w:rPr>
        <w:t xml:space="preserve"> Division —</w:t>
      </w:r>
    </w:p>
    <w:p>
      <w:pPr>
        <w:pStyle w:val="nzDefstart"/>
      </w:pPr>
      <w:r>
        <w:tab/>
      </w:r>
      <w:r>
        <w:rPr>
          <w:rStyle w:val="CharDefText"/>
        </w:rPr>
        <w:t>structural alteration of a lot</w:t>
      </w:r>
      <w:r>
        <w:t xml:space="preserve"> means —</w:t>
      </w:r>
    </w:p>
    <w:p>
      <w:pPr>
        <w:pStyle w:val="nzDefpara"/>
      </w:pPr>
      <w:r>
        <w:tab/>
        <w:t>(a)</w:t>
      </w:r>
      <w:r>
        <w:tab/>
        <w:t>the erection of a structure within the lot; or</w:t>
      </w:r>
    </w:p>
    <w:p>
      <w:pPr>
        <w:pStyle w:val="nzDefpara"/>
      </w:pPr>
      <w:r>
        <w:tab/>
        <w:t>(b)</w:t>
      </w:r>
      <w:r>
        <w:tab/>
        <w:t>an alteration of a structural kind to, or extension of, a structure within the lot;</w:t>
      </w:r>
    </w:p>
    <w:p>
      <w:pPr>
        <w:pStyle w:val="nzDefstart"/>
      </w:pPr>
      <w:r>
        <w:tab/>
      </w:r>
      <w:r>
        <w:rPr>
          <w:rStyle w:val="CharDefText"/>
        </w:rPr>
        <w:t>structure</w:t>
      </w:r>
      <w:r>
        <w:t xml:space="preserve"> includes anything classified as a structure by the regulations.</w:t>
      </w:r>
    </w:p>
    <w:p>
      <w:pPr>
        <w:pStyle w:val="nzHeading5"/>
        <w:rPr>
          <w:snapToGrid w:val="0"/>
        </w:rPr>
      </w:pPr>
      <w:bookmarkStart w:id="1179" w:name="_Toc530474439"/>
      <w:bookmarkStart w:id="1180" w:name="_Toc530475034"/>
      <w:r>
        <w:t>88</w:t>
      </w:r>
      <w:r>
        <w:rPr>
          <w:snapToGrid w:val="0"/>
        </w:rPr>
        <w:t>.</w:t>
      </w:r>
      <w:r>
        <w:rPr>
          <w:snapToGrid w:val="0"/>
        </w:rPr>
        <w:tab/>
        <w:t>Structural alteration of lot in survey</w:t>
      </w:r>
      <w:r>
        <w:rPr>
          <w:snapToGrid w:val="0"/>
        </w:rPr>
        <w:noBreakHyphen/>
        <w:t>strata scheme</w:t>
      </w:r>
      <w:bookmarkEnd w:id="1179"/>
      <w:bookmarkEnd w:id="1180"/>
    </w:p>
    <w:p>
      <w:pPr>
        <w:pStyle w:val="nz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nzIndenta"/>
      </w:pPr>
      <w:r>
        <w:tab/>
        <w:t>(a)</w:t>
      </w:r>
      <w:r>
        <w:tab/>
        <w:t>the owner of the other lot; and</w:t>
      </w:r>
    </w:p>
    <w:p>
      <w:pPr>
        <w:pStyle w:val="nzIndenta"/>
      </w:pPr>
      <w:r>
        <w:tab/>
        <w:t>(b)</w:t>
      </w:r>
      <w:r>
        <w:tab/>
        <w:t>for a leasehold scheme, the owner of the leasehold scheme.</w:t>
      </w:r>
    </w:p>
    <w:p>
      <w:pPr>
        <w:pStyle w:val="nz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nzIndenta"/>
      </w:pPr>
      <w:r>
        <w:tab/>
        <w:t>(a)</w:t>
      </w:r>
      <w:r>
        <w:tab/>
        <w:t>the prior approval of the strata company, expressed by resolution without dissent; and</w:t>
      </w:r>
    </w:p>
    <w:p>
      <w:pPr>
        <w:pStyle w:val="nzIndenta"/>
      </w:pPr>
      <w:r>
        <w:tab/>
        <w:t>(b)</w:t>
      </w:r>
      <w:r>
        <w:tab/>
        <w:t>for a leasehold scheme, the prior written approval of the owner of the leasehold scheme.</w:t>
      </w:r>
    </w:p>
    <w:p>
      <w:pPr>
        <w:pStyle w:val="nzHeading5"/>
      </w:pPr>
      <w:bookmarkStart w:id="1181" w:name="_Toc530474440"/>
      <w:bookmarkStart w:id="1182" w:name="_Toc530475035"/>
      <w:r>
        <w:t>90.</w:t>
      </w:r>
      <w:r>
        <w:tab/>
        <w:t>Order dispensing with approval for structural alteration of lot</w:t>
      </w:r>
      <w:bookmarkEnd w:id="1181"/>
      <w:bookmarkEnd w:id="1182"/>
    </w:p>
    <w:p>
      <w:pPr>
        <w:pStyle w:val="nz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nzSubsection"/>
        <w:rPr>
          <w:snapToGrid w:val="0"/>
        </w:rPr>
      </w:pPr>
      <w:r>
        <w:rPr>
          <w:snapToGrid w:val="0"/>
        </w:rPr>
        <w:tab/>
        <w:t>(2)</w:t>
      </w:r>
      <w:r>
        <w:rPr>
          <w:snapToGrid w:val="0"/>
        </w:rPr>
        <w:tab/>
        <w:t>An order may be made under this section —</w:t>
      </w:r>
    </w:p>
    <w:p>
      <w:pPr>
        <w:pStyle w:val="nzIndenta"/>
      </w:pPr>
      <w:r>
        <w:tab/>
        <w:t>(a)</w:t>
      </w:r>
      <w:r>
        <w:tab/>
        <w:t>whether or not the necessary approval for the alteration has been sought; and</w:t>
      </w:r>
    </w:p>
    <w:p>
      <w:pPr>
        <w:pStyle w:val="nzIndenta"/>
      </w:pPr>
      <w:r>
        <w:tab/>
        <w:t>(b)</w:t>
      </w:r>
      <w:r>
        <w:tab/>
        <w:t>even if there has been a valid refusal to give the necessary approval.</w:t>
      </w:r>
    </w:p>
    <w:p>
      <w:pPr>
        <w:pStyle w:val="nzSubsection"/>
        <w:rPr>
          <w:snapToGrid w:val="0"/>
        </w:rPr>
      </w:pPr>
      <w:r>
        <w:rPr>
          <w:snapToGrid w:val="0"/>
        </w:rPr>
        <w:tab/>
        <w:t>(3)</w:t>
      </w:r>
      <w:r>
        <w:rPr>
          <w:snapToGrid w:val="0"/>
        </w:rPr>
        <w:tab/>
        <w:t>An order can only be made under this section if the Tribunal is satisfied —</w:t>
      </w:r>
    </w:p>
    <w:p>
      <w:pPr>
        <w:pStyle w:val="nz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nzIndenta"/>
      </w:pPr>
      <w:r>
        <w:tab/>
        <w:t>(b)</w:t>
      </w:r>
      <w:r>
        <w:tab/>
        <w:t>to the extent that the structural alteration has already been carried out, it will not cause any significant inconvenience or detriment to the owners of other lots.</w:t>
      </w:r>
    </w:p>
    <w:p>
      <w:pPr>
        <w:pStyle w:val="nzHeading2"/>
      </w:pPr>
      <w:bookmarkStart w:id="1183" w:name="_Toc517437643"/>
      <w:bookmarkStart w:id="1184" w:name="_Toc517438185"/>
      <w:bookmarkStart w:id="1185" w:name="_Toc517440522"/>
      <w:bookmarkStart w:id="1186" w:name="_Toc517447559"/>
      <w:bookmarkStart w:id="1187" w:name="_Toc517450037"/>
      <w:bookmarkStart w:id="1188" w:name="_Toc517450579"/>
      <w:bookmarkStart w:id="1189" w:name="_Toc517857035"/>
      <w:bookmarkStart w:id="1190" w:name="_Toc518293162"/>
      <w:bookmarkStart w:id="1191" w:name="_Toc522744390"/>
      <w:bookmarkStart w:id="1192" w:name="_Toc522747513"/>
      <w:bookmarkStart w:id="1193" w:name="_Toc529183350"/>
      <w:bookmarkStart w:id="1194" w:name="_Toc529188113"/>
      <w:bookmarkStart w:id="1195" w:name="_Toc529434626"/>
      <w:bookmarkStart w:id="1196" w:name="_Toc529524517"/>
      <w:bookmarkStart w:id="1197" w:name="_Toc530474441"/>
      <w:bookmarkStart w:id="1198" w:name="_Toc530475036"/>
      <w:r>
        <w:t>Part 8</w:t>
      </w:r>
      <w:r>
        <w:rPr>
          <w:b w:val="0"/>
        </w:rPr>
        <w:t> </w:t>
      </w:r>
      <w:r>
        <w:t>—</w:t>
      </w:r>
      <w:r>
        <w:rPr>
          <w:b w:val="0"/>
        </w:rPr>
        <w:t> </w:t>
      </w:r>
      <w:r>
        <w:t>Strata company</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nzHeading3"/>
      </w:pPr>
      <w:bookmarkStart w:id="1199" w:name="_Toc517437644"/>
      <w:bookmarkStart w:id="1200" w:name="_Toc517438186"/>
      <w:bookmarkStart w:id="1201" w:name="_Toc517440523"/>
      <w:bookmarkStart w:id="1202" w:name="_Toc517447560"/>
      <w:bookmarkStart w:id="1203" w:name="_Toc517450038"/>
      <w:bookmarkStart w:id="1204" w:name="_Toc517450580"/>
      <w:bookmarkStart w:id="1205" w:name="_Toc517857036"/>
      <w:bookmarkStart w:id="1206" w:name="_Toc518293163"/>
      <w:bookmarkStart w:id="1207" w:name="_Toc522744391"/>
      <w:bookmarkStart w:id="1208" w:name="_Toc522747514"/>
      <w:bookmarkStart w:id="1209" w:name="_Toc529183351"/>
      <w:bookmarkStart w:id="1210" w:name="_Toc529188114"/>
      <w:bookmarkStart w:id="1211" w:name="_Toc529434627"/>
      <w:bookmarkStart w:id="1212" w:name="_Toc529524518"/>
      <w:bookmarkStart w:id="1213" w:name="_Toc530474442"/>
      <w:bookmarkStart w:id="1214" w:name="_Toc530475037"/>
      <w:r>
        <w:t>Division 1 — Functions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zHeading4"/>
      </w:pPr>
      <w:bookmarkStart w:id="1215" w:name="_Toc517437645"/>
      <w:bookmarkStart w:id="1216" w:name="_Toc517438187"/>
      <w:bookmarkStart w:id="1217" w:name="_Toc517440524"/>
      <w:bookmarkStart w:id="1218" w:name="_Toc517447561"/>
      <w:bookmarkStart w:id="1219" w:name="_Toc517450039"/>
      <w:bookmarkStart w:id="1220" w:name="_Toc517450581"/>
      <w:bookmarkStart w:id="1221" w:name="_Toc517857037"/>
      <w:bookmarkStart w:id="1222" w:name="_Toc518293164"/>
      <w:bookmarkStart w:id="1223" w:name="_Toc522744392"/>
      <w:bookmarkStart w:id="1224" w:name="_Toc522747515"/>
      <w:bookmarkStart w:id="1225" w:name="_Toc529183352"/>
      <w:bookmarkStart w:id="1226" w:name="_Toc529188115"/>
      <w:bookmarkStart w:id="1227" w:name="_Toc529434628"/>
      <w:bookmarkStart w:id="1228" w:name="_Toc529524519"/>
      <w:bookmarkStart w:id="1229" w:name="_Toc530474443"/>
      <w:bookmarkStart w:id="1230" w:name="_Toc530475038"/>
      <w:r>
        <w:t>Subdivision 1 —</w:t>
      </w:r>
      <w:r>
        <w:rPr>
          <w:snapToGrid w:val="0"/>
        </w:rPr>
        <w:t> Property</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nzHeading5"/>
        <w:rPr>
          <w:snapToGrid w:val="0"/>
        </w:rPr>
      </w:pPr>
      <w:bookmarkStart w:id="1231" w:name="_Toc530474444"/>
      <w:bookmarkStart w:id="1232" w:name="_Toc530475039"/>
      <w:r>
        <w:t>92.</w:t>
      </w:r>
      <w:r>
        <w:rPr>
          <w:snapToGrid w:val="0"/>
        </w:rPr>
        <w:tab/>
        <w:t>Temporary common property</w:t>
      </w:r>
      <w:bookmarkEnd w:id="1231"/>
      <w:bookmarkEnd w:id="1232"/>
    </w:p>
    <w:p>
      <w:pPr>
        <w:pStyle w:val="nzSubsection"/>
        <w:rPr>
          <w:snapToGrid w:val="0"/>
        </w:rPr>
      </w:pPr>
      <w:r>
        <w:rPr>
          <w:snapToGrid w:val="0"/>
        </w:rPr>
        <w:tab/>
        <w:t>(1)</w:t>
      </w:r>
      <w:r>
        <w:rPr>
          <w:snapToGrid w:val="0"/>
        </w:rPr>
        <w:tab/>
        <w:t>A strata company may, by resolution without dissent, for the purpose of creating temporary common property —</w:t>
      </w:r>
    </w:p>
    <w:p>
      <w:pPr>
        <w:pStyle w:val="nzIndenta"/>
      </w:pPr>
      <w:r>
        <w:tab/>
        <w:t>(a)</w:t>
      </w:r>
      <w:r>
        <w:tab/>
        <w:t>for a freehold scheme — accept a lease of a lot in the scheme or of land that is contiguous to the parcel or separated only by a road, railway or waterway; and</w:t>
      </w:r>
    </w:p>
    <w:p>
      <w:pPr>
        <w:pStyle w:val="nzIndenta"/>
      </w:pPr>
      <w:r>
        <w:tab/>
        <w:t>(b)</w:t>
      </w:r>
      <w:r>
        <w:tab/>
        <w:t>for a leasehold scheme — accept a lease (that expires on or before the expiry day for the scheme) of a lot in the scheme or of land that is contiguous to the parcel or separated only by a road, railway or waterway.</w:t>
      </w:r>
    </w:p>
    <w:p>
      <w:pPr>
        <w:pStyle w:val="nzSubsection"/>
        <w:rPr>
          <w:snapToGrid w:val="0"/>
        </w:rPr>
      </w:pPr>
      <w:r>
        <w:rPr>
          <w:snapToGrid w:val="0"/>
        </w:rPr>
        <w:tab/>
        <w:t>(2)</w:t>
      </w:r>
      <w:r>
        <w:rPr>
          <w:snapToGrid w:val="0"/>
        </w:rPr>
        <w:tab/>
        <w:t>Except as provided in the regulations, the land that is leased must not be subject to a designated interest.</w:t>
      </w:r>
    </w:p>
    <w:p>
      <w:pPr>
        <w:pStyle w:val="nz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nzSubsection"/>
        <w:rPr>
          <w:snapToGrid w:val="0"/>
        </w:rPr>
      </w:pPr>
      <w:r>
        <w:rPr>
          <w:snapToGrid w:val="0"/>
        </w:rPr>
        <w:tab/>
        <w:t>(4)</w:t>
      </w:r>
      <w:r>
        <w:rPr>
          <w:snapToGrid w:val="0"/>
        </w:rPr>
        <w:tab/>
        <w:t>If a resolution is passed under this section, the strata company may enter into the necessary transaction in its own name.</w:t>
      </w:r>
    </w:p>
    <w:p>
      <w:pPr>
        <w:pStyle w:val="nzHeading5"/>
      </w:pPr>
      <w:bookmarkStart w:id="1233" w:name="_Toc530474445"/>
      <w:bookmarkStart w:id="1234" w:name="_Toc530475040"/>
      <w:r>
        <w:t>93.</w:t>
      </w:r>
      <w:r>
        <w:tab/>
        <w:t>Transactions affecting common property or parcel</w:t>
      </w:r>
      <w:bookmarkEnd w:id="1233"/>
      <w:bookmarkEnd w:id="1234"/>
    </w:p>
    <w:p>
      <w:pPr>
        <w:pStyle w:val="nz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nzIndenta"/>
      </w:pPr>
      <w:r>
        <w:tab/>
        <w:t>(a)</w:t>
      </w:r>
      <w:r>
        <w:tab/>
        <w:t>for a freehold scheme — it were the owner of an estate in fee simple in the land; or</w:t>
      </w:r>
    </w:p>
    <w:p>
      <w:pPr>
        <w:pStyle w:val="nzIndenta"/>
      </w:pPr>
      <w:r>
        <w:tab/>
        <w:t>(b)</w:t>
      </w:r>
      <w:r>
        <w:tab/>
        <w:t>for a leasehold scheme — it were the owner of a leasehold estate in the land under a registered lease that expires on the expiry day for the scheme.</w:t>
      </w:r>
    </w:p>
    <w:p>
      <w:pPr>
        <w:pStyle w:val="nzSubsection"/>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nzIndenta"/>
        <w:rPr>
          <w:snapToGrid w:val="0"/>
        </w:rPr>
      </w:pPr>
      <w:r>
        <w:tab/>
        <w:t>(a)</w:t>
      </w:r>
      <w:r>
        <w:tab/>
      </w:r>
      <w:r>
        <w:rPr>
          <w:snapToGrid w:val="0"/>
        </w:rPr>
        <w:t>the acceptance of a transfer of land that —</w:t>
      </w:r>
    </w:p>
    <w:p>
      <w:pPr>
        <w:pStyle w:val="nzIndenti"/>
        <w:rPr>
          <w:snapToGrid w:val="0"/>
        </w:rPr>
      </w:pPr>
      <w:r>
        <w:rPr>
          <w:snapToGrid w:val="0"/>
        </w:rPr>
        <w:tab/>
        <w:t>(i)</w:t>
      </w:r>
      <w:r>
        <w:rPr>
          <w:snapToGrid w:val="0"/>
        </w:rPr>
        <w:tab/>
        <w:t>is contiguous to the parcel or separated only by a road, railway or waterway; and</w:t>
      </w:r>
    </w:p>
    <w:p>
      <w:pPr>
        <w:pStyle w:val="nzIndenti"/>
        <w:rPr>
          <w:snapToGrid w:val="0"/>
        </w:rPr>
      </w:pPr>
      <w:r>
        <w:rPr>
          <w:snapToGrid w:val="0"/>
        </w:rPr>
        <w:tab/>
        <w:t>(ii)</w:t>
      </w:r>
      <w:r>
        <w:rPr>
          <w:snapToGrid w:val="0"/>
        </w:rPr>
        <w:tab/>
      </w:r>
      <w:r>
        <w:t xml:space="preserve">is </w:t>
      </w:r>
      <w:r>
        <w:rPr>
          <w:snapToGrid w:val="0"/>
        </w:rPr>
        <w:t>not subject to a mortgage or other encumbrance; and</w:t>
      </w:r>
    </w:p>
    <w:p>
      <w:pPr>
        <w:pStyle w:val="nz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nzIndenta"/>
      </w:pPr>
      <w:r>
        <w:tab/>
        <w:t>(b)</w:t>
      </w:r>
      <w:r>
        <w:tab/>
        <w:t>the disposal of land comprising common property (other than temporary common property) in the scheme in connection with a subdivision that is to be given effect by registration of an amendment of the scheme;</w:t>
      </w:r>
    </w:p>
    <w:p>
      <w:pPr>
        <w:pStyle w:val="nzIndenta"/>
      </w:pPr>
      <w:r>
        <w:tab/>
        <w:t>(c)</w:t>
      </w:r>
      <w:r>
        <w:tab/>
        <w:t>a lease of common property in the scheme;</w:t>
      </w:r>
    </w:p>
    <w:p>
      <w:pPr>
        <w:pStyle w:val="nzIndenta"/>
      </w:pPr>
      <w:r>
        <w:tab/>
        <w:t>(d)</w:t>
      </w:r>
      <w:r>
        <w:tab/>
        <w:t>the surrender of or re</w:t>
      </w:r>
      <w:r>
        <w:noBreakHyphen/>
        <w:t>entry under a lease of common property in the scheme;</w:t>
      </w:r>
    </w:p>
    <w:p>
      <w:pPr>
        <w:pStyle w:val="nzIndenta"/>
      </w:pPr>
      <w:r>
        <w:tab/>
        <w:t>(e)</w:t>
      </w:r>
      <w:r>
        <w:tab/>
        <w:t>the execution, acceptance, discharge or surrender of an easement or restrictive covenant burdening or benefiting the parcel.</w:t>
      </w:r>
    </w:p>
    <w:p>
      <w:pPr>
        <w:pStyle w:val="nzSubsection"/>
        <w:rPr>
          <w:snapToGrid w:val="0"/>
        </w:rPr>
      </w:pPr>
      <w:r>
        <w:rPr>
          <w:snapToGrid w:val="0"/>
        </w:rPr>
        <w:tab/>
        <w:t>(3)</w:t>
      </w:r>
      <w:r>
        <w:rPr>
          <w:snapToGrid w:val="0"/>
        </w:rPr>
        <w:tab/>
        <w:t>The strata company may enter into a transaction to which this section applies if —</w:t>
      </w:r>
    </w:p>
    <w:p>
      <w:pPr>
        <w:pStyle w:val="nzIndenta"/>
      </w:pPr>
      <w:r>
        <w:tab/>
        <w:t>(a)</w:t>
      </w:r>
      <w:r>
        <w:tab/>
        <w:t>the transaction is authorised by a resolution without dissent; or</w:t>
      </w:r>
    </w:p>
    <w:p>
      <w:pPr>
        <w:pStyle w:val="nzIndenta"/>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nzPermNoteHeading"/>
      </w:pPr>
      <w:r>
        <w:tab/>
        <w:t>Note for this subsection:</w:t>
      </w:r>
    </w:p>
    <w:p>
      <w:pPr>
        <w:pStyle w:val="nz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nz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nz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nzHeading5"/>
        <w:rPr>
          <w:snapToGrid w:val="0"/>
        </w:rPr>
      </w:pPr>
      <w:bookmarkStart w:id="1235" w:name="_Toc530474446"/>
      <w:bookmarkStart w:id="1236" w:name="_Toc530475041"/>
      <w:r>
        <w:t>95.</w:t>
      </w:r>
      <w:r>
        <w:rPr>
          <w:snapToGrid w:val="0"/>
        </w:rPr>
        <w:tab/>
        <w:t>Power of strata company to enter any part of parcel</w:t>
      </w:r>
      <w:bookmarkEnd w:id="1235"/>
      <w:bookmarkEnd w:id="1236"/>
    </w:p>
    <w:p>
      <w:pPr>
        <w:pStyle w:val="nzSubsection"/>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nzIndenta"/>
      </w:pPr>
      <w:r>
        <w:tab/>
        <w:t>(a)</w:t>
      </w:r>
      <w:r>
        <w:tab/>
        <w:t>carrying out work that the strata company is required or permitted to carry out under this Act; or</w:t>
      </w:r>
    </w:p>
    <w:p>
      <w:pPr>
        <w:pStyle w:val="nzIndenta"/>
      </w:pPr>
      <w:r>
        <w:tab/>
        <w:t>(b)</w:t>
      </w:r>
      <w:r>
        <w:tab/>
        <w:t>carrying out work that the strata company is required to carry out under an order of a court or tribunal; or</w:t>
      </w:r>
    </w:p>
    <w:p>
      <w:pPr>
        <w:pStyle w:val="nzIndenta"/>
      </w:pPr>
      <w:r>
        <w:tab/>
        <w:t>(c)</w:t>
      </w:r>
      <w:r>
        <w:tab/>
        <w:t>carrying out work that the strata company is required to carry out under a notice issued, or other order made, under any other written law; or</w:t>
      </w:r>
    </w:p>
    <w:p>
      <w:pPr>
        <w:pStyle w:val="nzIndenta"/>
      </w:pPr>
      <w:r>
        <w:tab/>
        <w:t>(d)</w:t>
      </w:r>
      <w:r>
        <w:tab/>
        <w:t>inspecting that part or any other part of the parcel; or</w:t>
      </w:r>
    </w:p>
    <w:p>
      <w:pPr>
        <w:pStyle w:val="nzIndenta"/>
      </w:pPr>
      <w:r>
        <w:tab/>
        <w:t>(e)</w:t>
      </w:r>
      <w:r>
        <w:tab/>
        <w:t>ascertaining whether scheme by</w:t>
      </w:r>
      <w:r>
        <w:noBreakHyphen/>
        <w:t>laws or this Act has been, or is being, complied with.</w:t>
      </w:r>
    </w:p>
    <w:p>
      <w:pPr>
        <w:pStyle w:val="nzSubsection"/>
      </w:pPr>
      <w:r>
        <w:tab/>
        <w:t>(2)</w:t>
      </w:r>
      <w:r>
        <w:tab/>
        <w:t>Sections 65 and 66 apply to entry to common property or a lot by a strata company under this section as if the strata company were exercising rights under a statutory easement.</w:t>
      </w:r>
    </w:p>
    <w:p>
      <w:pPr>
        <w:pStyle w:val="nzSubsection"/>
      </w:pPr>
      <w:r>
        <w:tab/>
        <w:t>(3)</w:t>
      </w:r>
      <w:r>
        <w:tab/>
        <w:t>A person must not obstruct or hinder a person exercising a power under this section.</w:t>
      </w:r>
    </w:p>
    <w:p>
      <w:pPr>
        <w:pStyle w:val="nzHeading5"/>
      </w:pPr>
      <w:bookmarkStart w:id="1237" w:name="_Toc530474447"/>
      <w:bookmarkStart w:id="1238" w:name="_Toc530475042"/>
      <w:r>
        <w:t>96.</w:t>
      </w:r>
      <w:r>
        <w:tab/>
        <w:t>Recovery of records, keys and property</w:t>
      </w:r>
      <w:bookmarkEnd w:id="1237"/>
      <w:bookmarkEnd w:id="1238"/>
    </w:p>
    <w:p>
      <w:pPr>
        <w:pStyle w:val="nz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nzSubsection"/>
      </w:pPr>
      <w:r>
        <w:tab/>
        <w:t>(2)</w:t>
      </w:r>
      <w:r>
        <w:tab/>
        <w:t>A person commits an offence if the person fails, without reasonable excuse to deliver property in the person’s possession or control as required by the notice.</w:t>
      </w:r>
    </w:p>
    <w:p>
      <w:pPr>
        <w:pStyle w:val="nzPenstart"/>
        <w:rPr>
          <w:snapToGrid w:val="0"/>
        </w:rPr>
      </w:pPr>
      <w:r>
        <w:rPr>
          <w:snapToGrid w:val="0"/>
        </w:rPr>
        <w:tab/>
        <w:t>Penalty for this subsection: a fine of $3 000.</w:t>
      </w:r>
    </w:p>
    <w:p>
      <w:pPr>
        <w:pStyle w:val="nz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nzHeading4"/>
      </w:pPr>
      <w:bookmarkStart w:id="1239" w:name="_Toc517437650"/>
      <w:bookmarkStart w:id="1240" w:name="_Toc517438192"/>
      <w:bookmarkStart w:id="1241" w:name="_Toc517440529"/>
      <w:bookmarkStart w:id="1242" w:name="_Toc517447566"/>
      <w:bookmarkStart w:id="1243" w:name="_Toc517450044"/>
      <w:bookmarkStart w:id="1244" w:name="_Toc517450586"/>
      <w:bookmarkStart w:id="1245" w:name="_Toc517857042"/>
      <w:bookmarkStart w:id="1246" w:name="_Toc518293169"/>
      <w:bookmarkStart w:id="1247" w:name="_Toc522744397"/>
      <w:bookmarkStart w:id="1248" w:name="_Toc522747520"/>
      <w:bookmarkStart w:id="1249" w:name="_Toc529183357"/>
      <w:bookmarkStart w:id="1250" w:name="_Toc529188120"/>
      <w:bookmarkStart w:id="1251" w:name="_Toc529434633"/>
      <w:bookmarkStart w:id="1252" w:name="_Toc529524524"/>
      <w:bookmarkStart w:id="1253" w:name="_Toc530474448"/>
      <w:bookmarkStart w:id="1254" w:name="_Toc530475043"/>
      <w:r>
        <w:t>Subdivision 2 — Insurance</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nzHeading5"/>
      </w:pPr>
      <w:bookmarkStart w:id="1255" w:name="_Toc530474449"/>
      <w:bookmarkStart w:id="1256" w:name="_Toc530475044"/>
      <w:r>
        <w:t>97.</w:t>
      </w:r>
      <w:r>
        <w:tab/>
        <w:t>Required insurance</w:t>
      </w:r>
      <w:bookmarkEnd w:id="1255"/>
      <w:bookmarkEnd w:id="1256"/>
    </w:p>
    <w:p>
      <w:pPr>
        <w:pStyle w:val="nzSubsection"/>
      </w:pPr>
      <w:r>
        <w:tab/>
        <w:t>(1)</w:t>
      </w:r>
      <w:r>
        <w:tab/>
        <w:t>A strata company must ensure that the following insurance is in place for the strata titles scheme —</w:t>
      </w:r>
    </w:p>
    <w:p>
      <w:pPr>
        <w:pStyle w:val="nz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nzIndenti"/>
        <w:rPr>
          <w:snapToGrid w:val="0"/>
        </w:rPr>
      </w:pPr>
      <w:r>
        <w:rPr>
          <w:snapToGrid w:val="0"/>
        </w:rPr>
        <w:tab/>
        <w:t>(i)</w:t>
      </w:r>
      <w:r>
        <w:rPr>
          <w:snapToGrid w:val="0"/>
        </w:rPr>
        <w:tab/>
        <w:t>to replacement value; or</w:t>
      </w:r>
    </w:p>
    <w:p>
      <w:pPr>
        <w:pStyle w:val="nz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nzPermNoteHeading"/>
      </w:pPr>
      <w:r>
        <w:tab/>
        <w:t>Note for this subsection:</w:t>
      </w:r>
    </w:p>
    <w:p>
      <w:pPr>
        <w:pStyle w:val="nzPermNoteText"/>
      </w:pPr>
      <w:r>
        <w:tab/>
        <w:t>1.</w:t>
      </w:r>
      <w:r>
        <w:tab/>
        <w:t>The owner of a lot in a survey</w:t>
      </w:r>
      <w:r>
        <w:noBreakHyphen/>
        <w:t>strata scheme is responsible for insurance of the kind referred to in paragraph (a) for infrastructure on the lot.</w:t>
      </w:r>
    </w:p>
    <w:p>
      <w:pPr>
        <w:pStyle w:val="nzPermNoteText"/>
      </w:pPr>
      <w:r>
        <w:tab/>
        <w:t>2.</w:t>
      </w:r>
      <w:r>
        <w:tab/>
        <w:t>The owner of a lot is responsible for insurance of the kind referred to in paragraph (b) for damages for which the owner could become liable.</w:t>
      </w:r>
    </w:p>
    <w:p>
      <w:pPr>
        <w:pStyle w:val="nz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nzSubsection"/>
      </w:pPr>
      <w:r>
        <w:tab/>
        <w:t>(3)</w:t>
      </w:r>
      <w:r>
        <w:tab/>
        <w:t>The Tribunal may, on application by a strata company, exempt it from compliance with this section subject to conditions specified in the exemption.</w:t>
      </w:r>
    </w:p>
    <w:p>
      <w:pPr>
        <w:pStyle w:val="nz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nz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nzSubsection"/>
      </w:pPr>
      <w:r>
        <w:tab/>
        <w:t>(6)</w:t>
      </w:r>
      <w:r>
        <w:tab/>
        <w:t>Subsection (5) does not apply if —</w:t>
      </w:r>
    </w:p>
    <w:p>
      <w:pPr>
        <w:pStyle w:val="nzIndenta"/>
        <w:rPr>
          <w:snapToGrid w:val="0"/>
        </w:rPr>
      </w:pPr>
      <w:r>
        <w:tab/>
      </w:r>
      <w:r>
        <w:rPr>
          <w:snapToGrid w:val="0"/>
        </w:rPr>
        <w:t>(a)</w:t>
      </w:r>
      <w:r>
        <w:rPr>
          <w:snapToGrid w:val="0"/>
        </w:rPr>
        <w:tab/>
        <w:t>the strata titles scheme is a survey</w:t>
      </w:r>
      <w:r>
        <w:rPr>
          <w:snapToGrid w:val="0"/>
        </w:rPr>
        <w:noBreakHyphen/>
        <w:t>strata scheme; and</w:t>
      </w:r>
    </w:p>
    <w:p>
      <w:pPr>
        <w:pStyle w:val="nzIndenta"/>
        <w:rPr>
          <w:snapToGrid w:val="0"/>
        </w:rPr>
      </w:pPr>
      <w:r>
        <w:rPr>
          <w:snapToGrid w:val="0"/>
        </w:rPr>
        <w:tab/>
        <w:t>(b)</w:t>
      </w:r>
      <w:r>
        <w:rPr>
          <w:snapToGrid w:val="0"/>
        </w:rPr>
        <w:tab/>
        <w:t>the strata company passes a resolution without dissent —</w:t>
      </w:r>
    </w:p>
    <w:p>
      <w:pPr>
        <w:pStyle w:val="nz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nzIndenti"/>
      </w:pPr>
      <w:r>
        <w:tab/>
        <w:t>(ii)</w:t>
      </w:r>
      <w:r>
        <w:tab/>
        <w:t xml:space="preserve">specifying how that money is to be distributed amongst members of the </w:t>
      </w:r>
      <w:r>
        <w:rPr>
          <w:snapToGrid w:val="0"/>
        </w:rPr>
        <w:t xml:space="preserve">strata company </w:t>
      </w:r>
      <w:r>
        <w:t>or used;</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nzSubsection"/>
      </w:pPr>
      <w:r>
        <w:tab/>
        <w:t>(7)</w:t>
      </w:r>
      <w:r>
        <w:tab/>
        <w:t>Nothing in this section derogates from —</w:t>
      </w:r>
    </w:p>
    <w:p>
      <w:pPr>
        <w:pStyle w:val="nz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nzIndenta"/>
        <w:rPr>
          <w:snapToGrid w:val="0"/>
        </w:rPr>
      </w:pPr>
      <w:r>
        <w:rPr>
          <w:snapToGrid w:val="0"/>
        </w:rPr>
        <w:tab/>
        <w:t>(b)</w:t>
      </w:r>
      <w:r>
        <w:rPr>
          <w:snapToGrid w:val="0"/>
        </w:rPr>
        <w:tab/>
        <w:t>the power of the strata company to obtain other insurance in its capacity as a body corporate.</w:t>
      </w:r>
    </w:p>
    <w:p>
      <w:pPr>
        <w:pStyle w:val="nzPermNoteHeading"/>
      </w:pPr>
      <w:r>
        <w:tab/>
        <w:t>Note for this section:</w:t>
      </w:r>
    </w:p>
    <w:p>
      <w:pPr>
        <w:pStyle w:val="nzPermNoteText"/>
      </w:pPr>
      <w:r>
        <w:tab/>
      </w:r>
      <w:r>
        <w:tab/>
        <w:t>Schedule 2A contains special provisions for a single tier strata scheme for the required insurance.</w:t>
      </w:r>
    </w:p>
    <w:p>
      <w:pPr>
        <w:pStyle w:val="nzHeading5"/>
        <w:rPr>
          <w:snapToGrid w:val="0"/>
        </w:rPr>
      </w:pPr>
      <w:bookmarkStart w:id="1257" w:name="_Toc530474450"/>
      <w:bookmarkStart w:id="1258" w:name="_Toc530475045"/>
      <w:r>
        <w:t>98.</w:t>
      </w:r>
      <w:r>
        <w:tab/>
        <w:t xml:space="preserve">Notice to member of </w:t>
      </w:r>
      <w:r>
        <w:rPr>
          <w:snapToGrid w:val="0"/>
        </w:rPr>
        <w:t>strata company</w:t>
      </w:r>
      <w:bookmarkEnd w:id="1257"/>
      <w:bookmarkEnd w:id="1258"/>
    </w:p>
    <w:p>
      <w:pPr>
        <w:pStyle w:val="nz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nzIndenta"/>
        <w:rPr>
          <w:snapToGrid w:val="0"/>
        </w:rPr>
      </w:pPr>
      <w:r>
        <w:rPr>
          <w:snapToGrid w:val="0"/>
        </w:rPr>
        <w:tab/>
        <w:t>(a)</w:t>
      </w:r>
      <w:r>
        <w:rPr>
          <w:snapToGrid w:val="0"/>
        </w:rPr>
        <w:tab/>
        <w:t>to take specified action within a specified period;</w:t>
      </w:r>
    </w:p>
    <w:p>
      <w:pPr>
        <w:pStyle w:val="nzIndenta"/>
        <w:rPr>
          <w:snapToGrid w:val="0"/>
        </w:rPr>
      </w:pPr>
      <w:r>
        <w:rPr>
          <w:snapToGrid w:val="0"/>
        </w:rPr>
        <w:tab/>
        <w:t>(b)</w:t>
      </w:r>
      <w:r>
        <w:rPr>
          <w:snapToGrid w:val="0"/>
        </w:rPr>
        <w:tab/>
        <w:t>to refrain from taking specified action;</w:t>
      </w:r>
    </w:p>
    <w:p>
      <w:pPr>
        <w:pStyle w:val="nz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nz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nzSubsection"/>
      </w:pPr>
      <w:r>
        <w:tab/>
        <w:t>(3)</w:t>
      </w:r>
      <w:r>
        <w:tab/>
        <w:t>The strata company must negotiate with the member with a view to achieving a fair and reasonable outcome.</w:t>
      </w:r>
    </w:p>
    <w:p>
      <w:pPr>
        <w:pStyle w:val="nzHeading5"/>
        <w:rPr>
          <w:snapToGrid w:val="0"/>
        </w:rPr>
      </w:pPr>
      <w:bookmarkStart w:id="1259" w:name="_Toc530474451"/>
      <w:bookmarkStart w:id="1260" w:name="_Toc530475046"/>
      <w:r>
        <w:t>99.</w:t>
      </w:r>
      <w:r>
        <w:tab/>
        <w:t>Member may obtain required insurance</w:t>
      </w:r>
      <w:bookmarkEnd w:id="1259"/>
      <w:bookmarkEnd w:id="1260"/>
    </w:p>
    <w:p>
      <w:pPr>
        <w:pStyle w:val="nz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nzSubsection"/>
      </w:pPr>
      <w:r>
        <w:tab/>
        <w:t>(2)</w:t>
      </w:r>
      <w:r>
        <w:tab/>
        <w:t>Costs incurred by a member of a strata company under subsection (1) may be recovered, on application to the Tribunal, as a debt owed to the member by the strata company.</w:t>
      </w:r>
    </w:p>
    <w:p>
      <w:pPr>
        <w:pStyle w:val="nz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nzHeading4"/>
      </w:pPr>
      <w:bookmarkStart w:id="1261" w:name="_Toc517437654"/>
      <w:bookmarkStart w:id="1262" w:name="_Toc517438196"/>
      <w:bookmarkStart w:id="1263" w:name="_Toc517440533"/>
      <w:bookmarkStart w:id="1264" w:name="_Toc517447570"/>
      <w:bookmarkStart w:id="1265" w:name="_Toc517450048"/>
      <w:bookmarkStart w:id="1266" w:name="_Toc517450590"/>
      <w:bookmarkStart w:id="1267" w:name="_Toc517857046"/>
      <w:bookmarkStart w:id="1268" w:name="_Toc518293173"/>
      <w:bookmarkStart w:id="1269" w:name="_Toc522744401"/>
      <w:bookmarkStart w:id="1270" w:name="_Toc522747524"/>
      <w:bookmarkStart w:id="1271" w:name="_Toc529183361"/>
      <w:bookmarkStart w:id="1272" w:name="_Toc529188124"/>
      <w:bookmarkStart w:id="1273" w:name="_Toc529434637"/>
      <w:bookmarkStart w:id="1274" w:name="_Toc529524528"/>
      <w:bookmarkStart w:id="1275" w:name="_Toc530474452"/>
      <w:bookmarkStart w:id="1276" w:name="_Toc530475047"/>
      <w:r>
        <w:t>Subdivision 3 — Financial management</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nzHeading5"/>
      </w:pPr>
      <w:bookmarkStart w:id="1277" w:name="_Toc530474453"/>
      <w:bookmarkStart w:id="1278" w:name="_Toc530475048"/>
      <w:r>
        <w:t>101.</w:t>
      </w:r>
      <w:r>
        <w:tab/>
        <w:t>Accounting records and statement of accounts</w:t>
      </w:r>
      <w:bookmarkEnd w:id="1277"/>
      <w:bookmarkEnd w:id="1278"/>
    </w:p>
    <w:p>
      <w:pPr>
        <w:pStyle w:val="nzSubsection"/>
      </w:pPr>
      <w:r>
        <w:tab/>
        <w:t>(1)</w:t>
      </w:r>
      <w:r>
        <w:tab/>
        <w:t>A strata company must keep proper accounting records of its income and expenditure.</w:t>
      </w:r>
    </w:p>
    <w:p>
      <w:pPr>
        <w:pStyle w:val="nzSubsection"/>
      </w:pPr>
      <w:r>
        <w:tab/>
        <w:t>(2)</w:t>
      </w:r>
      <w:r>
        <w:tab/>
        <w:t>A strata company must prepare a statement of accounts for each financial year showing —</w:t>
      </w:r>
    </w:p>
    <w:p>
      <w:pPr>
        <w:pStyle w:val="nzIndenta"/>
        <w:rPr>
          <w:snapToGrid w:val="0"/>
        </w:rPr>
      </w:pPr>
      <w:r>
        <w:rPr>
          <w:snapToGrid w:val="0"/>
        </w:rPr>
        <w:tab/>
        <w:t>(a)</w:t>
      </w:r>
      <w:r>
        <w:rPr>
          <w:snapToGrid w:val="0"/>
        </w:rPr>
        <w:tab/>
        <w:t>the assets and liabilities of the strata company at the end of the financial year; and</w:t>
      </w:r>
    </w:p>
    <w:p>
      <w:pPr>
        <w:pStyle w:val="nzIndenta"/>
        <w:rPr>
          <w:snapToGrid w:val="0"/>
        </w:rPr>
      </w:pPr>
      <w:r>
        <w:rPr>
          <w:snapToGrid w:val="0"/>
        </w:rPr>
        <w:tab/>
        <w:t>(b)</w:t>
      </w:r>
      <w:r>
        <w:rPr>
          <w:snapToGrid w:val="0"/>
        </w:rPr>
        <w:tab/>
        <w:t>the income and expenditure of the strata company for the financial year.</w:t>
      </w:r>
    </w:p>
    <w:p>
      <w:pPr>
        <w:pStyle w:val="nzHeading5"/>
      </w:pPr>
      <w:bookmarkStart w:id="1279" w:name="_Toc530474454"/>
      <w:bookmarkStart w:id="1280" w:name="_Toc530475049"/>
      <w:r>
        <w:t>102.</w:t>
      </w:r>
      <w:r>
        <w:tab/>
        <w:t>Budget</w:t>
      </w:r>
      <w:bookmarkEnd w:id="1279"/>
      <w:bookmarkEnd w:id="1280"/>
    </w:p>
    <w:p>
      <w:pPr>
        <w:pStyle w:val="nzSubsection"/>
      </w:pPr>
      <w:r>
        <w:tab/>
        <w:t>(1)</w:t>
      </w:r>
      <w:r>
        <w:tab/>
        <w:t>A strata company must prepare a budget for each financial year and submit it for approval to its annual general meeting.</w:t>
      </w:r>
    </w:p>
    <w:p>
      <w:pPr>
        <w:pStyle w:val="nzSubsection"/>
      </w:pPr>
      <w:r>
        <w:tab/>
        <w:t>(2)</w:t>
      </w:r>
      <w:r>
        <w:tab/>
        <w:t>The budget must be prepared —</w:t>
      </w:r>
    </w:p>
    <w:p>
      <w:pPr>
        <w:pStyle w:val="nzIndenta"/>
        <w:rPr>
          <w:snapToGrid w:val="0"/>
        </w:rPr>
      </w:pPr>
      <w:r>
        <w:rPr>
          <w:snapToGrid w:val="0"/>
        </w:rPr>
        <w:tab/>
        <w:t>(a)</w:t>
      </w:r>
      <w:r>
        <w:rPr>
          <w:snapToGrid w:val="0"/>
        </w:rPr>
        <w:tab/>
        <w:t>taking into account, if applicable, the 10 year plan for the reserve fund; and</w:t>
      </w:r>
    </w:p>
    <w:p>
      <w:pPr>
        <w:pStyle w:val="nz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nzSubsection"/>
      </w:pPr>
      <w:r>
        <w:tab/>
        <w:t>(3)</w:t>
      </w:r>
      <w:r>
        <w:tab/>
        <w:t>The strata company may, by ordinary resolution at its annual general meeting or at a subsequent general meeting, approve a budget with or without modification.</w:t>
      </w:r>
    </w:p>
    <w:p>
      <w:pPr>
        <w:pStyle w:val="nzSubsection"/>
      </w:pPr>
      <w:r>
        <w:tab/>
        <w:t>(4)</w:t>
      </w:r>
      <w:r>
        <w:tab/>
        <w:t>The strata company may, by ordinary resolution, vary its approved budget.</w:t>
      </w:r>
    </w:p>
    <w:p>
      <w:pPr>
        <w:pStyle w:val="nz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nz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nzIndenta"/>
        <w:rPr>
          <w:snapToGrid w:val="0"/>
        </w:rPr>
      </w:pPr>
      <w:r>
        <w:rPr>
          <w:snapToGrid w:val="0"/>
        </w:rPr>
        <w:tab/>
        <w:t>(b)</w:t>
      </w:r>
      <w:r>
        <w:rPr>
          <w:snapToGrid w:val="0"/>
        </w:rPr>
        <w:tab/>
        <w:t>the budget or variation must be approved by special resolution.</w:t>
      </w:r>
    </w:p>
    <w:p>
      <w:pPr>
        <w:pStyle w:val="nzSubsection"/>
      </w:pPr>
      <w:r>
        <w:tab/>
        <w:t>(6)</w:t>
      </w:r>
      <w:r>
        <w:tab/>
        <w:t>A strata company must not make any expenditure that is not authorised by an approved budget except for expenditure as follows —</w:t>
      </w:r>
    </w:p>
    <w:p>
      <w:pPr>
        <w:pStyle w:val="nzIndenta"/>
      </w:pPr>
      <w:r>
        <w:tab/>
        <w:t>(a)</w:t>
      </w:r>
      <w:r>
        <w:tab/>
        <w:t>expenditure of an amount not exceeding, in a financial year, for each lot in the strata titles scheme —</w:t>
      </w:r>
    </w:p>
    <w:p>
      <w:pPr>
        <w:pStyle w:val="nzIndenti"/>
      </w:pPr>
      <w:r>
        <w:tab/>
        <w:t>(i)</w:t>
      </w:r>
      <w:r>
        <w:tab/>
        <w:t>the amount fixed by the strata company by special resolution; or</w:t>
      </w:r>
    </w:p>
    <w:p>
      <w:pPr>
        <w:pStyle w:val="nzIndenti"/>
      </w:pPr>
      <w:r>
        <w:tab/>
        <w:t>(ii)</w:t>
      </w:r>
      <w:r>
        <w:tab/>
        <w:t>if the strata company has not fixed the amount by special resolution, the amount fixed by the regulations;</w:t>
      </w:r>
    </w:p>
    <w:p>
      <w:pPr>
        <w:pStyle w:val="nzIndenta"/>
        <w:rPr>
          <w:snapToGrid w:val="0"/>
        </w:rPr>
      </w:pPr>
      <w:r>
        <w:rPr>
          <w:snapToGrid w:val="0"/>
        </w:rPr>
        <w:tab/>
        <w:t>(b)</w:t>
      </w:r>
      <w:r>
        <w:rPr>
          <w:snapToGrid w:val="0"/>
        </w:rPr>
        <w:tab/>
        <w:t>expenditure (not being of the kind referred to in subsection (5)) made on the following conditions being met —</w:t>
      </w:r>
    </w:p>
    <w:p>
      <w:pPr>
        <w:pStyle w:val="nzIndenti"/>
      </w:pPr>
      <w:r>
        <w:tab/>
        <w:t>(i)</w:t>
      </w:r>
      <w:r>
        <w:tab/>
        <w:t>notice in the approved form of the purpose and amount of a proposed expenditure is given to the owners and first mortgagees of all lots in the strata titles scheme; and</w:t>
      </w:r>
    </w:p>
    <w:p>
      <w:pPr>
        <w:pStyle w:val="nzIndenti"/>
      </w:pPr>
      <w:r>
        <w:tab/>
        <w:t>(ii)</w:t>
      </w:r>
      <w:r>
        <w:tab/>
        <w:t>if the regulations so require, quotations or tenders for the expenditure are submitted to those owners and first mortgagees; and</w:t>
      </w:r>
    </w:p>
    <w:p>
      <w:pPr>
        <w:pStyle w:val="nzIndenti"/>
      </w:pPr>
      <w:r>
        <w:tab/>
        <w:t>(iii)</w:t>
      </w:r>
      <w:r>
        <w:tab/>
        <w:t>within 14 days after the requirements in the preceding subparagraphs are met, objection to the proposed expenditure has not been notified in writing to the strata company by the owners or first mortgagees of —</w:t>
      </w:r>
    </w:p>
    <w:p>
      <w:pPr>
        <w:pStyle w:val="nzIndentI0"/>
        <w:rPr>
          <w:snapToGrid w:val="0"/>
        </w:rPr>
      </w:pPr>
      <w:r>
        <w:rPr>
          <w:snapToGrid w:val="0"/>
        </w:rPr>
        <w:tab/>
        <w:t>(I)</w:t>
      </w:r>
      <w:r>
        <w:rPr>
          <w:snapToGrid w:val="0"/>
        </w:rPr>
        <w:tab/>
        <w:t>25% or more of the lots in the scheme; or</w:t>
      </w:r>
    </w:p>
    <w:p>
      <w:pPr>
        <w:pStyle w:val="nzIndentI0"/>
        <w:rPr>
          <w:snapToGrid w:val="0"/>
        </w:rPr>
      </w:pPr>
      <w:r>
        <w:rPr>
          <w:snapToGrid w:val="0"/>
        </w:rPr>
        <w:tab/>
        <w:t>(II)</w:t>
      </w:r>
      <w:r>
        <w:rPr>
          <w:snapToGrid w:val="0"/>
        </w:rPr>
        <w:tab/>
        <w:t>lots of which the total unit entitlement is 25% or more of the sum of the unit entitlements of all the lots in the scheme;</w:t>
      </w:r>
    </w:p>
    <w:p>
      <w:pPr>
        <w:pStyle w:val="nz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nzSubsection"/>
      </w:pPr>
      <w:r>
        <w:tab/>
        <w:t>(7)</w:t>
      </w:r>
      <w:r>
        <w:tab/>
        <w:t>For subsection (6)(b), if an objection is notified under subsection (6)(b)(iii) by a first mortgagee of a lot, an objection notified by the owner of that lot must be disregarded.</w:t>
      </w:r>
    </w:p>
    <w:p>
      <w:pPr>
        <w:pStyle w:val="nz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nzHeading4"/>
      </w:pPr>
      <w:bookmarkStart w:id="1281" w:name="_Toc517437657"/>
      <w:bookmarkStart w:id="1282" w:name="_Toc517438199"/>
      <w:bookmarkStart w:id="1283" w:name="_Toc517440536"/>
      <w:bookmarkStart w:id="1284" w:name="_Toc517447573"/>
      <w:bookmarkStart w:id="1285" w:name="_Toc517450051"/>
      <w:bookmarkStart w:id="1286" w:name="_Toc517450593"/>
      <w:bookmarkStart w:id="1287" w:name="_Toc517857049"/>
      <w:bookmarkStart w:id="1288" w:name="_Toc518293176"/>
      <w:bookmarkStart w:id="1289" w:name="_Toc522744404"/>
      <w:bookmarkStart w:id="1290" w:name="_Toc522747527"/>
      <w:bookmarkStart w:id="1291" w:name="_Toc529183364"/>
      <w:bookmarkStart w:id="1292" w:name="_Toc529188127"/>
      <w:bookmarkStart w:id="1293" w:name="_Toc529434640"/>
      <w:bookmarkStart w:id="1294" w:name="_Toc529524531"/>
      <w:bookmarkStart w:id="1295" w:name="_Toc530474455"/>
      <w:bookmarkStart w:id="1296" w:name="_Toc530475050"/>
      <w:r>
        <w:t>Subdivision 4 — Representation and judgment debts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nzHeading4"/>
      </w:pPr>
      <w:bookmarkStart w:id="1297" w:name="_Toc517437658"/>
      <w:bookmarkStart w:id="1298" w:name="_Toc517438200"/>
      <w:bookmarkStart w:id="1299" w:name="_Toc517440537"/>
      <w:bookmarkStart w:id="1300" w:name="_Toc517447574"/>
      <w:bookmarkStart w:id="1301" w:name="_Toc517450052"/>
      <w:bookmarkStart w:id="1302" w:name="_Toc517450594"/>
      <w:bookmarkStart w:id="1303" w:name="_Toc517857050"/>
      <w:bookmarkStart w:id="1304" w:name="_Toc518293177"/>
      <w:bookmarkStart w:id="1305" w:name="_Toc522744405"/>
      <w:bookmarkStart w:id="1306" w:name="_Toc522747528"/>
      <w:bookmarkStart w:id="1307" w:name="_Toc529183365"/>
      <w:bookmarkStart w:id="1308" w:name="_Toc529188128"/>
      <w:bookmarkStart w:id="1309" w:name="_Toc529434641"/>
      <w:bookmarkStart w:id="1310" w:name="_Toc529524532"/>
      <w:bookmarkStart w:id="1311" w:name="_Toc530474456"/>
      <w:bookmarkStart w:id="1312" w:name="_Toc530475051"/>
      <w:r>
        <w:t>Subdivision 5 — Records and correspondence</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nzHeading5"/>
      </w:pPr>
      <w:bookmarkStart w:id="1313" w:name="_Toc530474457"/>
      <w:bookmarkStart w:id="1314" w:name="_Toc530475052"/>
      <w:r>
        <w:t>104.</w:t>
      </w:r>
      <w:r>
        <w:tab/>
        <w:t>Records and correspondence</w:t>
      </w:r>
      <w:bookmarkEnd w:id="1313"/>
      <w:bookmarkEnd w:id="1314"/>
    </w:p>
    <w:p>
      <w:pPr>
        <w:pStyle w:val="nzSubsection"/>
      </w:pPr>
      <w:r>
        <w:tab/>
        <w:t>(1)</w:t>
      </w:r>
      <w:r>
        <w:tab/>
        <w:t>A strata company must —</w:t>
      </w:r>
    </w:p>
    <w:p>
      <w:pPr>
        <w:pStyle w:val="nzIndenta"/>
      </w:pPr>
      <w:r>
        <w:tab/>
        <w:t>(a)</w:t>
      </w:r>
      <w:r>
        <w:tab/>
        <w:t>keep a copy of each of the following —</w:t>
      </w:r>
    </w:p>
    <w:p>
      <w:pPr>
        <w:pStyle w:val="nzIndenti"/>
      </w:pPr>
      <w:r>
        <w:tab/>
        <w:t>(i)</w:t>
      </w:r>
      <w:r>
        <w:tab/>
        <w:t>the current scheme documents;</w:t>
      </w:r>
    </w:p>
    <w:p>
      <w:pPr>
        <w:pStyle w:val="nzIndenti"/>
      </w:pPr>
      <w:r>
        <w:tab/>
        <w:t>(ii)</w:t>
      </w:r>
      <w:r>
        <w:tab/>
        <w:t>any proposed amendments of the scheme documents of which it is aware and that remain current;</w:t>
      </w:r>
    </w:p>
    <w:p>
      <w:pPr>
        <w:pStyle w:val="nzIndenta"/>
      </w:pPr>
      <w:r>
        <w:tab/>
      </w:r>
      <w:r>
        <w:tab/>
        <w:t>and</w:t>
      </w:r>
    </w:p>
    <w:p>
      <w:pPr>
        <w:pStyle w:val="nzIndenta"/>
      </w:pPr>
      <w:r>
        <w:tab/>
        <w:t>(b)</w:t>
      </w:r>
      <w:r>
        <w:tab/>
        <w:t>make and keep for a period fixed by the regulations —</w:t>
      </w:r>
    </w:p>
    <w:p>
      <w:pPr>
        <w:pStyle w:val="nzIndenti"/>
      </w:pPr>
      <w:r>
        <w:tab/>
        <w:t>(i)</w:t>
      </w:r>
      <w:r>
        <w:tab/>
        <w:t>minutes of its general meetings and meetings of its council; and</w:t>
      </w:r>
    </w:p>
    <w:p>
      <w:pPr>
        <w:pStyle w:val="nzIndenti"/>
      </w:pPr>
      <w:r>
        <w:tab/>
        <w:t>(ii)</w:t>
      </w:r>
      <w:r>
        <w:tab/>
        <w:t>records of its resolutions and decisions of its council; and</w:t>
      </w:r>
    </w:p>
    <w:p>
      <w:pPr>
        <w:pStyle w:val="nzIndenti"/>
      </w:pPr>
      <w:r>
        <w:tab/>
        <w:t>(iii)</w:t>
      </w:r>
      <w:r>
        <w:tab/>
        <w:t>such other records as are required by the regulations;</w:t>
      </w:r>
    </w:p>
    <w:p>
      <w:pPr>
        <w:pStyle w:val="nzIndenta"/>
      </w:pPr>
      <w:r>
        <w:tab/>
      </w:r>
      <w:r>
        <w:tab/>
        <w:t>and</w:t>
      </w:r>
    </w:p>
    <w:p>
      <w:pPr>
        <w:pStyle w:val="nzIndenta"/>
      </w:pPr>
      <w:r>
        <w:tab/>
        <w:t>(c)</w:t>
      </w:r>
      <w:r>
        <w:tab/>
        <w:t>keep for a period fixed by the regulations —</w:t>
      </w:r>
    </w:p>
    <w:p>
      <w:pPr>
        <w:pStyle w:val="nzIndenti"/>
      </w:pPr>
      <w:r>
        <w:tab/>
        <w:t>(i)</w:t>
      </w:r>
      <w:r>
        <w:tab/>
        <w:t>records and statements of account made or kept under section 101; and</w:t>
      </w:r>
    </w:p>
    <w:p>
      <w:pPr>
        <w:pStyle w:val="nzIndenti"/>
      </w:pPr>
      <w:r>
        <w:tab/>
        <w:t>(ii)</w:t>
      </w:r>
      <w:r>
        <w:tab/>
        <w:t>notices of its general meetings and meetings of its council; and</w:t>
      </w:r>
    </w:p>
    <w:p>
      <w:pPr>
        <w:pStyle w:val="nzIndenti"/>
      </w:pPr>
      <w:r>
        <w:tab/>
        <w:t>(iii)</w:t>
      </w:r>
      <w:r>
        <w:tab/>
        <w:t>notices of proposed resolutions and material submitted to members of the strata company in connection with proposed resolutions; and</w:t>
      </w:r>
    </w:p>
    <w:p>
      <w:pPr>
        <w:pStyle w:val="nzIndenti"/>
      </w:pPr>
      <w:r>
        <w:tab/>
        <w:t>(iv)</w:t>
      </w:r>
      <w:r>
        <w:tab/>
        <w:t>notices of disclosures made under section 79, 145(2) or 147; and</w:t>
      </w:r>
    </w:p>
    <w:p>
      <w:pPr>
        <w:pStyle w:val="nzIndenti"/>
      </w:pPr>
      <w:r>
        <w:tab/>
        <w:t>(v)</w:t>
      </w:r>
      <w:r>
        <w:tab/>
        <w:t>all correspondence, other notices and orders it or its council sends or receives; and</w:t>
      </w:r>
    </w:p>
    <w:p>
      <w:pPr>
        <w:pStyle w:val="nzIndenti"/>
      </w:pPr>
      <w:r>
        <w:tab/>
        <w:t>(vi)</w:t>
      </w:r>
      <w:r>
        <w:tab/>
        <w:t>each lease accepted under section 92 and any instrument of surrender of such a lease; and</w:t>
      </w:r>
    </w:p>
    <w:p>
      <w:pPr>
        <w:pStyle w:val="nzIndenti"/>
      </w:pPr>
      <w:r>
        <w:tab/>
        <w:t>(vii)</w:t>
      </w:r>
      <w:r>
        <w:tab/>
        <w:t>a copy of each contract entered into by the strata company and any variation, extension or termination of such a contract, including (without limitation) the following —</w:t>
      </w:r>
    </w:p>
    <w:p>
      <w:pPr>
        <w:pStyle w:val="nzIndentI0"/>
      </w:pPr>
      <w:r>
        <w:tab/>
        <w:t>(I)</w:t>
      </w:r>
      <w:r>
        <w:tab/>
        <w:t>a strata management contract;</w:t>
      </w:r>
    </w:p>
    <w:p>
      <w:pPr>
        <w:pStyle w:val="nzIndentI0"/>
      </w:pPr>
      <w:r>
        <w:tab/>
        <w:t>(II)</w:t>
      </w:r>
      <w:r>
        <w:tab/>
        <w:t>an insurance contract;</w:t>
      </w:r>
    </w:p>
    <w:p>
      <w:pPr>
        <w:pStyle w:val="nzIndentI0"/>
      </w:pPr>
      <w:r>
        <w:tab/>
        <w:t>(III)</w:t>
      </w:r>
      <w:r>
        <w:tab/>
        <w:t>an infrastructure contract for a common property (utility and sustainability infrastructure) easement;</w:t>
      </w:r>
    </w:p>
    <w:p>
      <w:pPr>
        <w:pStyle w:val="nzIndentI0"/>
      </w:pPr>
      <w:r>
        <w:tab/>
        <w:t>(IV)</w:t>
      </w:r>
      <w:r>
        <w:tab/>
        <w:t>a contract for services or amenities provided to the strata company or members of the strata company;</w:t>
      </w:r>
    </w:p>
    <w:p>
      <w:pPr>
        <w:pStyle w:val="nzIndenti"/>
      </w:pPr>
      <w:r>
        <w:tab/>
      </w:r>
      <w:r>
        <w:tab/>
        <w:t>and</w:t>
      </w:r>
    </w:p>
    <w:p>
      <w:pPr>
        <w:pStyle w:val="nzIndenti"/>
      </w:pPr>
      <w:r>
        <w:tab/>
        <w:t>(viii)</w:t>
      </w:r>
      <w:r>
        <w:tab/>
        <w:t>each lease, licence or other document granting a special privilege over the common property (other than exclusive use by</w:t>
      </w:r>
      <w:r>
        <w:noBreakHyphen/>
        <w:t>laws); and</w:t>
      </w:r>
    </w:p>
    <w:p>
      <w:pPr>
        <w:pStyle w:val="nzIndenti"/>
      </w:pPr>
      <w:r>
        <w:tab/>
        <w:t>(ix)</w:t>
      </w:r>
      <w:r>
        <w:tab/>
        <w:t>each key document it has received; and</w:t>
      </w:r>
    </w:p>
    <w:p>
      <w:pPr>
        <w:pStyle w:val="nzIndenti"/>
      </w:pPr>
      <w:r>
        <w:tab/>
        <w:t>(x)</w:t>
      </w:r>
      <w:r>
        <w:tab/>
        <w:t xml:space="preserve">each document it has kept or received under section 63(8) or (9); </w:t>
      </w:r>
    </w:p>
    <w:p>
      <w:pPr>
        <w:pStyle w:val="nzIndenta"/>
      </w:pPr>
      <w:r>
        <w:tab/>
      </w:r>
      <w:r>
        <w:tab/>
        <w:t>and</w:t>
      </w:r>
    </w:p>
    <w:p>
      <w:pPr>
        <w:pStyle w:val="nzIndenta"/>
      </w:pPr>
      <w:r>
        <w:tab/>
        <w:t>(d)</w:t>
      </w:r>
      <w:r>
        <w:tab/>
        <w:t>keep the following in a manner that facilitates access to the information, in particular, for use by the members of the council and officers of the strata company —</w:t>
      </w:r>
    </w:p>
    <w:p>
      <w:pPr>
        <w:pStyle w:val="nzIndenti"/>
      </w:pPr>
      <w:r>
        <w:tab/>
        <w:t>(i)</w:t>
      </w:r>
      <w:r>
        <w:tab/>
        <w:t>the terms of any current resolution about the use of the common seal of the strata company or authorising persons to execute documents on its behalf;</w:t>
      </w:r>
    </w:p>
    <w:p>
      <w:pPr>
        <w:pStyle w:val="nzIndenti"/>
      </w:pPr>
      <w:r>
        <w:tab/>
        <w:t>(ii)</w:t>
      </w:r>
      <w:r>
        <w:tab/>
        <w:t>the current balance of the administrative fund and, if applicable, the reserve fund of the strata company;</w:t>
      </w:r>
    </w:p>
    <w:p>
      <w:pPr>
        <w:pStyle w:val="nzIndenti"/>
      </w:pPr>
      <w:r>
        <w:tab/>
        <w:t>(iii)</w:t>
      </w:r>
      <w:r>
        <w:tab/>
        <w:t>the current budget (showing estimated income and expenditure) of the strata company;</w:t>
      </w:r>
    </w:p>
    <w:p>
      <w:pPr>
        <w:pStyle w:val="nz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nzIndenti"/>
      </w:pPr>
      <w:r>
        <w:tab/>
        <w:t>(v)</w:t>
      </w:r>
      <w:r>
        <w:tab/>
        <w:t>the most recent 10 year plan, if applicable;</w:t>
      </w:r>
    </w:p>
    <w:p>
      <w:pPr>
        <w:pStyle w:val="nzIndenti"/>
      </w:pPr>
      <w:r>
        <w:tab/>
        <w:t>(vi)</w:t>
      </w:r>
      <w:r>
        <w:tab/>
        <w:t>any termination proposal submitted to the strata company that remains current.</w:t>
      </w:r>
    </w:p>
    <w:p>
      <w:pPr>
        <w:pStyle w:val="nzSubsection"/>
      </w:pPr>
      <w:r>
        <w:tab/>
        <w:t>(2)</w:t>
      </w:r>
      <w:r>
        <w:tab/>
        <w:t>The regulations may impose additional requirements for the making or keeping of records by a strata company or about the manner in which this section is to be complied with.</w:t>
      </w:r>
    </w:p>
    <w:p>
      <w:pPr>
        <w:pStyle w:val="nzSubsection"/>
      </w:pPr>
      <w:r>
        <w:tab/>
        <w:t>(3)</w:t>
      </w:r>
      <w:r>
        <w:tab/>
        <w:t>A strata company must ensure that —</w:t>
      </w:r>
    </w:p>
    <w:p>
      <w:pPr>
        <w:pStyle w:val="nzIndenta"/>
      </w:pPr>
      <w:r>
        <w:tab/>
        <w:t>(a)</w:t>
      </w:r>
      <w:r>
        <w:tab/>
        <w:t>a letterbox with the name of the strata company clearly shown on it is continuously available and suitably placed on the parcel; and</w:t>
      </w:r>
    </w:p>
    <w:p>
      <w:pPr>
        <w:pStyle w:val="nzIndenta"/>
      </w:pPr>
      <w:r>
        <w:tab/>
        <w:t>(b)</w:t>
      </w:r>
      <w:r>
        <w:tab/>
        <w:t>a mechanism for corresponding with the strata company electronically is reasonably available to —</w:t>
      </w:r>
    </w:p>
    <w:p>
      <w:pPr>
        <w:pStyle w:val="nzIndenti"/>
      </w:pPr>
      <w:r>
        <w:tab/>
        <w:t>(i)</w:t>
      </w:r>
      <w:r>
        <w:tab/>
        <w:t>members of the strata company; and</w:t>
      </w:r>
    </w:p>
    <w:p>
      <w:pPr>
        <w:pStyle w:val="nzIndenti"/>
      </w:pPr>
      <w:r>
        <w:tab/>
        <w:t>(ii)</w:t>
      </w:r>
      <w:r>
        <w:tab/>
        <w:t>occupiers of lots in the strata titles scheme.</w:t>
      </w:r>
    </w:p>
    <w:p>
      <w:pPr>
        <w:pStyle w:val="nzHeading5"/>
        <w:rPr>
          <w:snapToGrid w:val="0"/>
        </w:rPr>
      </w:pPr>
      <w:bookmarkStart w:id="1315" w:name="_Toc530474458"/>
      <w:bookmarkStart w:id="1316" w:name="_Toc530475053"/>
      <w:r>
        <w:rPr>
          <w:snapToGrid w:val="0"/>
        </w:rPr>
        <w:t>106.</w:t>
      </w:r>
      <w:r>
        <w:rPr>
          <w:snapToGrid w:val="0"/>
        </w:rPr>
        <w:tab/>
        <w:t>Address for service if no roll maintained in 2, 3, 4 or 5</w:t>
      </w:r>
      <w:r>
        <w:rPr>
          <w:snapToGrid w:val="0"/>
        </w:rPr>
        <w:noBreakHyphen/>
        <w:t>lot scheme</w:t>
      </w:r>
      <w:bookmarkEnd w:id="1315"/>
      <w:bookmarkEnd w:id="1316"/>
    </w:p>
    <w:p>
      <w:pPr>
        <w:pStyle w:val="nz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nzPenstart"/>
        <w:rPr>
          <w:snapToGrid w:val="0"/>
        </w:rPr>
      </w:pPr>
      <w:r>
        <w:rPr>
          <w:snapToGrid w:val="0"/>
        </w:rPr>
        <w:tab/>
        <w:t>Penalty for this subsection: a fine of $3 000.</w:t>
      </w:r>
    </w:p>
    <w:p>
      <w:pPr>
        <w:pStyle w:val="nz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nzPenstart"/>
        <w:rPr>
          <w:snapToGrid w:val="0"/>
        </w:rPr>
      </w:pPr>
      <w:r>
        <w:rPr>
          <w:snapToGrid w:val="0"/>
        </w:rPr>
        <w:tab/>
        <w:t>Penalty for this subsection: a fine of $3 000.</w:t>
      </w:r>
    </w:p>
    <w:p>
      <w:pPr>
        <w:pStyle w:val="nzHeading4"/>
      </w:pPr>
      <w:bookmarkStart w:id="1317" w:name="_Toc517437661"/>
      <w:bookmarkStart w:id="1318" w:name="_Toc517438203"/>
      <w:bookmarkStart w:id="1319" w:name="_Toc517440540"/>
      <w:bookmarkStart w:id="1320" w:name="_Toc517447577"/>
      <w:bookmarkStart w:id="1321" w:name="_Toc517450055"/>
      <w:bookmarkStart w:id="1322" w:name="_Toc517450597"/>
      <w:bookmarkStart w:id="1323" w:name="_Toc517857053"/>
      <w:bookmarkStart w:id="1324" w:name="_Toc518293180"/>
      <w:bookmarkStart w:id="1325" w:name="_Toc522744408"/>
      <w:bookmarkStart w:id="1326" w:name="_Toc522747531"/>
      <w:bookmarkStart w:id="1327" w:name="_Toc529183368"/>
      <w:bookmarkStart w:id="1328" w:name="_Toc529188131"/>
      <w:bookmarkStart w:id="1329" w:name="_Toc529434644"/>
      <w:bookmarkStart w:id="1330" w:name="_Toc529524535"/>
      <w:bookmarkStart w:id="1331" w:name="_Toc530474459"/>
      <w:bookmarkStart w:id="1332" w:name="_Toc530475054"/>
      <w:r>
        <w:t>Subdivision 6 — Provision of information</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zHeading5"/>
      </w:pPr>
      <w:bookmarkStart w:id="1333" w:name="_Toc530474460"/>
      <w:bookmarkStart w:id="1334" w:name="_Toc530475055"/>
      <w:r>
        <w:t>107.</w:t>
      </w:r>
      <w:r>
        <w:tab/>
        <w:t>Application by person with proper interest in information</w:t>
      </w:r>
      <w:bookmarkEnd w:id="1333"/>
      <w:bookmarkEnd w:id="1334"/>
    </w:p>
    <w:p>
      <w:pPr>
        <w:pStyle w:val="nzSubsection"/>
      </w:pPr>
      <w:r>
        <w:tab/>
        <w:t>(1)</w:t>
      </w:r>
      <w:r>
        <w:tab/>
        <w:t>A person with a proper interest in information about a strata titles scheme, or a person authorised in writing by such a person, may apply in writing to the strata company for the scheme for —</w:t>
      </w:r>
    </w:p>
    <w:p>
      <w:pPr>
        <w:pStyle w:val="nzIndenta"/>
      </w:pPr>
      <w:r>
        <w:tab/>
        <w:t>(a)</w:t>
      </w:r>
      <w:r>
        <w:tab/>
        <w:t>information under section 108; or</w:t>
      </w:r>
    </w:p>
    <w:p>
      <w:pPr>
        <w:pStyle w:val="nzIndenta"/>
      </w:pPr>
      <w:r>
        <w:tab/>
        <w:t>(b)</w:t>
      </w:r>
      <w:r>
        <w:tab/>
        <w:t>inspection of material under section 109; or</w:t>
      </w:r>
    </w:p>
    <w:p>
      <w:pPr>
        <w:pStyle w:val="nzIndenta"/>
      </w:pPr>
      <w:r>
        <w:tab/>
        <w:t>(c)</w:t>
      </w:r>
      <w:r>
        <w:tab/>
        <w:t>a certificate under section 110.</w:t>
      </w:r>
    </w:p>
    <w:p>
      <w:pPr>
        <w:pStyle w:val="nzSubsection"/>
      </w:pPr>
      <w:r>
        <w:tab/>
        <w:t>(2)</w:t>
      </w:r>
      <w:r>
        <w:tab/>
        <w:t xml:space="preserve">A person has a </w:t>
      </w:r>
      <w:r>
        <w:rPr>
          <w:rStyle w:val="CharDefText"/>
        </w:rPr>
        <w:t>proper interest in information about a strata titles scheme</w:t>
      </w:r>
      <w:r>
        <w:t xml:space="preserve"> if the person is —</w:t>
      </w:r>
    </w:p>
    <w:p>
      <w:pPr>
        <w:pStyle w:val="nzIndenta"/>
      </w:pPr>
      <w:r>
        <w:tab/>
        <w:t>(a)</w:t>
      </w:r>
      <w:r>
        <w:tab/>
        <w:t>a member of the strata company for the scheme; or</w:t>
      </w:r>
    </w:p>
    <w:p>
      <w:pPr>
        <w:pStyle w:val="nzIndenta"/>
      </w:pPr>
      <w:r>
        <w:tab/>
        <w:t>(b)</w:t>
      </w:r>
      <w:r>
        <w:tab/>
        <w:t>a buyer who has entered into a contract for the sale and purchase of a lot in the strata titles scheme; or</w:t>
      </w:r>
    </w:p>
    <w:p>
      <w:pPr>
        <w:pStyle w:val="nzIndenta"/>
      </w:pPr>
      <w:r>
        <w:tab/>
        <w:t>(c)</w:t>
      </w:r>
      <w:r>
        <w:tab/>
        <w:t>a mortgagee of a lot in the strata titles scheme; or</w:t>
      </w:r>
    </w:p>
    <w:p>
      <w:pPr>
        <w:pStyle w:val="nzIndenta"/>
      </w:pPr>
      <w:r>
        <w:tab/>
        <w:t>(d)</w:t>
      </w:r>
      <w:r>
        <w:tab/>
        <w:t>a person of a class specified in the regulations.</w:t>
      </w:r>
    </w:p>
    <w:p>
      <w:pPr>
        <w:pStyle w:val="nzSubsection"/>
      </w:pPr>
      <w:r>
        <w:tab/>
        <w:t>(3)</w:t>
      </w:r>
      <w:r>
        <w:tab/>
        <w:t>A strata company may charge a fee for an application under this section.</w:t>
      </w:r>
    </w:p>
    <w:p>
      <w:pPr>
        <w:pStyle w:val="nzSubsection"/>
      </w:pPr>
      <w:r>
        <w:tab/>
        <w:t>(4)</w:t>
      </w:r>
      <w:r>
        <w:tab/>
        <w:t>However, any fee that is charged must not exceed an amount fixed by the regulations.</w:t>
      </w:r>
    </w:p>
    <w:p>
      <w:pPr>
        <w:pStyle w:val="nzHeading5"/>
      </w:pPr>
      <w:bookmarkStart w:id="1335" w:name="_Toc530474461"/>
      <w:bookmarkStart w:id="1336" w:name="_Toc530475056"/>
      <w:r>
        <w:t>108.</w:t>
      </w:r>
      <w:r>
        <w:tab/>
        <w:t>Contact information</w:t>
      </w:r>
      <w:bookmarkEnd w:id="1335"/>
      <w:bookmarkEnd w:id="1336"/>
    </w:p>
    <w:p>
      <w:pPr>
        <w:pStyle w:val="nzSubsection"/>
      </w:pPr>
      <w:r>
        <w:tab/>
      </w:r>
      <w:r>
        <w:tab/>
        <w:t>A strata company commits an offence if it does not, within 14 days after being given an application for contact information under section 107, provide the applicant with the following as stated in the application —</w:t>
      </w:r>
    </w:p>
    <w:p>
      <w:pPr>
        <w:pStyle w:val="nzIndenta"/>
      </w:pPr>
      <w:r>
        <w:tab/>
        <w:t>(a)</w:t>
      </w:r>
      <w:r>
        <w:tab/>
        <w:t>the name and address for service of a member of the council of the strata company;</w:t>
      </w:r>
    </w:p>
    <w:p>
      <w:pPr>
        <w:pStyle w:val="nzIndenta"/>
      </w:pPr>
      <w:r>
        <w:tab/>
        <w:t>(b)</w:t>
      </w:r>
      <w:r>
        <w:tab/>
        <w:t>the name and address for service of an officer of the strata company;</w:t>
      </w:r>
    </w:p>
    <w:p>
      <w:pPr>
        <w:pStyle w:val="nzPenstart"/>
      </w:pPr>
      <w:r>
        <w:tab/>
      </w:r>
      <w:r>
        <w:rPr>
          <w:snapToGrid w:val="0"/>
        </w:rPr>
        <w:t>Penalty: a fine of $3 000.</w:t>
      </w:r>
    </w:p>
    <w:p>
      <w:pPr>
        <w:pStyle w:val="nzHeading5"/>
      </w:pPr>
      <w:bookmarkStart w:id="1337" w:name="_Toc530474462"/>
      <w:bookmarkStart w:id="1338" w:name="_Toc530475057"/>
      <w:r>
        <w:t>109.</w:t>
      </w:r>
      <w:r>
        <w:tab/>
        <w:t>Inspection of material</w:t>
      </w:r>
      <w:bookmarkEnd w:id="1337"/>
      <w:bookmarkEnd w:id="1338"/>
    </w:p>
    <w:p>
      <w:pPr>
        <w:pStyle w:val="nzSubsection"/>
      </w:pPr>
      <w:r>
        <w:tab/>
        <w:t>(1)</w:t>
      </w:r>
      <w:r>
        <w:tab/>
        <w:t>A strata company commits an offence if, on application for inspection under section 107, it does not make material to which this section applies available for inspection by the applicant at a place and time —</w:t>
      </w:r>
    </w:p>
    <w:p>
      <w:pPr>
        <w:pStyle w:val="nzIndenta"/>
      </w:pPr>
      <w:r>
        <w:tab/>
        <w:t>(a)</w:t>
      </w:r>
      <w:r>
        <w:tab/>
        <w:t>agreed between the strata company and the person; or</w:t>
      </w:r>
    </w:p>
    <w:p>
      <w:pPr>
        <w:pStyle w:val="nzIndenta"/>
      </w:pPr>
      <w:r>
        <w:tab/>
        <w:t>(b)</w:t>
      </w:r>
      <w:r>
        <w:tab/>
        <w:t>if agreement is not reached within 3 days after the strata company is given the application, specified in a written notice given by the strata company to the person.</w:t>
      </w:r>
    </w:p>
    <w:p>
      <w:pPr>
        <w:pStyle w:val="nzPenstart"/>
        <w:rPr>
          <w:snapToGrid w:val="0"/>
        </w:rPr>
      </w:pPr>
      <w:r>
        <w:rPr>
          <w:snapToGrid w:val="0"/>
        </w:rPr>
        <w:tab/>
        <w:t>Penalty for this subsection: a fine of $3 000.</w:t>
      </w:r>
    </w:p>
    <w:p>
      <w:pPr>
        <w:pStyle w:val="nzSubsection"/>
      </w:pPr>
      <w:r>
        <w:tab/>
        <w:t>(2)</w:t>
      </w:r>
      <w:r>
        <w:tab/>
        <w:t>The time specified in a notice under subsection (1)(b) must be between 9am and 5pm on a day not more than 10 days after the strata company is given the application.</w:t>
      </w:r>
    </w:p>
    <w:p>
      <w:pPr>
        <w:pStyle w:val="nzSubsection"/>
      </w:pPr>
      <w:r>
        <w:tab/>
        <w:t>(3)</w:t>
      </w:r>
      <w:r>
        <w:tab/>
        <w:t>The material may be made available in electronic or hard copy form.</w:t>
      </w:r>
    </w:p>
    <w:p>
      <w:pPr>
        <w:pStyle w:val="nzSubsection"/>
      </w:pPr>
      <w:r>
        <w:tab/>
        <w:t>(4)</w:t>
      </w:r>
      <w:r>
        <w:tab/>
        <w:t>A person inspecting material under this section —</w:t>
      </w:r>
    </w:p>
    <w:p>
      <w:pPr>
        <w:pStyle w:val="nzIndenta"/>
      </w:pPr>
      <w:r>
        <w:tab/>
        <w:t>(a)</w:t>
      </w:r>
      <w:r>
        <w:tab/>
        <w:t>may take extracts from, or make a copy of, the material, including by photographing it, subject to any limitations specified in the regulations; and</w:t>
      </w:r>
    </w:p>
    <w:p>
      <w:pPr>
        <w:pStyle w:val="nzIndenta"/>
      </w:pPr>
      <w:r>
        <w:tab/>
        <w:t>(b)</w:t>
      </w:r>
      <w:r>
        <w:tab/>
        <w:t>must not, without the consent of the strata company, remove physical material from the custody of the strata company; and</w:t>
      </w:r>
    </w:p>
    <w:p>
      <w:pPr>
        <w:pStyle w:val="nzIndenta"/>
      </w:pPr>
      <w:r>
        <w:tab/>
        <w:t>(c)</w:t>
      </w:r>
      <w:r>
        <w:tab/>
        <w:t>must not alter, damage, conceal or destroy any material or entry.</w:t>
      </w:r>
    </w:p>
    <w:p>
      <w:pPr>
        <w:pStyle w:val="nz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nzSubsection"/>
      </w:pPr>
      <w:r>
        <w:tab/>
        <w:t>(6)</w:t>
      </w:r>
      <w:r>
        <w:tab/>
        <w:t>This section applies to the following —</w:t>
      </w:r>
    </w:p>
    <w:p>
      <w:pPr>
        <w:pStyle w:val="nzIndenta"/>
      </w:pPr>
      <w:r>
        <w:tab/>
        <w:t>(a)</w:t>
      </w:r>
      <w:r>
        <w:tab/>
        <w:t>material kept under section 104;</w:t>
      </w:r>
    </w:p>
    <w:p>
      <w:pPr>
        <w:pStyle w:val="nzIndenta"/>
      </w:pPr>
      <w:r>
        <w:tab/>
        <w:t>(b)</w:t>
      </w:r>
      <w:r>
        <w:tab/>
        <w:t>the roll kept under section 105;</w:t>
      </w:r>
    </w:p>
    <w:p>
      <w:pPr>
        <w:pStyle w:val="nzIndenta"/>
      </w:pPr>
      <w:r>
        <w:tab/>
        <w:t>(c)</w:t>
      </w:r>
      <w:r>
        <w:tab/>
        <w:t>other documents in the possession or control of the strata company.</w:t>
      </w:r>
    </w:p>
    <w:p>
      <w:pPr>
        <w:pStyle w:val="nzHeading5"/>
      </w:pPr>
      <w:bookmarkStart w:id="1339" w:name="_Toc530474463"/>
      <w:bookmarkStart w:id="1340" w:name="_Toc530475058"/>
      <w:r>
        <w:t>110.</w:t>
      </w:r>
      <w:r>
        <w:tab/>
        <w:t>Certificates</w:t>
      </w:r>
      <w:bookmarkEnd w:id="1339"/>
      <w:bookmarkEnd w:id="1340"/>
    </w:p>
    <w:p>
      <w:pPr>
        <w:pStyle w:val="nz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nzIndenta"/>
      </w:pPr>
      <w:r>
        <w:tab/>
        <w:t>(a)</w:t>
      </w:r>
      <w:r>
        <w:tab/>
        <w:t>whether or not a strata management contract is in effect and, if so, when the contract starts and ends;</w:t>
      </w:r>
    </w:p>
    <w:p>
      <w:pPr>
        <w:pStyle w:val="nzIndenta"/>
      </w:pPr>
      <w:r>
        <w:tab/>
        <w:t>(b)</w:t>
      </w:r>
      <w:r>
        <w:tab/>
        <w:t>details of any contracts of insurance maintained by the strata company, including the name of the insurer, the contract number, the type and amount of cover, and the expiry day;</w:t>
      </w:r>
    </w:p>
    <w:p>
      <w:pPr>
        <w:pStyle w:val="nz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nzPenstart"/>
        <w:rPr>
          <w:snapToGrid w:val="0"/>
        </w:rPr>
      </w:pPr>
      <w:r>
        <w:rPr>
          <w:snapToGrid w:val="0"/>
        </w:rPr>
        <w:tab/>
        <w:t>Penalty for this subsection: a fine of $3 000.</w:t>
      </w:r>
    </w:p>
    <w:p>
      <w:pPr>
        <w:pStyle w:val="nzSubsection"/>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nzIndenta"/>
      </w:pPr>
      <w:r>
        <w:tab/>
        <w:t>(a)</w:t>
      </w:r>
      <w:r>
        <w:tab/>
        <w:t>the amount and due date of contributions determined for the lot —</w:t>
      </w:r>
    </w:p>
    <w:p>
      <w:pPr>
        <w:pStyle w:val="nzIndenti"/>
      </w:pPr>
      <w:r>
        <w:tab/>
        <w:t>(i)</w:t>
      </w:r>
      <w:r>
        <w:tab/>
        <w:t>at the most recent annual general meeting of the strata company; and</w:t>
      </w:r>
    </w:p>
    <w:p>
      <w:pPr>
        <w:pStyle w:val="nzIndenti"/>
      </w:pPr>
      <w:r>
        <w:tab/>
        <w:t>(ii)</w:t>
      </w:r>
      <w:r>
        <w:tab/>
        <w:t>at any time subsequent to that meeting; and</w:t>
      </w:r>
    </w:p>
    <w:p>
      <w:pPr>
        <w:pStyle w:val="nzIndenti"/>
      </w:pPr>
      <w:r>
        <w:tab/>
        <w:t>(iii)</w:t>
      </w:r>
      <w:r>
        <w:tab/>
        <w:t>in the previous 12 months;</w:t>
      </w:r>
    </w:p>
    <w:p>
      <w:pPr>
        <w:pStyle w:val="nzIndenta"/>
      </w:pPr>
      <w:r>
        <w:tab/>
        <w:t>(b)</w:t>
      </w:r>
      <w:r>
        <w:tab/>
        <w:t>any amount owed to the strata company by the owner or occupier of the lot that is outstanding, the date on which it became outstanding, and the nature of the payment;</w:t>
      </w:r>
    </w:p>
    <w:p>
      <w:pPr>
        <w:pStyle w:val="nzPermNoteHeading"/>
      </w:pPr>
      <w:r>
        <w:tab/>
        <w:t>Note for this paragraph:</w:t>
      </w:r>
    </w:p>
    <w:p>
      <w:pPr>
        <w:pStyle w:val="nzPermNoteText"/>
      </w:pPr>
      <w:r>
        <w:tab/>
      </w:r>
      <w:r>
        <w:tab/>
        <w:t>For example, the amount may be an amount of —</w:t>
      </w:r>
    </w:p>
    <w:p>
      <w:pPr>
        <w:pStyle w:val="nzPermNoteText"/>
      </w:pPr>
      <w:r>
        <w:t>contributions; or</w:t>
      </w:r>
    </w:p>
    <w:p>
      <w:pPr>
        <w:pStyle w:val="nzPermNoteText"/>
      </w:pPr>
      <w:r>
        <w:t>an amount payable under exclusive use by</w:t>
      </w:r>
      <w:r>
        <w:noBreakHyphen/>
        <w:t>laws; or</w:t>
      </w:r>
    </w:p>
    <w:p>
      <w:pPr>
        <w:pStyle w:val="nzPermNoteText"/>
      </w:pPr>
      <w:r>
        <w:t>an amount payable for work undertaken on the part of the owner of the lot; or</w:t>
      </w:r>
    </w:p>
    <w:p>
      <w:pPr>
        <w:pStyle w:val="nzPermNoteText"/>
      </w:pPr>
      <w:r>
        <w:t>any penalty or other amount ordered to be paid by the Tribunal; or</w:t>
      </w:r>
    </w:p>
    <w:p>
      <w:pPr>
        <w:pStyle w:val="nzPermNoteText"/>
      </w:pPr>
      <w:r>
        <w:t>any amount payable for utility services or other services or amenities.</w:t>
      </w:r>
    </w:p>
    <w:p>
      <w:pPr>
        <w:pStyle w:val="nzIndenta"/>
      </w:pPr>
      <w:r>
        <w:tab/>
        <w:t>(c)</w:t>
      </w:r>
      <w:r>
        <w:tab/>
        <w:t>the rate of interest payable in respect of the outstanding amount.</w:t>
      </w:r>
    </w:p>
    <w:p>
      <w:pPr>
        <w:pStyle w:val="nzPenstart"/>
        <w:rPr>
          <w:snapToGrid w:val="0"/>
        </w:rPr>
      </w:pPr>
      <w:r>
        <w:rPr>
          <w:snapToGrid w:val="0"/>
        </w:rPr>
        <w:tab/>
        <w:t>Penalty for this subsection: a fine of $3 000.</w:t>
      </w:r>
    </w:p>
    <w:p>
      <w:pPr>
        <w:pStyle w:val="nz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nzHeading5"/>
      </w:pPr>
      <w:bookmarkStart w:id="1341" w:name="_Toc530474464"/>
      <w:bookmarkStart w:id="1342" w:name="_Toc530475059"/>
      <w:r>
        <w:t>111.</w:t>
      </w:r>
      <w:r>
        <w:tab/>
        <w:t>Legal professional privilege and defamation</w:t>
      </w:r>
      <w:bookmarkEnd w:id="1341"/>
      <w:bookmarkEnd w:id="1342"/>
    </w:p>
    <w:p>
      <w:pPr>
        <w:pStyle w:val="nzSubsection"/>
        <w:rPr>
          <w:snapToGrid w:val="0"/>
        </w:rPr>
      </w:pPr>
      <w:r>
        <w:tab/>
        <w:t>(1)</w:t>
      </w:r>
      <w:r>
        <w:tab/>
      </w:r>
      <w:r>
        <w:rPr>
          <w:snapToGrid w:val="0"/>
        </w:rPr>
        <w:t>Nothing in this Subdivision requires a strata company —</w:t>
      </w:r>
    </w:p>
    <w:p>
      <w:pPr>
        <w:pStyle w:val="nzIndenta"/>
      </w:pPr>
      <w:r>
        <w:tab/>
        <w:t>(a)</w:t>
      </w:r>
      <w:r>
        <w:tab/>
        <w:t>to give or certify any information that is the subject of legal professional privilege; or</w:t>
      </w:r>
    </w:p>
    <w:p>
      <w:pPr>
        <w:pStyle w:val="nzIndenta"/>
      </w:pPr>
      <w:r>
        <w:tab/>
        <w:t>(b)</w:t>
      </w:r>
      <w:r>
        <w:tab/>
        <w:t>to make available a document or a part of a document if that would disclose information that is the subject of legal professional privilege.</w:t>
      </w:r>
    </w:p>
    <w:p>
      <w:pPr>
        <w:pStyle w:val="nzSubsection"/>
        <w:rPr>
          <w:snapToGrid w:val="0"/>
        </w:rPr>
      </w:pPr>
      <w:r>
        <w:tab/>
        <w:t>(2)</w:t>
      </w:r>
      <w:r>
        <w:tab/>
      </w:r>
      <w:r>
        <w:rPr>
          <w:snapToGrid w:val="0"/>
        </w:rPr>
        <w:t>It is a defence to an action for defamation if the defendant proves that —</w:t>
      </w:r>
    </w:p>
    <w:p>
      <w:pPr>
        <w:pStyle w:val="nzIndenta"/>
      </w:pPr>
      <w:r>
        <w:tab/>
        <w:t>(a)</w:t>
      </w:r>
      <w:r>
        <w:tab/>
        <w:t>the defamatory matter was contained in information or a document mentioned in this Subdivision; and</w:t>
      </w:r>
    </w:p>
    <w:p>
      <w:pPr>
        <w:pStyle w:val="nzIndenta"/>
      </w:pPr>
      <w:r>
        <w:tab/>
        <w:t>(b)</w:t>
      </w:r>
      <w:r>
        <w:tab/>
        <w:t>the publication consisted of giving or certifying the information, or making the document available, in accordance with this Subdivision.</w:t>
      </w:r>
    </w:p>
    <w:p>
      <w:pPr>
        <w:pStyle w:val="nzHeading4"/>
      </w:pPr>
      <w:bookmarkStart w:id="1343" w:name="_Toc517437667"/>
      <w:bookmarkStart w:id="1344" w:name="_Toc517438209"/>
      <w:bookmarkStart w:id="1345" w:name="_Toc517440546"/>
      <w:bookmarkStart w:id="1346" w:name="_Toc517447583"/>
      <w:bookmarkStart w:id="1347" w:name="_Toc517450061"/>
      <w:bookmarkStart w:id="1348" w:name="_Toc517450603"/>
      <w:bookmarkStart w:id="1349" w:name="_Toc517857059"/>
      <w:bookmarkStart w:id="1350" w:name="_Toc518293186"/>
      <w:bookmarkStart w:id="1351" w:name="_Toc522744414"/>
      <w:bookmarkStart w:id="1352" w:name="_Toc522747537"/>
      <w:bookmarkStart w:id="1353" w:name="_Toc529183374"/>
      <w:bookmarkStart w:id="1354" w:name="_Toc529188137"/>
      <w:bookmarkStart w:id="1355" w:name="_Toc529434650"/>
      <w:bookmarkStart w:id="1356" w:name="_Toc529524541"/>
      <w:bookmarkStart w:id="1357" w:name="_Toc530474465"/>
      <w:bookmarkStart w:id="1358" w:name="_Toc530475060"/>
      <w:r>
        <w:t>Subdivision 7 — Miscellaneous powers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nzHeading5"/>
      </w:pPr>
      <w:bookmarkStart w:id="1359" w:name="_Toc530474466"/>
      <w:bookmarkStart w:id="1360" w:name="_Toc530475061"/>
      <w:r>
        <w:t>112.</w:t>
      </w:r>
      <w:r>
        <w:tab/>
        <w:t>Compliance with scheme by</w:t>
      </w:r>
      <w:r>
        <w:noBreakHyphen/>
        <w:t>laws</w:t>
      </w:r>
      <w:bookmarkEnd w:id="1359"/>
      <w:bookmarkEnd w:id="1360"/>
    </w:p>
    <w:p>
      <w:pPr>
        <w:pStyle w:val="nzSubsection"/>
      </w:pPr>
      <w:r>
        <w:tab/>
      </w:r>
      <w:r>
        <w:tab/>
        <w:t>A strata company has the function of complying with the scheme by</w:t>
      </w:r>
      <w:r>
        <w:noBreakHyphen/>
        <w:t>laws and enforcing compliance with those by</w:t>
      </w:r>
      <w:r>
        <w:noBreakHyphen/>
        <w:t>laws by others to whom they apply.</w:t>
      </w:r>
    </w:p>
    <w:p>
      <w:pPr>
        <w:pStyle w:val="nzHeading5"/>
      </w:pPr>
      <w:bookmarkStart w:id="1361" w:name="_Toc530474467"/>
      <w:bookmarkStart w:id="1362" w:name="_Toc530475062"/>
      <w:r>
        <w:t>113.</w:t>
      </w:r>
      <w:r>
        <w:tab/>
        <w:t>Enforcement of road laws</w:t>
      </w:r>
      <w:bookmarkEnd w:id="1361"/>
      <w:bookmarkEnd w:id="1362"/>
    </w:p>
    <w:p>
      <w:pPr>
        <w:pStyle w:val="nzSubsection"/>
      </w:pPr>
      <w:r>
        <w:tab/>
      </w:r>
      <w:r>
        <w:tab/>
        <w:t>A strata company may enter into a contract or arrangement with a local government about the enforcement of laws relating to roads on the parcel.</w:t>
      </w:r>
    </w:p>
    <w:p>
      <w:pPr>
        <w:pStyle w:val="nzHeading5"/>
      </w:pPr>
      <w:bookmarkStart w:id="1363" w:name="_Toc530474468"/>
      <w:bookmarkStart w:id="1364" w:name="_Toc530475063"/>
      <w:r>
        <w:t>114.</w:t>
      </w:r>
      <w:r>
        <w:tab/>
        <w:t>Enforcement of local laws</w:t>
      </w:r>
      <w:bookmarkEnd w:id="1363"/>
      <w:bookmarkEnd w:id="1364"/>
    </w:p>
    <w:p>
      <w:pPr>
        <w:pStyle w:val="nzSubsection"/>
      </w:pPr>
      <w:r>
        <w:tab/>
      </w:r>
      <w:r>
        <w:tab/>
        <w:t>A strata company may enter into a contract or arrangement with a local government about the enforcement of a local law on the parcel.</w:t>
      </w:r>
    </w:p>
    <w:p>
      <w:pPr>
        <w:pStyle w:val="nzHeading4"/>
      </w:pPr>
      <w:bookmarkStart w:id="1365" w:name="_Toc517437671"/>
      <w:bookmarkStart w:id="1366" w:name="_Toc517438213"/>
      <w:bookmarkStart w:id="1367" w:name="_Toc517440550"/>
      <w:bookmarkStart w:id="1368" w:name="_Toc517447587"/>
      <w:bookmarkStart w:id="1369" w:name="_Toc517450065"/>
      <w:bookmarkStart w:id="1370" w:name="_Toc517450607"/>
      <w:bookmarkStart w:id="1371" w:name="_Toc517857063"/>
      <w:bookmarkStart w:id="1372" w:name="_Toc518293190"/>
      <w:bookmarkStart w:id="1373" w:name="_Toc522744418"/>
      <w:bookmarkStart w:id="1374" w:name="_Toc522747541"/>
      <w:bookmarkStart w:id="1375" w:name="_Toc529183378"/>
      <w:bookmarkStart w:id="1376" w:name="_Toc529188141"/>
      <w:bookmarkStart w:id="1377" w:name="_Toc529434654"/>
      <w:bookmarkStart w:id="1378" w:name="_Toc529524545"/>
      <w:bookmarkStart w:id="1379" w:name="_Toc530474469"/>
      <w:bookmarkStart w:id="1380" w:name="_Toc530475064"/>
      <w:r>
        <w:t>Subdivision 8 — Limitations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nzHeading5"/>
      </w:pPr>
      <w:bookmarkStart w:id="1381" w:name="_Toc530474470"/>
      <w:bookmarkStart w:id="1382" w:name="_Toc530475065"/>
      <w:r>
        <w:t>117.</w:t>
      </w:r>
      <w:r>
        <w:tab/>
        <w:t>Limitations on exercise of powers</w:t>
      </w:r>
      <w:bookmarkEnd w:id="1381"/>
      <w:bookmarkEnd w:id="1382"/>
    </w:p>
    <w:p>
      <w:pPr>
        <w:pStyle w:val="nzSubsection"/>
      </w:pPr>
      <w:r>
        <w:tab/>
        <w:t>(1)</w:t>
      </w:r>
      <w:r>
        <w:tab/>
        <w:t>A strata company must not —</w:t>
      </w:r>
    </w:p>
    <w:p>
      <w:pPr>
        <w:pStyle w:val="nzIndenta"/>
      </w:pPr>
      <w:r>
        <w:tab/>
        <w:t>(a)</w:t>
      </w:r>
      <w:r>
        <w:tab/>
        <w:t>acquire or dispose of land, or an interest in land, except as authorised under section 92 or 93; or</w:t>
      </w:r>
    </w:p>
    <w:p>
      <w:pPr>
        <w:pStyle w:val="nzIndenta"/>
      </w:pPr>
      <w:r>
        <w:tab/>
        <w:t>(b)</w:t>
      </w:r>
      <w:r>
        <w:tab/>
        <w:t>mortgage common property; or</w:t>
      </w:r>
    </w:p>
    <w:p>
      <w:pPr>
        <w:pStyle w:val="nzIndenta"/>
      </w:pPr>
      <w:r>
        <w:tab/>
        <w:t>(c)</w:t>
      </w:r>
      <w:r>
        <w:tab/>
        <w:t>act as a guarantor; or</w:t>
      </w:r>
    </w:p>
    <w:p>
      <w:pPr>
        <w:pStyle w:val="nzIndenta"/>
      </w:pPr>
      <w:r>
        <w:tab/>
        <w:t>(d)</w:t>
      </w:r>
      <w:r>
        <w:tab/>
        <w:t>establish a corporation or subsidiary of a corporation; or</w:t>
      </w:r>
    </w:p>
    <w:p>
      <w:pPr>
        <w:pStyle w:val="nzIndenta"/>
      </w:pPr>
      <w:r>
        <w:tab/>
        <w:t>(e)</w:t>
      </w:r>
      <w:r>
        <w:tab/>
        <w:t>engage in an activity that a strata company must not engage in under the regulations.</w:t>
      </w:r>
    </w:p>
    <w:p>
      <w:pPr>
        <w:pStyle w:val="nzSubsection"/>
      </w:pPr>
      <w:r>
        <w:tab/>
        <w:t>(2)</w:t>
      </w:r>
      <w:r>
        <w:tab/>
        <w:t>A strata company must not, except as authorised by resolution without dissent, perform or exercise a function that the regulations allow to be exercised only as authorised by resolution without dissent.</w:t>
      </w:r>
    </w:p>
    <w:p>
      <w:pPr>
        <w:pStyle w:val="nzHeading5"/>
      </w:pPr>
      <w:bookmarkStart w:id="1383" w:name="_Toc530474471"/>
      <w:bookmarkStart w:id="1384" w:name="_Toc530475066"/>
      <w:r>
        <w:t>118.</w:t>
      </w:r>
      <w:r>
        <w:tab/>
        <w:t>Common seal and execution of documents</w:t>
      </w:r>
      <w:bookmarkEnd w:id="1383"/>
      <w:bookmarkEnd w:id="1384"/>
    </w:p>
    <w:p>
      <w:pPr>
        <w:pStyle w:val="nzSubsection"/>
      </w:pPr>
      <w:r>
        <w:tab/>
        <w:t>(1)</w:t>
      </w:r>
      <w:r>
        <w:tab/>
        <w:t>If a strata company has a common seal —</w:t>
      </w:r>
    </w:p>
    <w:p>
      <w:pPr>
        <w:pStyle w:val="nzIndenta"/>
      </w:pPr>
      <w:r>
        <w:tab/>
        <w:t>(a)</w:t>
      </w:r>
      <w:r>
        <w:tab/>
        <w:t>the seal may be used only as authorised by ordinary resolution of the strata company; and</w:t>
      </w:r>
    </w:p>
    <w:p>
      <w:pPr>
        <w:pStyle w:val="nzIndenta"/>
      </w:pPr>
      <w:r>
        <w:tab/>
        <w:t>(b)</w:t>
      </w:r>
      <w:r>
        <w:tab/>
        <w:t>its use must be attested by the signatures of 2 members of the council of the strata company.</w:t>
      </w:r>
    </w:p>
    <w:p>
      <w:pPr>
        <w:pStyle w:val="nzSubsection"/>
      </w:pPr>
      <w:r>
        <w:tab/>
        <w:t>(2)</w:t>
      </w:r>
      <w:r>
        <w:tab/>
        <w:t>A strata company may, by ordinary resolution, authorise any of the following to execute documents on its behalf subject to any conditions or limitations specified in the resolution —</w:t>
      </w:r>
    </w:p>
    <w:p>
      <w:pPr>
        <w:pStyle w:val="nzIndenta"/>
      </w:pPr>
      <w:r>
        <w:tab/>
        <w:t>(a)</w:t>
      </w:r>
      <w:r>
        <w:tab/>
        <w:t>a member of the council of the strata company; or</w:t>
      </w:r>
    </w:p>
    <w:p>
      <w:pPr>
        <w:pStyle w:val="nzIndenta"/>
      </w:pPr>
      <w:r>
        <w:tab/>
        <w:t>(b)</w:t>
      </w:r>
      <w:r>
        <w:tab/>
        <w:t>members of the council of the strata company acting jointly; or</w:t>
      </w:r>
    </w:p>
    <w:p>
      <w:pPr>
        <w:pStyle w:val="nzIndenta"/>
      </w:pPr>
      <w:r>
        <w:tab/>
        <w:t>(c)</w:t>
      </w:r>
      <w:r>
        <w:tab/>
        <w:t>a strata manager of the strata company.</w:t>
      </w:r>
    </w:p>
    <w:p>
      <w:pPr>
        <w:pStyle w:val="nzSubsection"/>
      </w:pPr>
      <w:r>
        <w:tab/>
        <w:t>(3)</w:t>
      </w:r>
      <w:r>
        <w:tab/>
        <w:t>A document is duly executed by a strata company if —</w:t>
      </w:r>
    </w:p>
    <w:p>
      <w:pPr>
        <w:pStyle w:val="nzIndenta"/>
      </w:pPr>
      <w:r>
        <w:tab/>
        <w:t>(a)</w:t>
      </w:r>
      <w:r>
        <w:tab/>
        <w:t>the common seal of the strata company is applied to it in accordance with this section; or</w:t>
      </w:r>
    </w:p>
    <w:p>
      <w:pPr>
        <w:pStyle w:val="nzIndenta"/>
      </w:pPr>
      <w:r>
        <w:tab/>
        <w:t>(b)</w:t>
      </w:r>
      <w:r>
        <w:tab/>
        <w:t>the document is signed on behalf of the strata company by a person or persons in accordance with an authority conferred under this section.</w:t>
      </w:r>
    </w:p>
    <w:p>
      <w:pPr>
        <w:pStyle w:val="nz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nzHeading3"/>
      </w:pPr>
      <w:bookmarkStart w:id="1385" w:name="_Toc517437674"/>
      <w:bookmarkStart w:id="1386" w:name="_Toc517438216"/>
      <w:bookmarkStart w:id="1387" w:name="_Toc517440553"/>
      <w:bookmarkStart w:id="1388" w:name="_Toc517447590"/>
      <w:bookmarkStart w:id="1389" w:name="_Toc517450068"/>
      <w:bookmarkStart w:id="1390" w:name="_Toc517450610"/>
      <w:bookmarkStart w:id="1391" w:name="_Toc517857066"/>
      <w:bookmarkStart w:id="1392" w:name="_Toc518293193"/>
      <w:bookmarkStart w:id="1393" w:name="_Toc522744421"/>
      <w:bookmarkStart w:id="1394" w:name="_Toc522747544"/>
      <w:bookmarkStart w:id="1395" w:name="_Toc529183381"/>
      <w:bookmarkStart w:id="1396" w:name="_Toc529188144"/>
      <w:bookmarkStart w:id="1397" w:name="_Toc529434657"/>
      <w:bookmarkStart w:id="1398" w:name="_Toc529524548"/>
      <w:bookmarkStart w:id="1399" w:name="_Toc530474472"/>
      <w:bookmarkStart w:id="1400" w:name="_Toc530475067"/>
      <w:r>
        <w:t>Division 2 — Objectives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nzHeading5"/>
      </w:pPr>
      <w:bookmarkStart w:id="1401" w:name="_Toc530474473"/>
      <w:bookmarkStart w:id="1402" w:name="_Toc530475068"/>
      <w:r>
        <w:t>119.</w:t>
      </w:r>
      <w:r>
        <w:tab/>
        <w:t>Objectives</w:t>
      </w:r>
      <w:bookmarkEnd w:id="1401"/>
      <w:bookmarkEnd w:id="1402"/>
    </w:p>
    <w:p>
      <w:pPr>
        <w:pStyle w:val="nz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nzIndenta"/>
      </w:pPr>
      <w:r>
        <w:tab/>
        <w:t>(a)</w:t>
      </w:r>
      <w:r>
        <w:tab/>
        <w:t>unfairly prejudicial to or discriminatory against a person; or</w:t>
      </w:r>
    </w:p>
    <w:p>
      <w:pPr>
        <w:pStyle w:val="nzIndenta"/>
      </w:pPr>
      <w:r>
        <w:tab/>
        <w:t>(b)</w:t>
      </w:r>
      <w:r>
        <w:tab/>
        <w:t>oppressive or unreasonable.</w:t>
      </w:r>
    </w:p>
    <w:p>
      <w:pPr>
        <w:pStyle w:val="nzSubsection"/>
      </w:pPr>
      <w:r>
        <w:tab/>
        <w:t>(2)</w:t>
      </w:r>
      <w:r>
        <w:tab/>
        <w:t>In achieving that objective, a strata company —</w:t>
      </w:r>
    </w:p>
    <w:p>
      <w:pPr>
        <w:pStyle w:val="nzIndenta"/>
      </w:pPr>
      <w:r>
        <w:tab/>
        <w:t>(a)</w:t>
      </w:r>
      <w:r>
        <w:tab/>
        <w:t>must take into account any failure of a person to act consistently with this Act or the scheme by</w:t>
      </w:r>
      <w:r>
        <w:noBreakHyphen/>
        <w:t>laws; and</w:t>
      </w:r>
    </w:p>
    <w:p>
      <w:pPr>
        <w:pStyle w:val="nzIndenta"/>
      </w:pPr>
      <w:r>
        <w:tab/>
        <w:t>(b)</w:t>
      </w:r>
      <w:r>
        <w:tab/>
        <w:t>must consider the merits of any proposal put to it and the options that are reasonably available in any particular circumstances; and</w:t>
      </w:r>
    </w:p>
    <w:p>
      <w:pPr>
        <w:pStyle w:val="nzIndenta"/>
      </w:pPr>
      <w:r>
        <w:tab/>
        <w:t>(c)</w:t>
      </w:r>
      <w:r>
        <w:tab/>
        <w:t>must be aware that —</w:t>
      </w:r>
    </w:p>
    <w:p>
      <w:pPr>
        <w:pStyle w:val="nz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nzIndenti"/>
      </w:pPr>
      <w:r>
        <w:tab/>
        <w:t>(ii)</w:t>
      </w:r>
      <w:r>
        <w:tab/>
        <w:t>the fact that a person has chosen to become the owner of a lot does not prevent the person challenging the performance of a function for failure to meet that objective.</w:t>
      </w:r>
    </w:p>
    <w:p>
      <w:pPr>
        <w:pStyle w:val="nzSubsection"/>
      </w:pPr>
      <w:r>
        <w:tab/>
        <w:t>(3)</w:t>
      </w:r>
      <w:r>
        <w:tab/>
        <w:t>Without limitation, a strata company acts oppressively or unreasonably in passing or not passing a resolution if —</w:t>
      </w:r>
    </w:p>
    <w:p>
      <w:pPr>
        <w:pStyle w:val="nzIndenta"/>
      </w:pPr>
      <w:r>
        <w:tab/>
        <w:t>(a)</w:t>
      </w:r>
      <w:r>
        <w:tab/>
        <w:t>the resolution would not have been passed, or not have been passed as a particular type of resolution, but for the fact that a person was improperly denied a vote on the resolution; or</w:t>
      </w:r>
    </w:p>
    <w:p>
      <w:pPr>
        <w:pStyle w:val="nzIndenta"/>
      </w:pPr>
      <w:r>
        <w:tab/>
        <w:t>(b)</w:t>
      </w:r>
      <w:r>
        <w:tab/>
        <w:t>the resolution would have been passed, or would have been passed as a particular type of resolution, if a person had properly been given an opportunity to vote on the resolution.</w:t>
      </w:r>
    </w:p>
    <w:p>
      <w:pPr>
        <w:pStyle w:val="nzHeading3"/>
      </w:pPr>
      <w:bookmarkStart w:id="1403" w:name="_Toc517437676"/>
      <w:bookmarkStart w:id="1404" w:name="_Toc517438218"/>
      <w:bookmarkStart w:id="1405" w:name="_Toc517440555"/>
      <w:bookmarkStart w:id="1406" w:name="_Toc517447592"/>
      <w:bookmarkStart w:id="1407" w:name="_Toc517450070"/>
      <w:bookmarkStart w:id="1408" w:name="_Toc517450612"/>
      <w:bookmarkStart w:id="1409" w:name="_Toc517857068"/>
      <w:bookmarkStart w:id="1410" w:name="_Toc518293195"/>
      <w:bookmarkStart w:id="1411" w:name="_Toc522744423"/>
      <w:bookmarkStart w:id="1412" w:name="_Toc522747546"/>
      <w:bookmarkStart w:id="1413" w:name="_Toc529183383"/>
      <w:bookmarkStart w:id="1414" w:name="_Toc529188146"/>
      <w:bookmarkStart w:id="1415" w:name="_Toc529434659"/>
      <w:bookmarkStart w:id="1416" w:name="_Toc529524550"/>
      <w:bookmarkStart w:id="1417" w:name="_Toc530474474"/>
      <w:bookmarkStart w:id="1418" w:name="_Toc530475069"/>
      <w:r>
        <w:t>Division 3 — Procedures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nzHeading4"/>
      </w:pPr>
      <w:bookmarkStart w:id="1419" w:name="_Toc517437677"/>
      <w:bookmarkStart w:id="1420" w:name="_Toc517438219"/>
      <w:bookmarkStart w:id="1421" w:name="_Toc517440556"/>
      <w:bookmarkStart w:id="1422" w:name="_Toc517447593"/>
      <w:bookmarkStart w:id="1423" w:name="_Toc517450071"/>
      <w:bookmarkStart w:id="1424" w:name="_Toc517450613"/>
      <w:bookmarkStart w:id="1425" w:name="_Toc517857069"/>
      <w:bookmarkStart w:id="1426" w:name="_Toc518293196"/>
      <w:bookmarkStart w:id="1427" w:name="_Toc522744424"/>
      <w:bookmarkStart w:id="1428" w:name="_Toc522747547"/>
      <w:bookmarkStart w:id="1429" w:name="_Toc529183384"/>
      <w:bookmarkStart w:id="1430" w:name="_Toc529188147"/>
      <w:bookmarkStart w:id="1431" w:name="_Toc529434660"/>
      <w:bookmarkStart w:id="1432" w:name="_Toc529524551"/>
      <w:bookmarkStart w:id="1433" w:name="_Toc530474475"/>
      <w:bookmarkStart w:id="1434" w:name="_Toc530475070"/>
      <w:r>
        <w:t>Subdivision 1 — Voting and resolutions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nzHeading5"/>
      </w:pPr>
      <w:bookmarkStart w:id="1435" w:name="_Toc530474476"/>
      <w:bookmarkStart w:id="1436" w:name="_Toc530475071"/>
      <w:r>
        <w:t>120.</w:t>
      </w:r>
      <w:r>
        <w:tab/>
        <w:t>Voting</w:t>
      </w:r>
      <w:bookmarkEnd w:id="1435"/>
      <w:bookmarkEnd w:id="1436"/>
    </w:p>
    <w:p>
      <w:pPr>
        <w:pStyle w:val="nzSubsection"/>
      </w:pPr>
      <w:r>
        <w:tab/>
        <w:t>(1)</w:t>
      </w:r>
      <w:r>
        <w:tab/>
        <w:t>The owner of each lot in a strata titles scheme is entitled to 1 vote on a proposed resolution of the strata company.</w:t>
      </w:r>
    </w:p>
    <w:p>
      <w:pPr>
        <w:pStyle w:val="nzSubsection"/>
      </w:pPr>
      <w:r>
        <w:tab/>
        <w:t>(2)</w:t>
      </w:r>
      <w:r>
        <w:tab/>
        <w:t>However, the owner of a lot is not entitled to cast the vote attached to the lot if —</w:t>
      </w:r>
    </w:p>
    <w:p>
      <w:pPr>
        <w:pStyle w:val="nzIndenta"/>
      </w:pPr>
      <w:r>
        <w:tab/>
        <w:t>(a)</w:t>
      </w:r>
      <w:r>
        <w:tab/>
        <w:t>the resolution is not required to be a unanimous resolution or a resolution without dissent and is not a resolution for postponing the expiry day for a leasehold scheme or a termination resolution; and</w:t>
      </w:r>
    </w:p>
    <w:p>
      <w:pPr>
        <w:pStyle w:val="nzIndenta"/>
      </w:pPr>
      <w:r>
        <w:tab/>
        <w:t>(b)</w:t>
      </w:r>
      <w:r>
        <w:tab/>
        <w:t>there is an outstanding amount recoverable under this Act owed to the strata company by the owner of the lot.</w:t>
      </w:r>
    </w:p>
    <w:p>
      <w:pPr>
        <w:pStyle w:val="nzSubsection"/>
        <w:rPr>
          <w:snapToGrid w:val="0"/>
        </w:rPr>
      </w:pPr>
      <w:r>
        <w:rPr>
          <w:snapToGrid w:val="0"/>
        </w:rPr>
        <w:tab/>
        <w:t>(3)</w:t>
      </w:r>
      <w:r>
        <w:rPr>
          <w:snapToGrid w:val="0"/>
        </w:rPr>
        <w:tab/>
        <w:t>A proposed resolution can be put to the members of a strata company —</w:t>
      </w:r>
    </w:p>
    <w:p>
      <w:pPr>
        <w:pStyle w:val="nzIndenta"/>
      </w:pPr>
      <w:r>
        <w:tab/>
        <w:t>(a)</w:t>
      </w:r>
      <w:r>
        <w:tab/>
        <w:t>at a general meeting; or</w:t>
      </w:r>
    </w:p>
    <w:p>
      <w:pPr>
        <w:pStyle w:val="nzIndenta"/>
      </w:pPr>
      <w:r>
        <w:tab/>
        <w:t>(b)</w:t>
      </w:r>
      <w:r>
        <w:tab/>
        <w:t>outside of a general meeting.</w:t>
      </w:r>
    </w:p>
    <w:p>
      <w:pPr>
        <w:pStyle w:val="nzSubsection"/>
      </w:pPr>
      <w:r>
        <w:tab/>
        <w:t>(4)</w:t>
      </w:r>
      <w:r>
        <w:tab/>
        <w:t>A resolution can be proposed only by a member of the strata company who is entitled to vote on the resolution.</w:t>
      </w:r>
    </w:p>
    <w:p>
      <w:pPr>
        <w:pStyle w:val="nzSubsection"/>
      </w:pPr>
      <w:r>
        <w:tab/>
        <w:t>(5)</w:t>
      </w:r>
      <w:r>
        <w:tab/>
        <w:t>The vote attached to a lot can, and can only, be cast, if at the time it is cast, the person is entitled to cast the vote attached to the lot.</w:t>
      </w:r>
    </w:p>
    <w:p>
      <w:pPr>
        <w:pStyle w:val="nzSubsection"/>
      </w:pPr>
      <w:r>
        <w:tab/>
        <w:t>(6)</w:t>
      </w:r>
      <w:r>
        <w:tab/>
        <w:t>The owner of a lot may cast the vote attached to the lot in person or by duly appointed proxy.</w:t>
      </w:r>
    </w:p>
    <w:p>
      <w:pPr>
        <w:pStyle w:val="nz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nzSubsection"/>
      </w:pPr>
      <w:r>
        <w:tab/>
        <w:t>(8)</w:t>
      </w:r>
      <w:r>
        <w:tab/>
        <w:t>The voting system, whether it is electronic or by other means, must —</w:t>
      </w:r>
    </w:p>
    <w:p>
      <w:pPr>
        <w:pStyle w:val="nzIndenta"/>
      </w:pPr>
      <w:r>
        <w:tab/>
        <w:t>(a)</w:t>
      </w:r>
      <w:r>
        <w:tab/>
        <w:t>enable votes to be cast in a manner designed to protect the integrity of the voting system; and</w:t>
      </w:r>
    </w:p>
    <w:p>
      <w:pPr>
        <w:pStyle w:val="nzIndenta"/>
      </w:pPr>
      <w:r>
        <w:tab/>
        <w:t>(b)</w:t>
      </w:r>
      <w:r>
        <w:tab/>
        <w:t>comply with any requirements specified in the regulations.</w:t>
      </w:r>
    </w:p>
    <w:p>
      <w:pPr>
        <w:pStyle w:val="nzHeading5"/>
        <w:rPr>
          <w:snapToGrid w:val="0"/>
        </w:rPr>
      </w:pPr>
      <w:bookmarkStart w:id="1437" w:name="_Toc530474477"/>
      <w:bookmarkStart w:id="1438" w:name="_Toc530475072"/>
      <w:r>
        <w:rPr>
          <w:snapToGrid w:val="0"/>
        </w:rPr>
        <w:t>121.</w:t>
      </w:r>
      <w:r>
        <w:rPr>
          <w:snapToGrid w:val="0"/>
        </w:rPr>
        <w:tab/>
        <w:t>Voting period</w:t>
      </w:r>
      <w:bookmarkEnd w:id="1437"/>
      <w:bookmarkEnd w:id="1438"/>
    </w:p>
    <w:p>
      <w:pPr>
        <w:pStyle w:val="nzSubsection"/>
      </w:pPr>
      <w:r>
        <w:tab/>
        <w:t>(1)</w:t>
      </w:r>
      <w:r>
        <w:tab/>
        <w:t>If a resolution is required to be a unanimous resolution, resolution without dissent or special resolution, the period allowed for voting must be 28 days or, if the regulations specify some other period, that period.</w:t>
      </w:r>
    </w:p>
    <w:p>
      <w:pPr>
        <w:pStyle w:val="nzSubsection"/>
      </w:pPr>
      <w:r>
        <w:tab/>
        <w:t>(2)</w:t>
      </w:r>
      <w:r>
        <w:tab/>
        <w:t>If a vote on a resolution that is required to be a unanimous resolution, resolution without dissent or special resolution is taken at a general meeting —</w:t>
      </w:r>
    </w:p>
    <w:p>
      <w:pPr>
        <w:pStyle w:val="nzIndenta"/>
      </w:pPr>
      <w:r>
        <w:tab/>
        <w:t>(a)</w:t>
      </w:r>
      <w:r>
        <w:tab/>
        <w:t>the voting period opens at the meeting and closes 28 days (or if the regulations specify some other period, that period) after the meeting; and</w:t>
      </w:r>
    </w:p>
    <w:p>
      <w:pPr>
        <w:pStyle w:val="nz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nzIndenta"/>
      </w:pPr>
      <w:r>
        <w:tab/>
        <w:t>(c)</w:t>
      </w:r>
      <w:r>
        <w:tab/>
        <w:t>if the vote for a lot was not cast at a meeting, the vote may be cast by written notice to the strata company before the voting period closes.</w:t>
      </w:r>
    </w:p>
    <w:p>
      <w:pPr>
        <w:pStyle w:val="nzHeading5"/>
        <w:rPr>
          <w:snapToGrid w:val="0"/>
        </w:rPr>
      </w:pPr>
      <w:bookmarkStart w:id="1439" w:name="_Toc530474478"/>
      <w:bookmarkStart w:id="1440" w:name="_Toc530475073"/>
      <w:r>
        <w:rPr>
          <w:snapToGrid w:val="0"/>
        </w:rPr>
        <w:t>122.</w:t>
      </w:r>
      <w:r>
        <w:rPr>
          <w:snapToGrid w:val="0"/>
        </w:rPr>
        <w:tab/>
        <w:t>Counting of votes</w:t>
      </w:r>
      <w:bookmarkEnd w:id="1439"/>
      <w:bookmarkEnd w:id="1440"/>
    </w:p>
    <w:p>
      <w:pPr>
        <w:pStyle w:val="nzSubsection"/>
      </w:pPr>
      <w:r>
        <w:tab/>
        <w:t>(1)</w:t>
      </w:r>
      <w:r>
        <w:tab/>
        <w:t>Votes are to be counted (and recorded) as follows —</w:t>
      </w:r>
    </w:p>
    <w:p>
      <w:pPr>
        <w:pStyle w:val="nzIndenta"/>
      </w:pPr>
      <w:r>
        <w:tab/>
        <w:t>(a)</w:t>
      </w:r>
      <w:r>
        <w:tab/>
        <w:t>for a unanimous resolution or a resolution without dissent, the votes must be counted by the number of votes cast;</w:t>
      </w:r>
    </w:p>
    <w:p>
      <w:pPr>
        <w:pStyle w:val="nzIndenta"/>
      </w:pPr>
      <w:r>
        <w:tab/>
        <w:t>(b)</w:t>
      </w:r>
      <w:r>
        <w:tab/>
        <w:t>for a special resolution, the votes must be counted both by the number of votes cast and by the number of unit entitlements of the lots for which votes are cast;</w:t>
      </w:r>
    </w:p>
    <w:p>
      <w:pPr>
        <w:pStyle w:val="nz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nzSubsection"/>
        <w:rPr>
          <w:snapToGrid w:val="0"/>
        </w:rPr>
      </w:pPr>
      <w:r>
        <w:rPr>
          <w:snapToGrid w:val="0"/>
        </w:rPr>
        <w:tab/>
        <w:t>(2)</w:t>
      </w:r>
      <w:r>
        <w:rPr>
          <w:snapToGrid w:val="0"/>
        </w:rPr>
        <w:tab/>
        <w:t>A demand that a vote be counted by the number of unit entitlements of the lots for which votes are cast can be made —</w:t>
      </w:r>
    </w:p>
    <w:p>
      <w:pPr>
        <w:pStyle w:val="nzIndenta"/>
      </w:pPr>
      <w:r>
        <w:tab/>
        <w:t>(a)</w:t>
      </w:r>
      <w:r>
        <w:tab/>
        <w:t>if the vote is being taken at a general meeting, orally or in writing before the resolution is put to the vote; and</w:t>
      </w:r>
    </w:p>
    <w:p>
      <w:pPr>
        <w:pStyle w:val="nzIndenta"/>
      </w:pPr>
      <w:r>
        <w:tab/>
        <w:t>(b)</w:t>
      </w:r>
      <w:r>
        <w:tab/>
        <w:t>if the vote is being taken outside of a general meeting, when the vote is cast.</w:t>
      </w:r>
    </w:p>
    <w:p>
      <w:pPr>
        <w:pStyle w:val="nzSubsection"/>
        <w:rPr>
          <w:snapToGrid w:val="0"/>
        </w:rPr>
      </w:pPr>
      <w:r>
        <w:rPr>
          <w:snapToGrid w:val="0"/>
        </w:rPr>
        <w:tab/>
        <w:t>(3)</w:t>
      </w:r>
      <w:r>
        <w:rPr>
          <w:snapToGrid w:val="0"/>
        </w:rPr>
        <w:tab/>
        <w:t>Such a demand may only be withdrawn by the person who made the demand.</w:t>
      </w:r>
    </w:p>
    <w:p>
      <w:pPr>
        <w:pStyle w:val="nzHeading5"/>
      </w:pPr>
      <w:bookmarkStart w:id="1441" w:name="_Toc530474479"/>
      <w:bookmarkStart w:id="1442" w:name="_Toc530475074"/>
      <w:r>
        <w:t>123.</w:t>
      </w:r>
      <w:r>
        <w:tab/>
        <w:t>Resolutions</w:t>
      </w:r>
      <w:bookmarkEnd w:id="1441"/>
      <w:bookmarkEnd w:id="1442"/>
    </w:p>
    <w:p>
      <w:pPr>
        <w:pStyle w:val="nz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nzIndenta"/>
      </w:pPr>
      <w:r>
        <w:tab/>
        <w:t>(a)</w:t>
      </w:r>
      <w:r>
        <w:tab/>
        <w:t>14 days’ notice of the terms of the proposed resolution is given to each member of the strata company before voting on the resolution opens; and</w:t>
      </w:r>
    </w:p>
    <w:p>
      <w:pPr>
        <w:pStyle w:val="nzIndenta"/>
      </w:pPr>
      <w:r>
        <w:tab/>
        <w:t>(b)</w:t>
      </w:r>
      <w:r>
        <w:tab/>
        <w:t>the vote attached to each lot in the scheme is cast in favour of the resolution.</w:t>
      </w:r>
    </w:p>
    <w:p>
      <w:pPr>
        <w:pStyle w:val="nzSubsection"/>
      </w:pPr>
      <w:r>
        <w:tab/>
        <w:t>(2)</w:t>
      </w:r>
      <w:r>
        <w:tab/>
        <w:t xml:space="preserve">Subject to subsection (3), a resolution of a strata company is a </w:t>
      </w:r>
      <w:r>
        <w:rPr>
          <w:rStyle w:val="CharDefText"/>
        </w:rPr>
        <w:t>resolution without dissent</w:t>
      </w:r>
      <w:r>
        <w:t xml:space="preserve"> if —</w:t>
      </w:r>
    </w:p>
    <w:p>
      <w:pPr>
        <w:pStyle w:val="nzIndenta"/>
      </w:pPr>
      <w:r>
        <w:tab/>
        <w:t>(a)</w:t>
      </w:r>
      <w:r>
        <w:tab/>
        <w:t>14 days’ notice of the terms of the proposed resolution is given to each member of the strata company before voting on the resolution opens; and</w:t>
      </w:r>
    </w:p>
    <w:p>
      <w:pPr>
        <w:pStyle w:val="nzIndenta"/>
      </w:pPr>
      <w:r>
        <w:tab/>
        <w:t>(b)</w:t>
      </w:r>
      <w:r>
        <w:tab/>
        <w:t>no vote attached to a lot in the scheme is cast against the resolution.</w:t>
      </w:r>
    </w:p>
    <w:p>
      <w:pPr>
        <w:pStyle w:val="nz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nzSubsection"/>
      </w:pPr>
      <w:r>
        <w:tab/>
        <w:t>(4)</w:t>
      </w:r>
      <w:r>
        <w:tab/>
        <w:t xml:space="preserve">Subject to subsections (5) and (6), a resolution of a strata company is a </w:t>
      </w:r>
      <w:r>
        <w:rPr>
          <w:rStyle w:val="CharDefText"/>
        </w:rPr>
        <w:t>special resolution</w:t>
      </w:r>
      <w:r>
        <w:t xml:space="preserve"> if —</w:t>
      </w:r>
    </w:p>
    <w:p>
      <w:pPr>
        <w:pStyle w:val="nzIndenta"/>
      </w:pPr>
      <w:r>
        <w:tab/>
        <w:t>(a)</w:t>
      </w:r>
      <w:r>
        <w:tab/>
        <w:t>14 days’ notice of the terms of the proposed resolution is given to each member of the strata company before voting on the resolution opens; and</w:t>
      </w:r>
    </w:p>
    <w:p>
      <w:pPr>
        <w:pStyle w:val="nzIndenta"/>
      </w:pPr>
      <w:r>
        <w:tab/>
        <w:t>(b)</w:t>
      </w:r>
      <w:r>
        <w:tab/>
        <w:t>the votes in favour of the resolution equal —</w:t>
      </w:r>
    </w:p>
    <w:p>
      <w:pPr>
        <w:pStyle w:val="nzIndenti"/>
      </w:pPr>
      <w:r>
        <w:tab/>
        <w:t>(i)</w:t>
      </w:r>
      <w:r>
        <w:tab/>
        <w:t>when counted by number — not less than 50% of the number of lots in the scheme; and</w:t>
      </w:r>
    </w:p>
    <w:p>
      <w:pPr>
        <w:pStyle w:val="nzIndenti"/>
      </w:pPr>
      <w:r>
        <w:tab/>
        <w:t>(ii)</w:t>
      </w:r>
      <w:r>
        <w:tab/>
        <w:t xml:space="preserve">when counted by unit entitlements — not less than 50% of the unit </w:t>
      </w:r>
      <w:r>
        <w:rPr>
          <w:snapToGrid w:val="0"/>
        </w:rPr>
        <w:t>entitlements</w:t>
      </w:r>
      <w:r>
        <w:t xml:space="preserve"> of the lots in the scheme;</w:t>
      </w:r>
    </w:p>
    <w:p>
      <w:pPr>
        <w:pStyle w:val="nzIndenta"/>
      </w:pPr>
      <w:r>
        <w:tab/>
      </w:r>
      <w:r>
        <w:tab/>
        <w:t>and</w:t>
      </w:r>
    </w:p>
    <w:p>
      <w:pPr>
        <w:pStyle w:val="nzIndenta"/>
      </w:pPr>
      <w:r>
        <w:tab/>
        <w:t>(c)</w:t>
      </w:r>
      <w:r>
        <w:tab/>
        <w:t>the votes against the resolution equal —</w:t>
      </w:r>
    </w:p>
    <w:p>
      <w:pPr>
        <w:pStyle w:val="nzIndenti"/>
      </w:pPr>
      <w:r>
        <w:tab/>
        <w:t>(i)</w:t>
      </w:r>
      <w:r>
        <w:tab/>
        <w:t>when counted by number — less than 25% of the number of lots in the scheme; and</w:t>
      </w:r>
    </w:p>
    <w:p>
      <w:pPr>
        <w:pStyle w:val="nzIndenti"/>
      </w:pPr>
      <w:r>
        <w:tab/>
        <w:t>(ii)</w:t>
      </w:r>
      <w:r>
        <w:tab/>
        <w:t>when counted by unit entitlements — less than 25% of the unit entitlements of the lots in the scheme.</w:t>
      </w:r>
    </w:p>
    <w:p>
      <w:pPr>
        <w:pStyle w:val="nz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nzSubsection"/>
      </w:pPr>
      <w:r>
        <w:tab/>
        <w:t>(6)</w:t>
      </w:r>
      <w:r>
        <w:tab/>
        <w:t>For a 3, 4 or 5</w:t>
      </w:r>
      <w:r>
        <w:noBreakHyphen/>
        <w:t xml:space="preserve">lot scheme, a resolution of the strata company is a </w:t>
      </w:r>
      <w:r>
        <w:rPr>
          <w:rStyle w:val="CharDefText"/>
        </w:rPr>
        <w:t>special resolution</w:t>
      </w:r>
      <w:r>
        <w:t xml:space="preserve"> if —</w:t>
      </w:r>
    </w:p>
    <w:p>
      <w:pPr>
        <w:pStyle w:val="nzIndenta"/>
      </w:pPr>
      <w:r>
        <w:tab/>
        <w:t>(a)</w:t>
      </w:r>
      <w:r>
        <w:tab/>
        <w:t>14 days’ notice of the terms of the proposed resolution is given to each member of the strata company before voting on the resolution opens; and</w:t>
      </w:r>
    </w:p>
    <w:p>
      <w:pPr>
        <w:pStyle w:val="nzIndenta"/>
      </w:pPr>
      <w:r>
        <w:tab/>
        <w:t>(b)</w:t>
      </w:r>
      <w:r>
        <w:tab/>
        <w:t>the votes in favour of the resolution equal—</w:t>
      </w:r>
    </w:p>
    <w:p>
      <w:pPr>
        <w:pStyle w:val="nzIndenti"/>
      </w:pPr>
      <w:r>
        <w:tab/>
        <w:t>(i)</w:t>
      </w:r>
      <w:r>
        <w:tab/>
        <w:t>when counted by number —</w:t>
      </w:r>
    </w:p>
    <w:p>
      <w:pPr>
        <w:pStyle w:val="nzIndentI0"/>
      </w:pPr>
      <w:r>
        <w:tab/>
        <w:t>(I)</w:t>
      </w:r>
      <w:r>
        <w:tab/>
        <w:t>for a 3</w:t>
      </w:r>
      <w:r>
        <w:noBreakHyphen/>
        <w:t>lot scheme — not less than 2; and</w:t>
      </w:r>
    </w:p>
    <w:p>
      <w:pPr>
        <w:pStyle w:val="nzIndentI0"/>
      </w:pPr>
      <w:r>
        <w:tab/>
        <w:t>(II)</w:t>
      </w:r>
      <w:r>
        <w:tab/>
        <w:t>for a 4</w:t>
      </w:r>
      <w:r>
        <w:noBreakHyphen/>
        <w:t>lot scheme — not less than 3; and</w:t>
      </w:r>
    </w:p>
    <w:p>
      <w:pPr>
        <w:pStyle w:val="nzIndentI0"/>
      </w:pPr>
      <w:r>
        <w:tab/>
        <w:t>(III)</w:t>
      </w:r>
      <w:r>
        <w:tab/>
        <w:t>for a 5</w:t>
      </w:r>
      <w:r>
        <w:noBreakHyphen/>
        <w:t>lot scheme — not less than 4;</w:t>
      </w:r>
    </w:p>
    <w:p>
      <w:pPr>
        <w:pStyle w:val="nzIndenti"/>
      </w:pPr>
      <w:r>
        <w:tab/>
      </w:r>
      <w:r>
        <w:tab/>
        <w:t>and</w:t>
      </w:r>
    </w:p>
    <w:p>
      <w:pPr>
        <w:pStyle w:val="nzIndenti"/>
      </w:pPr>
      <w:r>
        <w:tab/>
        <w:t>(ii)</w:t>
      </w:r>
      <w:r>
        <w:tab/>
        <w:t>when counted by unit entitlements — not less than 50% of the unit entitlements of the lots in the scheme.</w:t>
      </w:r>
    </w:p>
    <w:p>
      <w:pPr>
        <w:pStyle w:val="nzSubsection"/>
      </w:pPr>
      <w:r>
        <w:tab/>
        <w:t>(7)</w:t>
      </w:r>
      <w:r>
        <w:tab/>
        <w:t xml:space="preserve">A resolution of a strata company is an </w:t>
      </w:r>
      <w:r>
        <w:rPr>
          <w:rStyle w:val="CharDefText"/>
        </w:rPr>
        <w:t>ordinary resolution</w:t>
      </w:r>
      <w:r>
        <w:t xml:space="preserve"> if — </w:t>
      </w:r>
    </w:p>
    <w:p>
      <w:pPr>
        <w:pStyle w:val="nzIndenta"/>
      </w:pPr>
      <w:r>
        <w:tab/>
        <w:t>(a)</w:t>
      </w:r>
      <w:r>
        <w:tab/>
        <w:t>for a resolution passed other than at a general meeting, 14 days’ notice of the terms of the proposed resolution is given to each member of the strata company before voting on the resolution opens; and</w:t>
      </w:r>
    </w:p>
    <w:p>
      <w:pPr>
        <w:pStyle w:val="nzIndenta"/>
      </w:pPr>
      <w:r>
        <w:tab/>
        <w:t>(b)</w:t>
      </w:r>
      <w:r>
        <w:tab/>
        <w:t xml:space="preserve"> it is passed when counted as required under section 122 (1)(c) —</w:t>
      </w:r>
    </w:p>
    <w:p>
      <w:pPr>
        <w:pStyle w:val="nzIndenti"/>
      </w:pPr>
      <w:r>
        <w:tab/>
        <w:t>(i)</w:t>
      </w:r>
      <w:r>
        <w:tab/>
        <w:t>by number — by more than 50% of the number of lots for which votes are cast; or</w:t>
      </w:r>
    </w:p>
    <w:p>
      <w:pPr>
        <w:pStyle w:val="nzIndenti"/>
      </w:pPr>
      <w:r>
        <w:tab/>
        <w:t>(ii)</w:t>
      </w:r>
      <w:r>
        <w:tab/>
        <w:t>by unit entitlements — by more than 50% of the sum of the unit entitlements of the lots in the scheme for which votes are cast.</w:t>
      </w:r>
    </w:p>
    <w:p>
      <w:pPr>
        <w:pStyle w:val="nzPermNoteHeading"/>
      </w:pPr>
      <w:r>
        <w:tab/>
        <w:t>Note for this subsection:</w:t>
      </w:r>
    </w:p>
    <w:p>
      <w:pPr>
        <w:pStyle w:val="nzPermNoteText"/>
      </w:pPr>
      <w:r>
        <w:tab/>
      </w:r>
      <w:r>
        <w:tab/>
        <w:t>For an ordinary resolution, the question is determined against the resolution on an equal number of votes whether counted by number or by unit entitlements.</w:t>
      </w:r>
    </w:p>
    <w:p>
      <w:pPr>
        <w:pStyle w:val="nzHeading5"/>
      </w:pPr>
      <w:bookmarkStart w:id="1443" w:name="_Toc530474480"/>
      <w:bookmarkStart w:id="1444" w:name="_Toc530475075"/>
      <w:r>
        <w:t>124.</w:t>
      </w:r>
      <w:r>
        <w:tab/>
        <w:t>Voting by proxy</w:t>
      </w:r>
      <w:bookmarkEnd w:id="1443"/>
      <w:bookmarkEnd w:id="1444"/>
    </w:p>
    <w:p>
      <w:pPr>
        <w:pStyle w:val="nzSubsection"/>
      </w:pPr>
      <w:r>
        <w:tab/>
        <w:t>(1)</w:t>
      </w:r>
      <w:r>
        <w:tab/>
        <w:t>An instrument appointing a proxy to cast a vote must be in writing and executed by the appointer or the appointer’s attorney.</w:t>
      </w:r>
    </w:p>
    <w:p>
      <w:pPr>
        <w:pStyle w:val="nzSubsection"/>
      </w:pPr>
      <w:r>
        <w:tab/>
        <w:t>(2)</w:t>
      </w:r>
      <w:r>
        <w:tab/>
        <w:t>Subject to any limitations expressed in the instrument of appointment, the appointment of a proxy is for all general meetings and for all purposes.</w:t>
      </w:r>
    </w:p>
    <w:p>
      <w:pPr>
        <w:pStyle w:val="nzSubsection"/>
      </w:pPr>
      <w:r>
        <w:tab/>
        <w:t>(3)</w:t>
      </w:r>
      <w:r>
        <w:tab/>
        <w:t>The instrument of appointment of a proxy may limit the appointment —</w:t>
      </w:r>
    </w:p>
    <w:p>
      <w:pPr>
        <w:pStyle w:val="nzIndenta"/>
      </w:pPr>
      <w:r>
        <w:tab/>
        <w:t>(a)</w:t>
      </w:r>
      <w:r>
        <w:tab/>
        <w:t>to a specified general meeting or to voting on a specified resolution; or</w:t>
      </w:r>
    </w:p>
    <w:p>
      <w:pPr>
        <w:pStyle w:val="nzIndenta"/>
      </w:pPr>
      <w:r>
        <w:tab/>
        <w:t>(b)</w:t>
      </w:r>
      <w:r>
        <w:tab/>
        <w:t>to general meetings held, or votes taken, within a specified period; or</w:t>
      </w:r>
    </w:p>
    <w:p>
      <w:pPr>
        <w:pStyle w:val="nzIndenta"/>
      </w:pPr>
      <w:r>
        <w:tab/>
        <w:t>(c)</w:t>
      </w:r>
      <w:r>
        <w:tab/>
        <w:t>to a specified purpose; or</w:t>
      </w:r>
    </w:p>
    <w:p>
      <w:pPr>
        <w:pStyle w:val="nzIndenta"/>
      </w:pPr>
      <w:r>
        <w:tab/>
        <w:t>(d)</w:t>
      </w:r>
      <w:r>
        <w:tab/>
        <w:t>in any other specified way.</w:t>
      </w:r>
    </w:p>
    <w:p>
      <w:pPr>
        <w:pStyle w:val="nzSubsection"/>
      </w:pPr>
      <w:r>
        <w:tab/>
        <w:t>(4)</w:t>
      </w:r>
      <w:r>
        <w:tab/>
        <w:t>A proxy may be, but is not required to be, a member of the strata company.</w:t>
      </w:r>
    </w:p>
    <w:p>
      <w:pPr>
        <w:pStyle w:val="nz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nzHeading5"/>
        <w:rPr>
          <w:snapToGrid w:val="0"/>
        </w:rPr>
      </w:pPr>
      <w:bookmarkStart w:id="1445" w:name="_Toc530474481"/>
      <w:bookmarkStart w:id="1446" w:name="_Toc530475076"/>
      <w:r>
        <w:t>125.</w:t>
      </w:r>
      <w:r>
        <w:tab/>
      </w:r>
      <w:r>
        <w:rPr>
          <w:snapToGrid w:val="0"/>
        </w:rPr>
        <w:t>Disqualification from voting as proxy</w:t>
      </w:r>
      <w:bookmarkEnd w:id="1445"/>
      <w:bookmarkEnd w:id="1446"/>
    </w:p>
    <w:p>
      <w:pPr>
        <w:pStyle w:val="nz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nz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nzSubsection"/>
        <w:rPr>
          <w:snapToGrid w:val="0"/>
        </w:rPr>
      </w:pPr>
      <w:r>
        <w:rPr>
          <w:snapToGrid w:val="0"/>
        </w:rPr>
        <w:tab/>
        <w:t>(3)</w:t>
      </w:r>
      <w:r>
        <w:rPr>
          <w:snapToGrid w:val="0"/>
        </w:rPr>
        <w:tab/>
      </w:r>
      <w:r>
        <w:t>Subsection (</w:t>
      </w:r>
      <w:r>
        <w:rPr>
          <w:snapToGrid w:val="0"/>
        </w:rPr>
        <w:t>2) does not apply if —</w:t>
      </w:r>
    </w:p>
    <w:p>
      <w:pPr>
        <w:pStyle w:val="nzIndenta"/>
      </w:pPr>
      <w:r>
        <w:tab/>
        <w:t>(a)</w:t>
      </w:r>
      <w:r>
        <w:tab/>
        <w:t>notice of the proposed resolution included, if applicable, the particulars described in subsection (4); and</w:t>
      </w:r>
    </w:p>
    <w:p>
      <w:pPr>
        <w:pStyle w:val="nzIndenta"/>
        <w:rPr>
          <w:snapToGrid w:val="0"/>
        </w:rPr>
      </w:pPr>
      <w:r>
        <w:tab/>
        <w:t>(b)</w:t>
      </w:r>
      <w:r>
        <w:tab/>
        <w:t>the instrument appointing the proxy expressly authorises the proxy to vote on the resolution and specifies whether the proxy is to vote for or against it.</w:t>
      </w:r>
    </w:p>
    <w:p>
      <w:pPr>
        <w:pStyle w:val="nz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nzIndenta"/>
      </w:pPr>
      <w:r>
        <w:tab/>
        <w:t>(a)</w:t>
      </w:r>
      <w:r>
        <w:tab/>
        <w:t>the name of the strata manager; and</w:t>
      </w:r>
    </w:p>
    <w:p>
      <w:pPr>
        <w:pStyle w:val="nzIndenta"/>
      </w:pPr>
      <w:r>
        <w:tab/>
        <w:t>(b)</w:t>
      </w:r>
      <w:r>
        <w:tab/>
        <w:t>when the proposed contract, or the contract as proposed to be varied or extended (as the case may require) is to start and end; and</w:t>
      </w:r>
    </w:p>
    <w:p>
      <w:pPr>
        <w:pStyle w:val="nzIndenta"/>
      </w:pPr>
      <w:r>
        <w:tab/>
        <w:t>(c)</w:t>
      </w:r>
      <w:r>
        <w:tab/>
        <w:t>each proposed variation, if applicable; and</w:t>
      </w:r>
    </w:p>
    <w:p>
      <w:pPr>
        <w:pStyle w:val="nzIndenta"/>
      </w:pPr>
      <w:r>
        <w:tab/>
        <w:t>(d)</w:t>
      </w:r>
      <w:r>
        <w:tab/>
        <w:t>the remuneration that is payable under the contract or the way in which the remuneration that is payable under the contract is to be calculated.</w:t>
      </w:r>
    </w:p>
    <w:p>
      <w:pPr>
        <w:pStyle w:val="nzHeading5"/>
        <w:rPr>
          <w:snapToGrid w:val="0"/>
        </w:rPr>
      </w:pPr>
      <w:bookmarkStart w:id="1447" w:name="_Toc530474482"/>
      <w:bookmarkStart w:id="1448" w:name="_Toc530475077"/>
      <w:r>
        <w:t>126</w:t>
      </w:r>
      <w:r>
        <w:rPr>
          <w:snapToGrid w:val="0"/>
        </w:rPr>
        <w:t>.</w:t>
      </w:r>
      <w:r>
        <w:rPr>
          <w:snapToGrid w:val="0"/>
        </w:rPr>
        <w:tab/>
        <w:t>Exercise of voting power in certain cases</w:t>
      </w:r>
      <w:bookmarkEnd w:id="1447"/>
      <w:bookmarkEnd w:id="1448"/>
    </w:p>
    <w:p>
      <w:pPr>
        <w:pStyle w:val="nz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nzIndenta"/>
      </w:pPr>
      <w:r>
        <w:tab/>
        <w:t>(a)</w:t>
      </w:r>
      <w:r>
        <w:tab/>
        <w:t>if the lot is subject to a registered mortgage —</w:t>
      </w:r>
    </w:p>
    <w:p>
      <w:pPr>
        <w:pStyle w:val="nzIndenti"/>
      </w:pPr>
      <w:r>
        <w:tab/>
        <w:t>(i)</w:t>
      </w:r>
      <w:r>
        <w:tab/>
        <w:t>the first mortgagee of the lot may, in person or by proxy, cast the vote on behalf of the owner of the lot; and</w:t>
      </w:r>
    </w:p>
    <w:p>
      <w:pPr>
        <w:pStyle w:val="nzIndenti"/>
      </w:pPr>
      <w:r>
        <w:tab/>
        <w:t>(ii)</w:t>
      </w:r>
      <w:r>
        <w:tab/>
        <w:t>the owner may cast the vote if the first mortgagee does not do so;</w:t>
      </w:r>
    </w:p>
    <w:p>
      <w:pPr>
        <w:pStyle w:val="nzIndenta"/>
      </w:pPr>
      <w:r>
        <w:tab/>
      </w:r>
      <w:r>
        <w:tab/>
        <w:t>and</w:t>
      </w:r>
    </w:p>
    <w:p>
      <w:pPr>
        <w:pStyle w:val="nzIndenta"/>
      </w:pPr>
      <w:r>
        <w:tab/>
        <w:t>(b)</w:t>
      </w:r>
      <w:r>
        <w:tab/>
        <w:t>in any event —</w:t>
      </w:r>
    </w:p>
    <w:p>
      <w:pPr>
        <w:pStyle w:val="nzIndenti"/>
      </w:pPr>
      <w:r>
        <w:rPr>
          <w:snapToGrid w:val="0"/>
          <w:spacing w:val="-4"/>
        </w:rPr>
        <w:tab/>
      </w:r>
      <w:r>
        <w:t>(i)</w:t>
      </w:r>
      <w:r>
        <w:tab/>
        <w:t>if the owner of the lot has not attained 18 years of age, the owner may not cast the vote but the owner’s guardian may do so on behalf of the owner; and</w:t>
      </w:r>
    </w:p>
    <w:p>
      <w:pPr>
        <w:pStyle w:val="nz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nz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nzHeading4"/>
      </w:pPr>
      <w:bookmarkStart w:id="1449" w:name="_Toc517437685"/>
      <w:bookmarkStart w:id="1450" w:name="_Toc517438227"/>
      <w:bookmarkStart w:id="1451" w:name="_Toc517440564"/>
      <w:bookmarkStart w:id="1452" w:name="_Toc517447601"/>
      <w:bookmarkStart w:id="1453" w:name="_Toc517450079"/>
      <w:bookmarkStart w:id="1454" w:name="_Toc517450621"/>
      <w:bookmarkStart w:id="1455" w:name="_Toc517857077"/>
      <w:bookmarkStart w:id="1456" w:name="_Toc518293204"/>
      <w:bookmarkStart w:id="1457" w:name="_Toc522744432"/>
      <w:bookmarkStart w:id="1458" w:name="_Toc522747555"/>
      <w:bookmarkStart w:id="1459" w:name="_Toc529183392"/>
      <w:bookmarkStart w:id="1460" w:name="_Toc529188155"/>
      <w:bookmarkStart w:id="1461" w:name="_Toc529434668"/>
      <w:bookmarkStart w:id="1462" w:name="_Toc529524559"/>
      <w:bookmarkStart w:id="1463" w:name="_Toc530474483"/>
      <w:bookmarkStart w:id="1464" w:name="_Toc530475078"/>
      <w:r>
        <w:t>Subdivision 2 — Meetings of strata company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nzHeading5"/>
      </w:pPr>
      <w:bookmarkStart w:id="1465" w:name="_Toc530474484"/>
      <w:bookmarkStart w:id="1466" w:name="_Toc530475079"/>
      <w:r>
        <w:t>127.</w:t>
      </w:r>
      <w:r>
        <w:tab/>
        <w:t>Annual general meetings of strata company</w:t>
      </w:r>
      <w:bookmarkEnd w:id="1465"/>
      <w:bookmarkEnd w:id="1466"/>
    </w:p>
    <w:p>
      <w:pPr>
        <w:pStyle w:val="nz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nz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nzSubsection"/>
      </w:pPr>
      <w:r>
        <w:tab/>
        <w:t>(3)</w:t>
      </w:r>
      <w:r>
        <w:tab/>
        <w:t>The following matters must be included as an item of business on the agenda for each annual general meeting of a strata company (including the first annual general meeting) —</w:t>
      </w:r>
    </w:p>
    <w:p>
      <w:pPr>
        <w:pStyle w:val="nzIndenta"/>
      </w:pPr>
      <w:r>
        <w:tab/>
        <w:t>(a)</w:t>
      </w:r>
      <w:r>
        <w:tab/>
        <w:t>election of council members;</w:t>
      </w:r>
    </w:p>
    <w:p>
      <w:pPr>
        <w:pStyle w:val="nzIndenta"/>
      </w:pPr>
      <w:r>
        <w:tab/>
        <w:t>(b)</w:t>
      </w:r>
      <w:r>
        <w:tab/>
        <w:t>consideration of accounts;</w:t>
      </w:r>
    </w:p>
    <w:p>
      <w:pPr>
        <w:pStyle w:val="nzIndenta"/>
      </w:pPr>
      <w:r>
        <w:tab/>
        <w:t>(c)</w:t>
      </w:r>
      <w:r>
        <w:tab/>
        <w:t>the presentation of copies of certificates and schedules for the insurance required under this Act, current as at the date of the meeting.</w:t>
      </w:r>
    </w:p>
    <w:p>
      <w:pPr>
        <w:pStyle w:val="nz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nzHeading5"/>
      </w:pPr>
      <w:bookmarkStart w:id="1467" w:name="_Toc530474485"/>
      <w:bookmarkStart w:id="1468" w:name="_Toc530475080"/>
      <w:r>
        <w:t>128.</w:t>
      </w:r>
      <w:r>
        <w:tab/>
        <w:t>Extraordinary general meetings of strata company</w:t>
      </w:r>
      <w:bookmarkEnd w:id="1467"/>
      <w:bookmarkEnd w:id="1468"/>
    </w:p>
    <w:p>
      <w:pPr>
        <w:pStyle w:val="nz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nzSubsection"/>
        <w:rPr>
          <w:snapToGrid w:val="0"/>
        </w:rPr>
      </w:pPr>
      <w:r>
        <w:rPr>
          <w:snapToGrid w:val="0"/>
        </w:rPr>
        <w:tab/>
        <w:t>(2)</w:t>
      </w:r>
      <w:r>
        <w:rPr>
          <w:snapToGrid w:val="0"/>
        </w:rPr>
        <w:tab/>
        <w:t>An extraordinary general meeting of a strata company —</w:t>
      </w:r>
    </w:p>
    <w:p>
      <w:pPr>
        <w:pStyle w:val="nzIndenta"/>
      </w:pPr>
      <w:r>
        <w:tab/>
        <w:t>(a)</w:t>
      </w:r>
      <w:r>
        <w:tab/>
        <w:t>may be convened by the council of the strata company as the council thinks fit; and</w:t>
      </w:r>
    </w:p>
    <w:p>
      <w:pPr>
        <w:pStyle w:val="nzIndenta"/>
      </w:pPr>
      <w:r>
        <w:tab/>
        <w:t>(b)</w:t>
      </w:r>
      <w:r>
        <w:tab/>
        <w:t>must be convened by the council of the strata company on the written request of owners entitled to 25% or more of the unit entitlements of the lots in the strata titles scheme.</w:t>
      </w:r>
    </w:p>
    <w:p>
      <w:pPr>
        <w:pStyle w:val="nz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nz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nz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nzSubsection"/>
        <w:rPr>
          <w:snapToGrid w:val="0"/>
        </w:rPr>
      </w:pPr>
      <w:r>
        <w:rPr>
          <w:snapToGrid w:val="0"/>
        </w:rPr>
        <w:tab/>
        <w:t>(6)</w:t>
      </w:r>
      <w:r>
        <w:rPr>
          <w:snapToGrid w:val="0"/>
        </w:rPr>
        <w:tab/>
        <w:t>All business transacted at an extraordinary general meeting is taken to be special business.</w:t>
      </w:r>
    </w:p>
    <w:p>
      <w:pPr>
        <w:pStyle w:val="nzHeading5"/>
      </w:pPr>
      <w:bookmarkStart w:id="1469" w:name="_Toc530474486"/>
      <w:bookmarkStart w:id="1470" w:name="_Toc530475081"/>
      <w:r>
        <w:t>129.</w:t>
      </w:r>
      <w:r>
        <w:tab/>
        <w:t>Notice requirements for all general meetings</w:t>
      </w:r>
      <w:bookmarkEnd w:id="1469"/>
      <w:bookmarkEnd w:id="1470"/>
    </w:p>
    <w:p>
      <w:pPr>
        <w:pStyle w:val="nz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nzSubsection"/>
        <w:rPr>
          <w:snapToGrid w:val="0"/>
        </w:rPr>
      </w:pPr>
      <w:r>
        <w:rPr>
          <w:snapToGrid w:val="0"/>
        </w:rPr>
        <w:tab/>
        <w:t>(2)</w:t>
      </w:r>
      <w:r>
        <w:rPr>
          <w:snapToGrid w:val="0"/>
        </w:rPr>
        <w:tab/>
        <w:t>The notice must include —</w:t>
      </w:r>
    </w:p>
    <w:p>
      <w:pPr>
        <w:pStyle w:val="nzIndenta"/>
      </w:pPr>
      <w:r>
        <w:tab/>
        <w:t>(a)</w:t>
      </w:r>
      <w:r>
        <w:tab/>
        <w:t>the date, time and venue of the meeting; and</w:t>
      </w:r>
    </w:p>
    <w:p>
      <w:pPr>
        <w:pStyle w:val="nzIndenta"/>
      </w:pPr>
      <w:r>
        <w:tab/>
        <w:t>(b)</w:t>
      </w:r>
      <w:r>
        <w:tab/>
        <w:t>for an annual general meeting, notice of each item of business referred to in section 127(3); and</w:t>
      </w:r>
    </w:p>
    <w:p>
      <w:pPr>
        <w:pStyle w:val="nzIndenta"/>
      </w:pPr>
      <w:r>
        <w:tab/>
        <w:t>(c)</w:t>
      </w:r>
      <w:r>
        <w:tab/>
        <w:t>for special business, notice of the general nature of that business; and</w:t>
      </w:r>
    </w:p>
    <w:p>
      <w:pPr>
        <w:pStyle w:val="nzIndenta"/>
      </w:pPr>
      <w:r>
        <w:tab/>
        <w:t>(d)</w:t>
      </w:r>
      <w:r>
        <w:tab/>
        <w:t>notice of each method of voting, whether by means of an electronic communication or otherwise, that is acceptable to the strata company.</w:t>
      </w:r>
    </w:p>
    <w:p>
      <w:pPr>
        <w:pStyle w:val="nz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nz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nzHeading5"/>
      </w:pPr>
      <w:bookmarkStart w:id="1471" w:name="_Toc530474487"/>
      <w:bookmarkStart w:id="1472" w:name="_Toc530475082"/>
      <w:r>
        <w:t>130.</w:t>
      </w:r>
      <w:r>
        <w:tab/>
        <w:t>Quorum at general meetings</w:t>
      </w:r>
      <w:bookmarkEnd w:id="1471"/>
      <w:bookmarkEnd w:id="1472"/>
    </w:p>
    <w:p>
      <w:pPr>
        <w:pStyle w:val="nz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nz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nz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nz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nz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nzHeading5"/>
      </w:pPr>
      <w:bookmarkStart w:id="1473" w:name="_Toc530474488"/>
      <w:bookmarkStart w:id="1474" w:name="_Toc530475083"/>
      <w:r>
        <w:t>131.</w:t>
      </w:r>
      <w:r>
        <w:tab/>
        <w:t>Holding meetings remotely</w:t>
      </w:r>
      <w:bookmarkEnd w:id="1473"/>
      <w:bookmarkEnd w:id="1474"/>
    </w:p>
    <w:p>
      <w:pPr>
        <w:pStyle w:val="nz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nzSubsection"/>
        <w:rPr>
          <w:snapToGrid w:val="0"/>
        </w:rPr>
      </w:pPr>
      <w:r>
        <w:rPr>
          <w:snapToGrid w:val="0"/>
        </w:rPr>
        <w:tab/>
        <w:t>(2)</w:t>
      </w:r>
      <w:r>
        <w:rPr>
          <w:snapToGrid w:val="0"/>
        </w:rPr>
        <w:tab/>
        <w:t>A person attending a meeting by remote communication is taken to be present at the meeting.</w:t>
      </w:r>
    </w:p>
    <w:p>
      <w:pPr>
        <w:pStyle w:val="nzHeading5"/>
      </w:pPr>
      <w:bookmarkStart w:id="1475" w:name="_Toc530474489"/>
      <w:bookmarkStart w:id="1476" w:name="_Toc530475084"/>
      <w:r>
        <w:t>132.</w:t>
      </w:r>
      <w:r>
        <w:tab/>
        <w:t>Conducting business at general meetings</w:t>
      </w:r>
      <w:bookmarkEnd w:id="1475"/>
      <w:bookmarkEnd w:id="1476"/>
    </w:p>
    <w:p>
      <w:pPr>
        <w:pStyle w:val="nz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nz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nzHeading5"/>
      </w:pPr>
      <w:bookmarkStart w:id="1477" w:name="_Toc530474490"/>
      <w:bookmarkStart w:id="1478" w:name="_Toc530475085"/>
      <w:r>
        <w:t>133.</w:t>
      </w:r>
      <w:r>
        <w:tab/>
        <w:t>Resolutions of general meetings</w:t>
      </w:r>
      <w:bookmarkEnd w:id="1477"/>
      <w:bookmarkEnd w:id="1478"/>
    </w:p>
    <w:p>
      <w:pPr>
        <w:pStyle w:val="nzSubsection"/>
        <w:rPr>
          <w:snapToGrid w:val="0"/>
        </w:rPr>
      </w:pPr>
      <w:r>
        <w:rPr>
          <w:snapToGrid w:val="0"/>
        </w:rPr>
        <w:tab/>
      </w:r>
      <w:r>
        <w:rPr>
          <w:snapToGrid w:val="0"/>
        </w:rPr>
        <w:tab/>
        <w:t>Resolutions passed at a general meeting may be ordinary resolutions unless this Act requires otherwise.</w:t>
      </w:r>
    </w:p>
    <w:p>
      <w:pPr>
        <w:pStyle w:val="nzHeading5"/>
        <w:rPr>
          <w:snapToGrid w:val="0"/>
        </w:rPr>
      </w:pPr>
      <w:bookmarkStart w:id="1479" w:name="_Toc530474491"/>
      <w:bookmarkStart w:id="1480" w:name="_Toc530475086"/>
      <w:r>
        <w:t>134</w:t>
      </w:r>
      <w:r>
        <w:rPr>
          <w:snapToGrid w:val="0"/>
        </w:rPr>
        <w:t>.</w:t>
      </w:r>
      <w:r>
        <w:rPr>
          <w:snapToGrid w:val="0"/>
        </w:rPr>
        <w:tab/>
        <w:t>Performance of restricted council functions in general meeting</w:t>
      </w:r>
      <w:bookmarkEnd w:id="1479"/>
      <w:bookmarkEnd w:id="1480"/>
    </w:p>
    <w:p>
      <w:pPr>
        <w:pStyle w:val="nz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nzHeading3"/>
      </w:pPr>
      <w:bookmarkStart w:id="1481" w:name="_Toc517437694"/>
      <w:bookmarkStart w:id="1482" w:name="_Toc517438236"/>
      <w:bookmarkStart w:id="1483" w:name="_Toc517440573"/>
      <w:bookmarkStart w:id="1484" w:name="_Toc517447610"/>
      <w:bookmarkStart w:id="1485" w:name="_Toc517450088"/>
      <w:bookmarkStart w:id="1486" w:name="_Toc517450630"/>
      <w:bookmarkStart w:id="1487" w:name="_Toc517857086"/>
      <w:bookmarkStart w:id="1488" w:name="_Toc518293213"/>
      <w:bookmarkStart w:id="1489" w:name="_Toc522744441"/>
      <w:bookmarkStart w:id="1490" w:name="_Toc522747564"/>
      <w:bookmarkStart w:id="1491" w:name="_Toc529183401"/>
      <w:bookmarkStart w:id="1492" w:name="_Toc529188164"/>
      <w:bookmarkStart w:id="1493" w:name="_Toc529434677"/>
      <w:bookmarkStart w:id="1494" w:name="_Toc529524568"/>
      <w:bookmarkStart w:id="1495" w:name="_Toc530474492"/>
      <w:bookmarkStart w:id="1496" w:name="_Toc530475087"/>
      <w:r>
        <w:t>Division 4 — Councils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nzHeading5"/>
      </w:pPr>
      <w:bookmarkStart w:id="1497" w:name="_Toc530474493"/>
      <w:bookmarkStart w:id="1498" w:name="_Toc530475088"/>
      <w:r>
        <w:t>137.</w:t>
      </w:r>
      <w:r>
        <w:tab/>
        <w:t>Council members: general duties and conflicts of interest</w:t>
      </w:r>
      <w:bookmarkEnd w:id="1497"/>
      <w:bookmarkEnd w:id="1498"/>
    </w:p>
    <w:p>
      <w:pPr>
        <w:pStyle w:val="nzSubsection"/>
      </w:pPr>
      <w:r>
        <w:tab/>
        <w:t>(1)</w:t>
      </w:r>
      <w:r>
        <w:tab/>
        <w:t>This section applies to a person who is —</w:t>
      </w:r>
    </w:p>
    <w:p>
      <w:pPr>
        <w:pStyle w:val="nzIndenta"/>
      </w:pPr>
      <w:r>
        <w:tab/>
        <w:t>(a)</w:t>
      </w:r>
      <w:r>
        <w:tab/>
        <w:t>a member of the council of a strata company (including when acting as an officer of the strata company); or</w:t>
      </w:r>
    </w:p>
    <w:p>
      <w:pPr>
        <w:pStyle w:val="nzIndenta"/>
      </w:pPr>
      <w:r>
        <w:tab/>
        <w:t>(b)</w:t>
      </w:r>
      <w:r>
        <w:tab/>
        <w:t>an individual authorised under section 136(2) by a corporation to perform the corporation’s functions as a member of the council, or an officer, of a strata company.</w:t>
      </w:r>
    </w:p>
    <w:p>
      <w:pPr>
        <w:pStyle w:val="nzSubsection"/>
      </w:pPr>
      <w:r>
        <w:tab/>
        <w:t>(2)</w:t>
      </w:r>
      <w:r>
        <w:tab/>
        <w:t>A person to whom this section applies —</w:t>
      </w:r>
    </w:p>
    <w:p>
      <w:pPr>
        <w:pStyle w:val="nzIndenta"/>
      </w:pPr>
      <w:r>
        <w:tab/>
        <w:t>(a)</w:t>
      </w:r>
      <w:r>
        <w:tab/>
        <w:t>must at all times act honestly, with loyalty and in good faith in the performance of functions as a member of the council or an officer of the strata company; and</w:t>
      </w:r>
    </w:p>
    <w:p>
      <w:pPr>
        <w:pStyle w:val="nz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nzIndenta"/>
      </w:pPr>
      <w:r>
        <w:tab/>
        <w:t>(c)</w:t>
      </w:r>
      <w:r>
        <w:tab/>
        <w:t>must not make improper use of the person’s position —</w:t>
      </w:r>
    </w:p>
    <w:p>
      <w:pPr>
        <w:pStyle w:val="nzIndenti"/>
      </w:pPr>
      <w:r>
        <w:tab/>
        <w:t>(i)</w:t>
      </w:r>
      <w:r>
        <w:tab/>
        <w:t>to gain, directly or indirectly, an advantage for the person or any other person; or</w:t>
      </w:r>
    </w:p>
    <w:p>
      <w:pPr>
        <w:pStyle w:val="nzIndenti"/>
      </w:pPr>
      <w:r>
        <w:tab/>
        <w:t>(ii)</w:t>
      </w:r>
      <w:r>
        <w:tab/>
        <w:t>to cause detriment to the strata company.</w:t>
      </w:r>
    </w:p>
    <w:p>
      <w:pPr>
        <w:pStyle w:val="nzSubsection"/>
      </w:pPr>
      <w:r>
        <w:tab/>
        <w:t>(3)</w:t>
      </w:r>
      <w:r>
        <w:tab/>
        <w:t>A person to whom this section applies —</w:t>
      </w:r>
    </w:p>
    <w:p>
      <w:pPr>
        <w:pStyle w:val="nz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nzIndenta"/>
      </w:pPr>
      <w:r>
        <w:tab/>
        <w:t>(b)</w:t>
      </w:r>
      <w:r>
        <w:tab/>
        <w:t>must do so as soon as is practicable after the person becomes aware of the relevant facts; and</w:t>
      </w:r>
    </w:p>
    <w:p>
      <w:pPr>
        <w:pStyle w:val="nzIndenta"/>
      </w:pPr>
      <w:r>
        <w:tab/>
        <w:t>(c)</w:t>
      </w:r>
      <w:r>
        <w:tab/>
        <w:t>in the case of a member of the council, must not vote on a matter in which the member has an interest required to be disclosed under paragraph (a).</w:t>
      </w:r>
    </w:p>
    <w:p>
      <w:pPr>
        <w:pStyle w:val="nzSubsection"/>
      </w:pPr>
      <w:r>
        <w:tab/>
        <w:t>(4)</w:t>
      </w:r>
      <w:r>
        <w:tab/>
        <w:t>Subsection (3) does not apply to an interest arising solely from the fact that the member is the owner of a lot in the scheme.</w:t>
      </w:r>
    </w:p>
    <w:p>
      <w:pPr>
        <w:pStyle w:val="nzHeading3"/>
      </w:pPr>
      <w:bookmarkStart w:id="1499" w:name="_Toc517437696"/>
      <w:bookmarkStart w:id="1500" w:name="_Toc517438238"/>
      <w:bookmarkStart w:id="1501" w:name="_Toc517440575"/>
      <w:bookmarkStart w:id="1502" w:name="_Toc517447612"/>
      <w:bookmarkStart w:id="1503" w:name="_Toc517450090"/>
      <w:bookmarkStart w:id="1504" w:name="_Toc517450632"/>
      <w:bookmarkStart w:id="1505" w:name="_Toc517857088"/>
      <w:bookmarkStart w:id="1506" w:name="_Toc518293215"/>
      <w:bookmarkStart w:id="1507" w:name="_Toc522744443"/>
      <w:bookmarkStart w:id="1508" w:name="_Toc522747566"/>
      <w:bookmarkStart w:id="1509" w:name="_Toc529183403"/>
      <w:bookmarkStart w:id="1510" w:name="_Toc529188166"/>
      <w:bookmarkStart w:id="1511" w:name="_Toc529434679"/>
      <w:bookmarkStart w:id="1512" w:name="_Toc529524570"/>
      <w:bookmarkStart w:id="1513" w:name="_Toc530474494"/>
      <w:bookmarkStart w:id="1514" w:name="_Toc530475089"/>
      <w:r>
        <w:t>Division 5 — Miscellaneous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nzHeading5"/>
        <w:rPr>
          <w:snapToGrid w:val="0"/>
        </w:rPr>
      </w:pPr>
      <w:bookmarkStart w:id="1515" w:name="_Toc530474495"/>
      <w:bookmarkStart w:id="1516" w:name="_Toc530475090"/>
      <w:r>
        <w:rPr>
          <w:snapToGrid w:val="0"/>
        </w:rPr>
        <w:t>138.</w:t>
      </w:r>
      <w:r>
        <w:rPr>
          <w:snapToGrid w:val="0"/>
        </w:rPr>
        <w:tab/>
        <w:t>Performance of council functions in general meeting if no council or quorum</w:t>
      </w:r>
      <w:bookmarkEnd w:id="1515"/>
      <w:bookmarkEnd w:id="1516"/>
    </w:p>
    <w:p>
      <w:pPr>
        <w:pStyle w:val="nzSubsection"/>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nzHeading5"/>
        <w:rPr>
          <w:snapToGrid w:val="0"/>
        </w:rPr>
      </w:pPr>
      <w:bookmarkStart w:id="1517" w:name="_Toc530474496"/>
      <w:bookmarkStart w:id="1518" w:name="_Toc530475091"/>
      <w:r>
        <w:t>140.</w:t>
      </w:r>
      <w:r>
        <w:rPr>
          <w:snapToGrid w:val="0"/>
        </w:rPr>
        <w:tab/>
        <w:t>Special rules for 2, 3, 4 or 5</w:t>
      </w:r>
      <w:r>
        <w:rPr>
          <w:snapToGrid w:val="0"/>
        </w:rPr>
        <w:noBreakHyphen/>
        <w:t>lot schemes</w:t>
      </w:r>
      <w:bookmarkEnd w:id="1517"/>
      <w:bookmarkEnd w:id="1518"/>
    </w:p>
    <w:p>
      <w:pPr>
        <w:pStyle w:val="nzSubsection"/>
        <w:rPr>
          <w:snapToGrid w:val="0"/>
        </w:rPr>
      </w:pPr>
      <w:r>
        <w:rPr>
          <w:snapToGrid w:val="0"/>
        </w:rPr>
        <w:tab/>
        <w:t>(1)</w:t>
      </w:r>
      <w:r>
        <w:rPr>
          <w:snapToGrid w:val="0"/>
        </w:rPr>
        <w:tab/>
        <w:t>A strata company for a 2</w:t>
      </w:r>
      <w:r>
        <w:rPr>
          <w:snapToGrid w:val="0"/>
        </w:rPr>
        <w:noBreakHyphen/>
        <w:t>lot scheme —</w:t>
      </w:r>
    </w:p>
    <w:p>
      <w:pPr>
        <w:pStyle w:val="nzIndenta"/>
      </w:pPr>
      <w:r>
        <w:tab/>
        <w:t>(a)</w:t>
      </w:r>
      <w:r>
        <w:tab/>
        <w:t>may, but is not required to, perform a designated function; and</w:t>
      </w:r>
    </w:p>
    <w:p>
      <w:pPr>
        <w:pStyle w:val="nzIndenta"/>
      </w:pPr>
      <w:r>
        <w:tab/>
        <w:t>(b)</w:t>
      </w:r>
      <w:r>
        <w:tab/>
        <w:t>cannot establish an administrative fund unless required to do so by scheme by</w:t>
      </w:r>
      <w:r>
        <w:noBreakHyphen/>
        <w:t>laws.</w:t>
      </w:r>
    </w:p>
    <w:p>
      <w:pPr>
        <w:pStyle w:val="nzSubsection"/>
      </w:pPr>
      <w:r>
        <w:tab/>
        <w:t>(2)</w:t>
      </w:r>
      <w:r>
        <w:tab/>
        <w:t>The scheme by</w:t>
      </w:r>
      <w:r>
        <w:noBreakHyphen/>
        <w:t>laws for a 3, 4 or 5</w:t>
      </w:r>
      <w:r>
        <w:noBreakHyphen/>
        <w:t>lot scheme may exempt the strata company from a designated function.</w:t>
      </w:r>
    </w:p>
    <w:p>
      <w:pPr>
        <w:pStyle w:val="nzSubsection"/>
      </w:pPr>
      <w:r>
        <w:tab/>
        <w:t>(3)</w:t>
      </w:r>
      <w:r>
        <w:tab/>
        <w:t>However, the Tribunal may, on application by a member of the strata company, require a strata company to perform a designated function despite this section.</w:t>
      </w:r>
    </w:p>
    <w:p>
      <w:pPr>
        <w:pStyle w:val="nzSubsection"/>
      </w:pPr>
      <w:r>
        <w:tab/>
        <w:t>(4)</w:t>
      </w:r>
      <w:r>
        <w:tab/>
        <w:t>In this section —</w:t>
      </w:r>
    </w:p>
    <w:p>
      <w:pPr>
        <w:pStyle w:val="nzDefstart"/>
      </w:pPr>
      <w:r>
        <w:tab/>
      </w:r>
      <w:r>
        <w:rPr>
          <w:rStyle w:val="CharDefText"/>
        </w:rPr>
        <w:t>designated function</w:t>
      </w:r>
      <w:r>
        <w:t xml:space="preserve"> means a function conferred under any of the following sections or included in this definition by the regulations —</w:t>
      </w:r>
    </w:p>
    <w:tbl>
      <w:tblPr>
        <w:tblW w:w="0" w:type="auto"/>
        <w:tblInd w:w="1526" w:type="dxa"/>
        <w:tblLayout w:type="fixed"/>
        <w:tblLook w:val="0000" w:firstRow="0" w:lastRow="0" w:firstColumn="0" w:lastColumn="0" w:noHBand="0" w:noVBand="0"/>
      </w:tblPr>
      <w:tblGrid>
        <w:gridCol w:w="1984"/>
        <w:gridCol w:w="3686"/>
      </w:tblGrid>
      <w:tr>
        <w:trPr>
          <w:tblHeader/>
        </w:trPr>
        <w:tc>
          <w:tcPr>
            <w:tcW w:w="1984" w:type="dxa"/>
          </w:tcPr>
          <w:p>
            <w:pPr>
              <w:pStyle w:val="TableNAm"/>
              <w:rPr>
                <w:snapToGrid w:val="0"/>
              </w:rPr>
            </w:pPr>
            <w:r>
              <w:rPr>
                <w:b/>
                <w:snapToGrid w:val="0"/>
              </w:rPr>
              <w:t>Section</w:t>
            </w:r>
          </w:p>
        </w:tc>
        <w:tc>
          <w:tcPr>
            <w:tcW w:w="3686" w:type="dxa"/>
          </w:tcPr>
          <w:p>
            <w:pPr>
              <w:pStyle w:val="TableNAm"/>
              <w:rPr>
                <w:snapToGrid w:val="0"/>
              </w:rPr>
            </w:pPr>
            <w:r>
              <w:rPr>
                <w:b/>
                <w:snapToGrid w:val="0"/>
              </w:rPr>
              <w:t>Description for information only</w:t>
            </w:r>
          </w:p>
        </w:tc>
      </w:tr>
      <w:tr>
        <w:tc>
          <w:tcPr>
            <w:tcW w:w="1984" w:type="dxa"/>
          </w:tcPr>
          <w:p>
            <w:pPr>
              <w:pStyle w:val="TableNAm"/>
              <w:rPr>
                <w:snapToGrid w:val="0"/>
              </w:rPr>
            </w:pPr>
            <w:r>
              <w:rPr>
                <w:snapToGrid w:val="0"/>
              </w:rPr>
              <w:t>Section 100(1)(a)</w:t>
            </w:r>
          </w:p>
        </w:tc>
        <w:tc>
          <w:tcPr>
            <w:tcW w:w="3686" w:type="dxa"/>
          </w:tcPr>
          <w:p>
            <w:pPr>
              <w:pStyle w:val="TableNAm"/>
              <w:rPr>
                <w:snapToGrid w:val="0"/>
              </w:rPr>
            </w:pPr>
            <w:r>
              <w:rPr>
                <w:snapToGrid w:val="0"/>
              </w:rPr>
              <w:t>Administrative fund</w:t>
            </w:r>
          </w:p>
        </w:tc>
      </w:tr>
      <w:tr>
        <w:tc>
          <w:tcPr>
            <w:tcW w:w="1984" w:type="dxa"/>
          </w:tcPr>
          <w:p>
            <w:pPr>
              <w:pStyle w:val="TableNAm"/>
              <w:rPr>
                <w:snapToGrid w:val="0"/>
              </w:rPr>
            </w:pPr>
            <w:r>
              <w:rPr>
                <w:snapToGrid w:val="0"/>
              </w:rPr>
              <w:t>Section 101</w:t>
            </w:r>
          </w:p>
        </w:tc>
        <w:tc>
          <w:tcPr>
            <w:tcW w:w="3686" w:type="dxa"/>
          </w:tcPr>
          <w:p>
            <w:pPr>
              <w:pStyle w:val="TableNAm"/>
              <w:rPr>
                <w:snapToGrid w:val="0"/>
              </w:rPr>
            </w:pPr>
            <w:r>
              <w:rPr>
                <w:snapToGrid w:val="0"/>
              </w:rPr>
              <w:t>Accounting records and statement of account</w:t>
            </w:r>
          </w:p>
        </w:tc>
      </w:tr>
      <w:tr>
        <w:tc>
          <w:tcPr>
            <w:tcW w:w="1984" w:type="dxa"/>
          </w:tcPr>
          <w:p>
            <w:pPr>
              <w:pStyle w:val="TableNAm"/>
              <w:rPr>
                <w:snapToGrid w:val="0"/>
              </w:rPr>
            </w:pPr>
            <w:r>
              <w:rPr>
                <w:snapToGrid w:val="0"/>
              </w:rPr>
              <w:t>Section 104(1)(b)</w:t>
            </w:r>
          </w:p>
        </w:tc>
        <w:tc>
          <w:tcPr>
            <w:tcW w:w="3686" w:type="dxa"/>
          </w:tcPr>
          <w:p>
            <w:pPr>
              <w:pStyle w:val="TableNAm"/>
              <w:rPr>
                <w:snapToGrid w:val="0"/>
              </w:rPr>
            </w:pPr>
            <w:r>
              <w:rPr>
                <w:snapToGrid w:val="0"/>
              </w:rPr>
              <w:t>Minutes of meetings</w:t>
            </w:r>
          </w:p>
        </w:tc>
      </w:tr>
      <w:tr>
        <w:tc>
          <w:tcPr>
            <w:tcW w:w="1984" w:type="dxa"/>
          </w:tcPr>
          <w:p>
            <w:pPr>
              <w:pStyle w:val="TableNAm"/>
              <w:rPr>
                <w:snapToGrid w:val="0"/>
              </w:rPr>
            </w:pPr>
            <w:r>
              <w:rPr>
                <w:snapToGrid w:val="0"/>
              </w:rPr>
              <w:t>Section 104(3)(a)</w:t>
            </w:r>
          </w:p>
        </w:tc>
        <w:tc>
          <w:tcPr>
            <w:tcW w:w="3686" w:type="dxa"/>
          </w:tcPr>
          <w:p>
            <w:pPr>
              <w:pStyle w:val="TableNAm"/>
              <w:rPr>
                <w:snapToGrid w:val="0"/>
              </w:rPr>
            </w:pPr>
            <w:r>
              <w:rPr>
                <w:snapToGrid w:val="0"/>
              </w:rPr>
              <w:t>Letterbox</w:t>
            </w:r>
          </w:p>
        </w:tc>
      </w:tr>
      <w:tr>
        <w:tc>
          <w:tcPr>
            <w:tcW w:w="1984" w:type="dxa"/>
          </w:tcPr>
          <w:p>
            <w:pPr>
              <w:pStyle w:val="TableNAm"/>
              <w:rPr>
                <w:snapToGrid w:val="0"/>
              </w:rPr>
            </w:pPr>
            <w:r>
              <w:rPr>
                <w:snapToGrid w:val="0"/>
              </w:rPr>
              <w:t>Section 105(1)</w:t>
            </w:r>
          </w:p>
        </w:tc>
        <w:tc>
          <w:tcPr>
            <w:tcW w:w="3686" w:type="dxa"/>
          </w:tcPr>
          <w:p>
            <w:pPr>
              <w:pStyle w:val="TableNAm"/>
              <w:rPr>
                <w:snapToGrid w:val="0"/>
              </w:rPr>
            </w:pPr>
            <w:r>
              <w:rPr>
                <w:snapToGrid w:val="0"/>
              </w:rPr>
              <w:t>Roll to be kept by strata company.</w:t>
            </w:r>
          </w:p>
        </w:tc>
      </w:tr>
    </w:tbl>
    <w:p>
      <w:pPr>
        <w:pStyle w:val="nzHeading5"/>
      </w:pPr>
      <w:bookmarkStart w:id="1519" w:name="_Toc530474497"/>
      <w:bookmarkStart w:id="1520" w:name="_Toc530475092"/>
      <w:r>
        <w:t>141.</w:t>
      </w:r>
      <w:r>
        <w:tab/>
        <w:t>Protection from liability</w:t>
      </w:r>
      <w:bookmarkEnd w:id="1519"/>
      <w:bookmarkEnd w:id="1520"/>
    </w:p>
    <w:p>
      <w:pPr>
        <w:pStyle w:val="nzSubsection"/>
      </w:pPr>
      <w:r>
        <w:tab/>
        <w:t>(1)</w:t>
      </w:r>
      <w:r>
        <w:tab/>
        <w:t>This section applies to a person who is or has been —</w:t>
      </w:r>
    </w:p>
    <w:p>
      <w:pPr>
        <w:pStyle w:val="nzIndenta"/>
      </w:pPr>
      <w:r>
        <w:tab/>
        <w:t>(a)</w:t>
      </w:r>
      <w:r>
        <w:tab/>
        <w:t>a member of the council of a strata company (including when acting as an officer of the strata company); or</w:t>
      </w:r>
    </w:p>
    <w:p>
      <w:pPr>
        <w:pStyle w:val="nzIndenta"/>
      </w:pPr>
      <w:r>
        <w:tab/>
        <w:t>(b)</w:t>
      </w:r>
      <w:r>
        <w:tab/>
        <w:t>an individual authorised under section 136(2) by a corporation to perform the corporation’s functions as a member of the council, or an officer, of a strata company.</w:t>
      </w:r>
    </w:p>
    <w:p>
      <w:pPr>
        <w:pStyle w:val="nzSubsection"/>
      </w:pPr>
      <w:r>
        <w:tab/>
        <w:t>(2)</w:t>
      </w:r>
      <w:r>
        <w:tab/>
        <w:t>No civil liability attaches to a person to whom this section applies for anything that the person has, in good faith, done or omitted to be done —</w:t>
      </w:r>
    </w:p>
    <w:p>
      <w:pPr>
        <w:pStyle w:val="nzIndenta"/>
      </w:pPr>
      <w:r>
        <w:tab/>
        <w:t>(a)</w:t>
      </w:r>
      <w:r>
        <w:tab/>
        <w:t>in the performance of a function under this Act or scheme by</w:t>
      </w:r>
      <w:r>
        <w:noBreakHyphen/>
        <w:t>laws; or</w:t>
      </w:r>
    </w:p>
    <w:p>
      <w:pPr>
        <w:pStyle w:val="nzIndenta"/>
      </w:pPr>
      <w:r>
        <w:tab/>
        <w:t>(b)</w:t>
      </w:r>
      <w:r>
        <w:tab/>
        <w:t>in the reasonable belief that the act or omission was in the performance of a function under this Act or scheme by</w:t>
      </w:r>
      <w:r>
        <w:noBreakHyphen/>
        <w:t>laws.</w:t>
      </w:r>
    </w:p>
    <w:p>
      <w:pPr>
        <w:pStyle w:val="nzSubsection"/>
      </w:pPr>
      <w:r>
        <w:tab/>
        <w:t>(3)</w:t>
      </w:r>
      <w:r>
        <w:tab/>
        <w:t>A liability that would, but for subsection (2), attach to a person attaches instead to the strata company.</w:t>
      </w:r>
    </w:p>
    <w:p>
      <w:pPr>
        <w:pStyle w:val="nzHeading5"/>
        <w:rPr>
          <w:snapToGrid w:val="0"/>
        </w:rPr>
      </w:pPr>
      <w:bookmarkStart w:id="1521" w:name="_Toc530474498"/>
      <w:bookmarkStart w:id="1522" w:name="_Toc530475093"/>
      <w:r>
        <w:rPr>
          <w:snapToGrid w:val="0"/>
        </w:rPr>
        <w:t>142.</w:t>
      </w:r>
      <w:r>
        <w:rPr>
          <w:snapToGrid w:val="0"/>
        </w:rPr>
        <w:tab/>
        <w:t>Exclusion of Corporations Act</w:t>
      </w:r>
      <w:bookmarkEnd w:id="1521"/>
      <w:bookmarkEnd w:id="1522"/>
    </w:p>
    <w:p>
      <w:pPr>
        <w:pStyle w:val="nz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nzIndenta"/>
      </w:pPr>
      <w:r>
        <w:tab/>
        <w:t>(a)</w:t>
      </w:r>
      <w:r>
        <w:tab/>
        <w:t>a strata company;</w:t>
      </w:r>
    </w:p>
    <w:p>
      <w:pPr>
        <w:pStyle w:val="nzIndenta"/>
      </w:pPr>
      <w:r>
        <w:tab/>
        <w:t>(b)</w:t>
      </w:r>
      <w:r>
        <w:tab/>
        <w:t>an act or omission of a person, body or other entity in relation to a strata company.</w:t>
      </w:r>
    </w:p>
    <w:p>
      <w:pPr>
        <w:pStyle w:val="nzHeading2"/>
      </w:pPr>
      <w:bookmarkStart w:id="1523" w:name="_Toc517437701"/>
      <w:bookmarkStart w:id="1524" w:name="_Toc517438243"/>
      <w:bookmarkStart w:id="1525" w:name="_Toc517440580"/>
      <w:bookmarkStart w:id="1526" w:name="_Toc517447617"/>
      <w:bookmarkStart w:id="1527" w:name="_Toc517450095"/>
      <w:bookmarkStart w:id="1528" w:name="_Toc517450637"/>
      <w:bookmarkStart w:id="1529" w:name="_Toc517857093"/>
      <w:bookmarkStart w:id="1530" w:name="_Toc518293220"/>
      <w:bookmarkStart w:id="1531" w:name="_Toc522744448"/>
      <w:bookmarkStart w:id="1532" w:name="_Toc522747571"/>
      <w:bookmarkStart w:id="1533" w:name="_Toc529183408"/>
      <w:bookmarkStart w:id="1534" w:name="_Toc529188171"/>
      <w:bookmarkStart w:id="1535" w:name="_Toc529434684"/>
      <w:bookmarkStart w:id="1536" w:name="_Toc529524575"/>
      <w:bookmarkStart w:id="1537" w:name="_Toc530474499"/>
      <w:bookmarkStart w:id="1538" w:name="_Toc530475094"/>
      <w:r>
        <w:t>Part 9</w:t>
      </w:r>
      <w:r>
        <w:rPr>
          <w:b w:val="0"/>
        </w:rPr>
        <w:t> </w:t>
      </w:r>
      <w:r>
        <w:t>—</w:t>
      </w:r>
      <w:r>
        <w:rPr>
          <w:b w:val="0"/>
        </w:rPr>
        <w:t> </w:t>
      </w:r>
      <w:r>
        <w:t>Strata managers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nzHeading5"/>
      </w:pPr>
      <w:bookmarkStart w:id="1539" w:name="_Toc530474500"/>
      <w:bookmarkStart w:id="1540" w:name="_Toc530475095"/>
      <w:r>
        <w:t>143.</w:t>
      </w:r>
      <w:r>
        <w:tab/>
        <w:t>Authorisation of functions of strata manager</w:t>
      </w:r>
      <w:bookmarkEnd w:id="1539"/>
      <w:bookmarkEnd w:id="1540"/>
    </w:p>
    <w:p>
      <w:pPr>
        <w:pStyle w:val="nzSubsection"/>
      </w:pPr>
      <w:r>
        <w:tab/>
        <w:t>(1)</w:t>
      </w:r>
      <w:r>
        <w:tab/>
        <w:t xml:space="preserve">A strata company may, subject to this Part, authorise a person (a </w:t>
      </w:r>
      <w:r>
        <w:rPr>
          <w:rStyle w:val="CharDefText"/>
        </w:rPr>
        <w:t>strata manager</w:t>
      </w:r>
      <w:r>
        <w:t>) to perform a specified scheme function.</w:t>
      </w:r>
    </w:p>
    <w:p>
      <w:pPr>
        <w:pStyle w:val="nzSubsection"/>
      </w:pPr>
      <w:r>
        <w:tab/>
        <w:t>(2)</w:t>
      </w:r>
      <w:r>
        <w:tab/>
        <w:t>An authorisation under this section —</w:t>
      </w:r>
    </w:p>
    <w:p>
      <w:pPr>
        <w:pStyle w:val="nzIndenta"/>
      </w:pPr>
      <w:r>
        <w:tab/>
        <w:t>(a)</w:t>
      </w:r>
      <w:r>
        <w:tab/>
        <w:t>is subject to any conditions specified by the strata company; and</w:t>
      </w:r>
    </w:p>
    <w:p>
      <w:pPr>
        <w:pStyle w:val="nzIndenta"/>
      </w:pPr>
      <w:r>
        <w:tab/>
        <w:t>(b)</w:t>
      </w:r>
      <w:r>
        <w:tab/>
        <w:t>may be varied or revoked by the strata company.</w:t>
      </w:r>
    </w:p>
    <w:p>
      <w:pPr>
        <w:pStyle w:val="nz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nz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nzSubsection"/>
      </w:pPr>
      <w:r>
        <w:tab/>
        <w:t>(5)</w:t>
      </w:r>
      <w:r>
        <w:tab/>
        <w:t>A strata manager cannot be authorised to perform any of the following functions —</w:t>
      </w:r>
    </w:p>
    <w:p>
      <w:pPr>
        <w:pStyle w:val="nzIndenta"/>
      </w:pPr>
      <w:r>
        <w:tab/>
        <w:t>(a)</w:t>
      </w:r>
      <w:r>
        <w:tab/>
        <w:t>authorising a person to perform a scheme function other than as an agent, employee or contractor of the strata manager;</w:t>
      </w:r>
    </w:p>
    <w:p>
      <w:pPr>
        <w:pStyle w:val="nzIndenta"/>
      </w:pPr>
      <w:r>
        <w:tab/>
        <w:t>(b)</w:t>
      </w:r>
      <w:r>
        <w:tab/>
        <w:t>determining contributions;</w:t>
      </w:r>
    </w:p>
    <w:p>
      <w:pPr>
        <w:pStyle w:val="nzIndenta"/>
      </w:pPr>
      <w:r>
        <w:tab/>
        <w:t>(c)</w:t>
      </w:r>
      <w:r>
        <w:tab/>
        <w:t>entering into a contract with another strata manager, varying, extending or terminating such a contract or making a decision relating to such a contract or the meaning of such a contract;</w:t>
      </w:r>
    </w:p>
    <w:p>
      <w:pPr>
        <w:pStyle w:val="nzIndenta"/>
      </w:pPr>
      <w:r>
        <w:tab/>
        <w:t>(d)</w:t>
      </w:r>
      <w:r>
        <w:tab/>
        <w:t>terminating a contract for services or amenities under section 115;</w:t>
      </w:r>
    </w:p>
    <w:p>
      <w:pPr>
        <w:pStyle w:val="nzIndenta"/>
      </w:pPr>
      <w:r>
        <w:tab/>
        <w:t>(e)</w:t>
      </w:r>
      <w:r>
        <w:tab/>
        <w:t>commencing proceedings on behalf of the strata company in the Tribunal or in a court or other tribunal;</w:t>
      </w:r>
    </w:p>
    <w:p>
      <w:pPr>
        <w:pStyle w:val="nzIndenta"/>
      </w:pPr>
      <w:r>
        <w:tab/>
        <w:t>(f)</w:t>
      </w:r>
      <w:r>
        <w:tab/>
        <w:t>authorising the strata company’s common seal to be applied to a document;</w:t>
      </w:r>
    </w:p>
    <w:p>
      <w:pPr>
        <w:pStyle w:val="nzIndenta"/>
      </w:pPr>
      <w:r>
        <w:tab/>
        <w:t>(g)</w:t>
      </w:r>
      <w:r>
        <w:tab/>
        <w:t>authorising a person to sign documents on behalf of the strata company or on behalf of the council or an officer of the strata company;</w:t>
      </w:r>
    </w:p>
    <w:p>
      <w:pPr>
        <w:pStyle w:val="nzIndenta"/>
      </w:pPr>
      <w:r>
        <w:tab/>
        <w:t>(h)</w:t>
      </w:r>
      <w:r>
        <w:tab/>
        <w:t>a scheme function declared by the regulations to be a scheme function that may not be performed by a strata manager.</w:t>
      </w:r>
    </w:p>
    <w:p>
      <w:pPr>
        <w:pStyle w:val="nzSubsection"/>
      </w:pPr>
      <w:r>
        <w:tab/>
        <w:t>(6)</w:t>
      </w:r>
      <w:r>
        <w:tab/>
        <w:t>An act or thing done by a person under an authorisation under this section —</w:t>
      </w:r>
    </w:p>
    <w:p>
      <w:pPr>
        <w:pStyle w:val="nzIndenta"/>
      </w:pPr>
      <w:r>
        <w:tab/>
        <w:t>(a)</w:t>
      </w:r>
      <w:r>
        <w:tab/>
        <w:t>has effect as if it were done by the strata company, council or officer of the strata company (as the case requires); and</w:t>
      </w:r>
    </w:p>
    <w:p>
      <w:pPr>
        <w:pStyle w:val="nzIndenta"/>
      </w:pPr>
      <w:r>
        <w:tab/>
        <w:t>(b)</w:t>
      </w:r>
      <w:r>
        <w:tab/>
        <w:t>is taken to have been done by the strata company, council or officer of the strata company (as the case requires).</w:t>
      </w:r>
    </w:p>
    <w:p>
      <w:pPr>
        <w:pStyle w:val="nzSubsection"/>
      </w:pPr>
      <w:r>
        <w:tab/>
        <w:t>(7)</w:t>
      </w:r>
      <w:r>
        <w:tab/>
        <w:t>The authority of a strata manager to perform a scheme function does not prevent the function from being performed by the strata company, council or officer (as the case requires).</w:t>
      </w:r>
    </w:p>
    <w:p>
      <w:pPr>
        <w:pStyle w:val="nzSubsection"/>
      </w:pPr>
      <w:r>
        <w:tab/>
        <w:t>(8)</w:t>
      </w:r>
      <w:r>
        <w:tab/>
        <w:t>However, if the strata company, council or officer performs such a function, the strata company, council or officer must notify the strata manager authorised to perform the function of that fact.</w:t>
      </w:r>
    </w:p>
    <w:p>
      <w:pPr>
        <w:pStyle w:val="nzHeading5"/>
      </w:pPr>
      <w:bookmarkStart w:id="1541" w:name="_Toc530474501"/>
      <w:bookmarkStart w:id="1542" w:name="_Toc530475096"/>
      <w:r>
        <w:t>144.</w:t>
      </w:r>
      <w:r>
        <w:tab/>
        <w:t>Requirements to be met by strata manager</w:t>
      </w:r>
      <w:bookmarkEnd w:id="1541"/>
      <w:bookmarkEnd w:id="1542"/>
    </w:p>
    <w:p>
      <w:pPr>
        <w:pStyle w:val="nzSubsection"/>
      </w:pPr>
      <w:r>
        <w:tab/>
        <w:t>(1)</w:t>
      </w:r>
      <w:r>
        <w:tab/>
        <w:t>Despite an authorisation under section 143, a person is not authorised to perform functions as a strata manager unless —</w:t>
      </w:r>
    </w:p>
    <w:p>
      <w:pPr>
        <w:pStyle w:val="nzIndenta"/>
      </w:pPr>
      <w:r>
        <w:tab/>
        <w:t>(a)</w:t>
      </w:r>
      <w:r>
        <w:tab/>
        <w:t xml:space="preserve">a contract or volunteer agreement (a </w:t>
      </w:r>
      <w:r>
        <w:rPr>
          <w:rStyle w:val="CharDefText"/>
        </w:rPr>
        <w:t>strata management contract</w:t>
      </w:r>
      <w:r>
        <w:t>) is in force between the strata manager and the strata company; and</w:t>
      </w:r>
    </w:p>
    <w:p>
      <w:pPr>
        <w:pStyle w:val="nzIndenta"/>
      </w:pPr>
      <w:r>
        <w:tab/>
        <w:t>(b)</w:t>
      </w:r>
      <w:r>
        <w:tab/>
        <w:t>the requirements of the regulations are met by the strata manager and each agent, employee or contractor of the strata manager for —</w:t>
      </w:r>
    </w:p>
    <w:p>
      <w:pPr>
        <w:pStyle w:val="nzIndenti"/>
      </w:pPr>
      <w:r>
        <w:tab/>
        <w:t>(i)</w:t>
      </w:r>
      <w:r>
        <w:tab/>
        <w:t>the conduct of, and verification of the conduct of, criminal record checks; and</w:t>
      </w:r>
    </w:p>
    <w:p>
      <w:pPr>
        <w:pStyle w:val="nzIndenti"/>
      </w:pPr>
      <w:r>
        <w:tab/>
        <w:t>(ii)</w:t>
      </w:r>
      <w:r>
        <w:tab/>
        <w:t>educational or other qualifications; and</w:t>
      </w:r>
    </w:p>
    <w:p>
      <w:pPr>
        <w:pStyle w:val="nzIndenti"/>
      </w:pPr>
      <w:r>
        <w:tab/>
        <w:t>(iii)</w:t>
      </w:r>
      <w:r>
        <w:tab/>
        <w:t>any other matter relevant to the performance of functions as a strata manager;</w:t>
      </w:r>
    </w:p>
    <w:p>
      <w:pPr>
        <w:pStyle w:val="nzIndenta"/>
      </w:pPr>
      <w:r>
        <w:tab/>
      </w:r>
      <w:r>
        <w:tab/>
        <w:t>and</w:t>
      </w:r>
    </w:p>
    <w:p>
      <w:pPr>
        <w:pStyle w:val="nzIndenta"/>
      </w:pPr>
      <w:r>
        <w:tab/>
        <w:t>(c)</w:t>
      </w:r>
      <w:r>
        <w:tab/>
        <w:t>the strata manager maintains professional indemnity insurance as required by the regulations.</w:t>
      </w:r>
    </w:p>
    <w:p>
      <w:pPr>
        <w:pStyle w:val="nzSubsection"/>
        <w:rPr>
          <w:snapToGrid w:val="0"/>
        </w:rPr>
      </w:pPr>
      <w:r>
        <w:rPr>
          <w:snapToGrid w:val="0"/>
        </w:rPr>
        <w:tab/>
        <w:t>(2)</w:t>
      </w:r>
      <w:r>
        <w:rPr>
          <w:snapToGrid w:val="0"/>
        </w:rPr>
        <w:tab/>
        <w:t>Subsection (1)(c) does not apply to a volunteer strata manager.</w:t>
      </w:r>
    </w:p>
    <w:p>
      <w:pPr>
        <w:pStyle w:val="nzSubsection"/>
        <w:rPr>
          <w:snapToGrid w:val="0"/>
        </w:rPr>
      </w:pPr>
      <w:r>
        <w:rPr>
          <w:snapToGrid w:val="0"/>
        </w:rPr>
        <w:tab/>
        <w:t>(3)</w:t>
      </w:r>
      <w:r>
        <w:rPr>
          <w:snapToGrid w:val="0"/>
        </w:rPr>
        <w:tab/>
        <w:t>The regulations cannot require a volunteer strata manager to have particular educational or other qualifications.</w:t>
      </w:r>
    </w:p>
    <w:p>
      <w:pPr>
        <w:pStyle w:val="nzHeading5"/>
      </w:pPr>
      <w:bookmarkStart w:id="1543" w:name="_Toc530474502"/>
      <w:bookmarkStart w:id="1544" w:name="_Toc530475097"/>
      <w:r>
        <w:t>145.</w:t>
      </w:r>
      <w:r>
        <w:tab/>
        <w:t>Strata management contracts: minimum requirements</w:t>
      </w:r>
      <w:bookmarkEnd w:id="1543"/>
      <w:bookmarkEnd w:id="1544"/>
    </w:p>
    <w:p>
      <w:pPr>
        <w:pStyle w:val="nzSubsection"/>
      </w:pPr>
      <w:r>
        <w:tab/>
        <w:t>(1)</w:t>
      </w:r>
      <w:r>
        <w:tab/>
        <w:t>A strata management contract must be in writing and must —</w:t>
      </w:r>
    </w:p>
    <w:p>
      <w:pPr>
        <w:pStyle w:val="nzIndenta"/>
      </w:pPr>
      <w:r>
        <w:tab/>
        <w:t>(a)</w:t>
      </w:r>
      <w:r>
        <w:tab/>
        <w:t>state the strata manager’s name and address for service; and</w:t>
      </w:r>
    </w:p>
    <w:p>
      <w:pPr>
        <w:pStyle w:val="nzIndenta"/>
      </w:pPr>
      <w:r>
        <w:tab/>
        <w:t>(b)</w:t>
      </w:r>
      <w:r>
        <w:tab/>
        <w:t>state the strata company’s name and address for service; and</w:t>
      </w:r>
    </w:p>
    <w:p>
      <w:pPr>
        <w:pStyle w:val="nzIndenta"/>
      </w:pPr>
      <w:r>
        <w:tab/>
        <w:t>(c)</w:t>
      </w:r>
      <w:r>
        <w:tab/>
        <w:t>state the Australian Company Number or Australian Business Number of each party with such a number; and</w:t>
      </w:r>
    </w:p>
    <w:p>
      <w:pPr>
        <w:pStyle w:val="nzIndenta"/>
      </w:pPr>
      <w:r>
        <w:tab/>
        <w:t>(d)</w:t>
      </w:r>
      <w:r>
        <w:tab/>
        <w:t>specify when the contract starts and ends; and</w:t>
      </w:r>
    </w:p>
    <w:p>
      <w:pPr>
        <w:pStyle w:val="nzIndenta"/>
      </w:pPr>
      <w:r>
        <w:tab/>
        <w:t>(e)</w:t>
      </w:r>
      <w:r>
        <w:tab/>
        <w:t>specify each scheme function to be performed by the strata manager under the contract; and</w:t>
      </w:r>
    </w:p>
    <w:p>
      <w:pPr>
        <w:pStyle w:val="nzIndenta"/>
      </w:pPr>
      <w:r>
        <w:tab/>
        <w:t>(f)</w:t>
      </w:r>
      <w:r>
        <w:tab/>
        <w:t>specify any conditions that are to apply to the performance of the functions; and</w:t>
      </w:r>
    </w:p>
    <w:p>
      <w:pPr>
        <w:pStyle w:val="nz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nzIndenta"/>
      </w:pPr>
      <w:r>
        <w:tab/>
        <w:t>(h)</w:t>
      </w:r>
      <w:r>
        <w:tab/>
        <w:t>specify the remuneration that is payable under the contract or the manner in which the remuneration that is payable under the contract is to be calculated; and</w:t>
      </w:r>
    </w:p>
    <w:p>
      <w:pPr>
        <w:pStyle w:val="nzIndenta"/>
      </w:pPr>
      <w:r>
        <w:tab/>
        <w:t>(i)</w:t>
      </w:r>
      <w:r>
        <w:tab/>
        <w:t>specify the accounts to be used under section 148(1); and</w:t>
      </w:r>
    </w:p>
    <w:p>
      <w:pPr>
        <w:pStyle w:val="nzIndenta"/>
      </w:pPr>
      <w:r>
        <w:tab/>
        <w:t>(j)</w:t>
      </w:r>
      <w:r>
        <w:tab/>
        <w:t>set out the text of, or give notice drawing attention to, section 151; and</w:t>
      </w:r>
    </w:p>
    <w:p>
      <w:pPr>
        <w:pStyle w:val="nzIndenta"/>
      </w:pPr>
      <w:r>
        <w:tab/>
        <w:t>(k)</w:t>
      </w:r>
      <w:r>
        <w:tab/>
        <w:t>provide for any other matter that is required by the regulations.</w:t>
      </w:r>
    </w:p>
    <w:p>
      <w:pPr>
        <w:pStyle w:val="nzSubsection"/>
      </w:pPr>
      <w:r>
        <w:tab/>
        <w:t>(2)</w:t>
      </w:r>
      <w:r>
        <w:tab/>
        <w:t>Before entering into a strata management contract, the strata manager must disclose in writing to the strata company —</w:t>
      </w:r>
    </w:p>
    <w:p>
      <w:pPr>
        <w:pStyle w:val="nzIndenta"/>
      </w:pPr>
      <w:r>
        <w:tab/>
        <w:t>(a)</w:t>
      </w:r>
      <w:r>
        <w:tab/>
        <w:t>any direct or indirect pecuniary or other interest that the strata manager has that conflicts or may conflict with the performance of the strata manager’s functions; and</w:t>
      </w:r>
    </w:p>
    <w:p>
      <w:pPr>
        <w:pStyle w:val="nz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nzSubsection"/>
        <w:rPr>
          <w:snapToGrid w:val="0"/>
        </w:rPr>
      </w:pPr>
      <w:r>
        <w:rPr>
          <w:snapToGrid w:val="0"/>
        </w:rPr>
        <w:tab/>
        <w:t>(3)</w:t>
      </w:r>
      <w:r>
        <w:rPr>
          <w:snapToGrid w:val="0"/>
        </w:rPr>
        <w:tab/>
        <w:t>Any variation to, or extension or renewal of, a strata management contract must be in writing.</w:t>
      </w:r>
    </w:p>
    <w:p>
      <w:pPr>
        <w:pStyle w:val="nzSubsection"/>
        <w:rPr>
          <w:snapToGrid w:val="0"/>
        </w:rPr>
      </w:pPr>
      <w:r>
        <w:rPr>
          <w:snapToGrid w:val="0"/>
        </w:rPr>
        <w:tab/>
        <w:t>(4)</w:t>
      </w:r>
      <w:r>
        <w:rPr>
          <w:snapToGrid w:val="0"/>
        </w:rPr>
        <w:tab/>
        <w:t>This section does not limit the matters that may be included in a strata management contract.</w:t>
      </w:r>
    </w:p>
    <w:p>
      <w:pPr>
        <w:pStyle w:val="nz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nzHeading5"/>
      </w:pPr>
      <w:bookmarkStart w:id="1545" w:name="_Toc530474503"/>
      <w:bookmarkStart w:id="1546" w:name="_Toc530475098"/>
      <w:r>
        <w:t>146.</w:t>
      </w:r>
      <w:r>
        <w:tab/>
        <w:t>General duties and conflict of interest</w:t>
      </w:r>
      <w:bookmarkEnd w:id="1545"/>
      <w:bookmarkEnd w:id="1546"/>
    </w:p>
    <w:p>
      <w:pPr>
        <w:pStyle w:val="nzSubsection"/>
      </w:pPr>
      <w:r>
        <w:tab/>
        <w:t>(1)</w:t>
      </w:r>
      <w:r>
        <w:tab/>
        <w:t>A strata manager of a strata company —</w:t>
      </w:r>
    </w:p>
    <w:p>
      <w:pPr>
        <w:pStyle w:val="nzIndenta"/>
      </w:pPr>
      <w:r>
        <w:tab/>
        <w:t>(a)</w:t>
      </w:r>
      <w:r>
        <w:tab/>
        <w:t>must at all times act honestly and in good faith in the performance of the strata manager’s functions; and</w:t>
      </w:r>
    </w:p>
    <w:p>
      <w:pPr>
        <w:pStyle w:val="nzIndenta"/>
      </w:pPr>
      <w:r>
        <w:tab/>
        <w:t>(b)</w:t>
      </w:r>
      <w:r>
        <w:tab/>
        <w:t>must at all times exercise a reasonable degree of skill, care and diligence in the performance of the strata manager’s functions; and</w:t>
      </w:r>
    </w:p>
    <w:p>
      <w:pPr>
        <w:pStyle w:val="nzIndenta"/>
      </w:pPr>
      <w:r>
        <w:tab/>
        <w:t>(c)</w:t>
      </w:r>
      <w:r>
        <w:tab/>
        <w:t>must have a good working knowledge of this Act; and</w:t>
      </w:r>
    </w:p>
    <w:p>
      <w:pPr>
        <w:pStyle w:val="nzIndenta"/>
      </w:pPr>
      <w:r>
        <w:tab/>
        <w:t>(d)</w:t>
      </w:r>
      <w:r>
        <w:tab/>
        <w:t>must not make improper use of information acquired as the strata company’s strata manager —</w:t>
      </w:r>
    </w:p>
    <w:p>
      <w:pPr>
        <w:pStyle w:val="nzIndenti"/>
      </w:pPr>
      <w:r>
        <w:tab/>
        <w:t>(i)</w:t>
      </w:r>
      <w:r>
        <w:tab/>
        <w:t>to gain, directly or indirectly, an advantage for the strata manager or any other person; or</w:t>
      </w:r>
    </w:p>
    <w:p>
      <w:pPr>
        <w:pStyle w:val="nzIndenti"/>
      </w:pPr>
      <w:r>
        <w:tab/>
        <w:t>(ii)</w:t>
      </w:r>
      <w:r>
        <w:tab/>
        <w:t>to cause detriment to the strata company or a member of the strata company;</w:t>
      </w:r>
    </w:p>
    <w:p>
      <w:pPr>
        <w:pStyle w:val="nzIndenta"/>
      </w:pPr>
      <w:r>
        <w:tab/>
      </w:r>
      <w:r>
        <w:tab/>
        <w:t>and</w:t>
      </w:r>
    </w:p>
    <w:p>
      <w:pPr>
        <w:pStyle w:val="nzIndenta"/>
      </w:pPr>
      <w:r>
        <w:tab/>
        <w:t>(e)</w:t>
      </w:r>
      <w:r>
        <w:tab/>
        <w:t>must not make improper use of the position of strata manager —</w:t>
      </w:r>
    </w:p>
    <w:p>
      <w:pPr>
        <w:pStyle w:val="nzIndenti"/>
      </w:pPr>
      <w:r>
        <w:tab/>
        <w:t>(i)</w:t>
      </w:r>
      <w:r>
        <w:tab/>
        <w:t>to gain, directly or indirectly, an advantage for the strata manager or any other person; or</w:t>
      </w:r>
    </w:p>
    <w:p>
      <w:pPr>
        <w:pStyle w:val="nzIndenti"/>
      </w:pPr>
      <w:r>
        <w:tab/>
        <w:t>(ii)</w:t>
      </w:r>
      <w:r>
        <w:tab/>
        <w:t>to cause detriment to the strata company or a member of the strata company;</w:t>
      </w:r>
    </w:p>
    <w:p>
      <w:pPr>
        <w:pStyle w:val="nzIndenta"/>
      </w:pPr>
      <w:r>
        <w:tab/>
      </w:r>
      <w:r>
        <w:tab/>
        <w:t>and</w:t>
      </w:r>
    </w:p>
    <w:p>
      <w:pPr>
        <w:pStyle w:val="nzIndenta"/>
      </w:pPr>
      <w:r>
        <w:tab/>
        <w:t>(f)</w:t>
      </w:r>
      <w:r>
        <w:tab/>
        <w:t>must take reasonable steps to ensure that the strata manager’s agents, employees and contractors comply with this Act when performing the strata manager’s functions.</w:t>
      </w:r>
    </w:p>
    <w:p>
      <w:pPr>
        <w:pStyle w:val="nzSubsection"/>
      </w:pPr>
      <w:r>
        <w:tab/>
        <w:t>(2)</w:t>
      </w:r>
      <w:r>
        <w:tab/>
        <w:t>A strata manager of a strata company —</w:t>
      </w:r>
    </w:p>
    <w:p>
      <w:pPr>
        <w:pStyle w:val="nz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nzIndenta"/>
      </w:pPr>
      <w:r>
        <w:tab/>
        <w:t>(b)</w:t>
      </w:r>
      <w:r>
        <w:tab/>
        <w:t>must do so as soon as is practicable after the strata manager becomes aware of the relevant facts.</w:t>
      </w:r>
    </w:p>
    <w:p>
      <w:pPr>
        <w:pStyle w:val="nzHeading5"/>
      </w:pPr>
      <w:bookmarkStart w:id="1547" w:name="_Toc530474504"/>
      <w:bookmarkStart w:id="1548" w:name="_Toc530475099"/>
      <w:r>
        <w:t>147.</w:t>
      </w:r>
      <w:r>
        <w:tab/>
        <w:t>Disclosure of remuneration and other benefits</w:t>
      </w:r>
      <w:bookmarkEnd w:id="1547"/>
      <w:bookmarkEnd w:id="1548"/>
    </w:p>
    <w:p>
      <w:pPr>
        <w:pStyle w:val="nzSubsection"/>
      </w:pPr>
      <w:r>
        <w:tab/>
        <w:t>(1)</w:t>
      </w:r>
      <w:r>
        <w:tab/>
        <w:t>A strata manager of a strata company —</w:t>
      </w:r>
    </w:p>
    <w:p>
      <w:pPr>
        <w:pStyle w:val="nz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nzIndenta"/>
      </w:pPr>
      <w:r>
        <w:tab/>
        <w:t>(b)</w:t>
      </w:r>
      <w:r>
        <w:tab/>
        <w:t>must do so as soon as is practicable after the strata manager becomes aware of the relevant facts.</w:t>
      </w:r>
    </w:p>
    <w:p>
      <w:pPr>
        <w:pStyle w:val="nzSubsection"/>
      </w:pPr>
      <w:r>
        <w:tab/>
        <w:t>(2)</w:t>
      </w:r>
      <w:r>
        <w:tab/>
        <w:t>Subsection (1) does not apply to remuneration or any other benefit that is less than an amount or value specified in or calculated in accordance with the regulations.</w:t>
      </w:r>
    </w:p>
    <w:p>
      <w:pPr>
        <w:pStyle w:val="nzHeading5"/>
      </w:pPr>
      <w:bookmarkStart w:id="1549" w:name="_Toc530474505"/>
      <w:bookmarkStart w:id="1550" w:name="_Toc530475100"/>
      <w:r>
        <w:t>148.</w:t>
      </w:r>
      <w:r>
        <w:tab/>
        <w:t>Operation of accounts</w:t>
      </w:r>
      <w:bookmarkEnd w:id="1549"/>
      <w:bookmarkEnd w:id="1550"/>
    </w:p>
    <w:p>
      <w:pPr>
        <w:pStyle w:val="nzSubsection"/>
      </w:pPr>
      <w:r>
        <w:tab/>
        <w:t>(1)</w:t>
      </w:r>
      <w:r>
        <w:tab/>
        <w:t>A strata manager (other than a volunteer strata manager) must pay all money received on behalf of a strata company into 1 of the following accounts —</w:t>
      </w:r>
    </w:p>
    <w:p>
      <w:pPr>
        <w:pStyle w:val="nzIndenta"/>
      </w:pPr>
      <w:r>
        <w:tab/>
        <w:t>(a)</w:t>
      </w:r>
      <w:r>
        <w:tab/>
        <w:t>a separate ADI trust account for the strata company;</w:t>
      </w:r>
    </w:p>
    <w:p>
      <w:pPr>
        <w:pStyle w:val="nzIndenta"/>
      </w:pPr>
      <w:r>
        <w:tab/>
        <w:t>(b)</w:t>
      </w:r>
      <w:r>
        <w:tab/>
        <w:t>a pooled ADI trust account solely for the strata companies for which the person is a strata manager;</w:t>
      </w:r>
    </w:p>
    <w:p>
      <w:pPr>
        <w:pStyle w:val="nzIndenta"/>
      </w:pPr>
      <w:r>
        <w:tab/>
        <w:t>(c)</w:t>
      </w:r>
      <w:r>
        <w:tab/>
        <w:t>if the strata company has its own ADI account and has authorised the strata manager to use the account, that account.</w:t>
      </w:r>
    </w:p>
    <w:p>
      <w:pPr>
        <w:pStyle w:val="nz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nzSubsection"/>
      </w:pPr>
      <w:r>
        <w:tab/>
        <w:t>(3)</w:t>
      </w:r>
      <w:r>
        <w:tab/>
        <w:t>A strata manager must be able to account separately for money that the strata manager is paid or receives on behalf of a strata company.</w:t>
      </w:r>
    </w:p>
    <w:p>
      <w:pPr>
        <w:pStyle w:val="nzSubsection"/>
      </w:pPr>
      <w:r>
        <w:tab/>
        <w:t>(4)</w:t>
      </w:r>
      <w:r>
        <w:tab/>
        <w:t>A strata manager may pay out of an account mentioned in subsection (1) an amount that is payable by the strata company on whose behalf money is received.</w:t>
      </w:r>
    </w:p>
    <w:p>
      <w:pPr>
        <w:pStyle w:val="nz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nzSubsection"/>
      </w:pPr>
      <w:r>
        <w:tab/>
        <w:t>(6)</w:t>
      </w:r>
      <w:r>
        <w:tab/>
        <w:t>The regulations may provide for other matters relating to the operation of trust accounts by strata managers.</w:t>
      </w:r>
    </w:p>
    <w:p>
      <w:pPr>
        <w:pStyle w:val="nzHeading5"/>
      </w:pPr>
      <w:bookmarkStart w:id="1551" w:name="_Toc530474506"/>
      <w:bookmarkStart w:id="1552" w:name="_Toc530475101"/>
      <w:r>
        <w:t>149.</w:t>
      </w:r>
      <w:r>
        <w:tab/>
        <w:t>Accounting information</w:t>
      </w:r>
      <w:bookmarkEnd w:id="1551"/>
      <w:bookmarkEnd w:id="1552"/>
    </w:p>
    <w:p>
      <w:pPr>
        <w:pStyle w:val="nzSubsection"/>
      </w:pPr>
      <w:r>
        <w:tab/>
        <w:t>(1)</w:t>
      </w:r>
      <w:r>
        <w:tab/>
        <w:t>A strata company can, by written notice, require a strata manager to provide the following information to the strata company —</w:t>
      </w:r>
    </w:p>
    <w:p>
      <w:pPr>
        <w:pStyle w:val="nzIndenta"/>
      </w:pPr>
      <w:r>
        <w:tab/>
        <w:t>(a)</w:t>
      </w:r>
      <w:r>
        <w:tab/>
        <w:t>the name and number of each account operated by the strata manager in performing scheme functions and the name and identifying number or code of the ADI with which each account is held;</w:t>
      </w:r>
    </w:p>
    <w:p>
      <w:pPr>
        <w:pStyle w:val="nzIndenta"/>
      </w:pPr>
      <w:r>
        <w:tab/>
        <w:t>(b)</w:t>
      </w:r>
      <w:r>
        <w:tab/>
        <w:t>the balance in each such account standing to the credit of the strata company on a specified date;</w:t>
      </w:r>
    </w:p>
    <w:p>
      <w:pPr>
        <w:pStyle w:val="nzIndenta"/>
      </w:pPr>
      <w:r>
        <w:tab/>
        <w:t>(c)</w:t>
      </w:r>
      <w:r>
        <w:tab/>
        <w:t>particulars of cheques drawn or amounts transferred out of an account by the strata manager on behalf of the strata company but for which amounts have not, as at a specified date, been paid out of the account;</w:t>
      </w:r>
    </w:p>
    <w:p>
      <w:pPr>
        <w:pStyle w:val="nzIndenta"/>
      </w:pPr>
      <w:r>
        <w:tab/>
        <w:t>(d)</w:t>
      </w:r>
      <w:r>
        <w:tab/>
        <w:t>particulars relating to the payment of money to, or the receipt of money by, the strata manager on behalf of the strata company;</w:t>
      </w:r>
    </w:p>
    <w:p>
      <w:pPr>
        <w:pStyle w:val="nzIndenta"/>
      </w:pPr>
      <w:r>
        <w:tab/>
        <w:t>(e)</w:t>
      </w:r>
      <w:r>
        <w:tab/>
        <w:t>particulars relating to the manner and time of disposal of money paid to, or received by, the strata manager on behalf of the strata company that is not still held by the strata manager;</w:t>
      </w:r>
    </w:p>
    <w:p>
      <w:pPr>
        <w:pStyle w:val="nzIndenta"/>
      </w:pPr>
      <w:r>
        <w:tab/>
        <w:t>(f)</w:t>
      </w:r>
      <w:r>
        <w:tab/>
        <w:t>particulars relating to a specified transaction that has been entered into by the strata manager on behalf of the strata company.</w:t>
      </w:r>
    </w:p>
    <w:p>
      <w:pPr>
        <w:pStyle w:val="nzSubsection"/>
      </w:pPr>
      <w:r>
        <w:tab/>
        <w:t>(2)</w:t>
      </w:r>
      <w:r>
        <w:tab/>
        <w:t>The strata manager must comply with the notice within a reasonable time but, in any event, within 7 days after the day the notice was given.</w:t>
      </w:r>
    </w:p>
    <w:p>
      <w:pPr>
        <w:pStyle w:val="nzSubsection"/>
      </w:pPr>
      <w:r>
        <w:tab/>
        <w:t>(3)</w:t>
      </w:r>
      <w:r>
        <w:tab/>
        <w:t>However, a strata manager does not have to provide the strata company with information in relation to a matter as it was, or that occurred, more than 7 years before notice requiring the information is given.</w:t>
      </w:r>
    </w:p>
    <w:p>
      <w:pPr>
        <w:pStyle w:val="nzHeading5"/>
      </w:pPr>
      <w:bookmarkStart w:id="1553" w:name="_Toc530474507"/>
      <w:bookmarkStart w:id="1554" w:name="_Toc530475102"/>
      <w:r>
        <w:t>150.</w:t>
      </w:r>
      <w:r>
        <w:tab/>
        <w:t>Audits</w:t>
      </w:r>
      <w:bookmarkEnd w:id="1553"/>
      <w:bookmarkEnd w:id="1554"/>
    </w:p>
    <w:p>
      <w:pPr>
        <w:pStyle w:val="nz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nzSubsection"/>
      </w:pPr>
      <w:r>
        <w:tab/>
        <w:t>(2)</w:t>
      </w:r>
      <w:r>
        <w:tab/>
        <w:t>A strata manager of a strata company must provide such an auditor with —</w:t>
      </w:r>
    </w:p>
    <w:p>
      <w:pPr>
        <w:pStyle w:val="nzIndenta"/>
      </w:pPr>
      <w:r>
        <w:tab/>
        <w:t>(a)</w:t>
      </w:r>
      <w:r>
        <w:tab/>
        <w:t>any document in the strata manager’s possession or control relating to money paid to, or received by, the strata manager on behalf of the strata company that the auditor reasonably requires; and</w:t>
      </w:r>
    </w:p>
    <w:p>
      <w:pPr>
        <w:pStyle w:val="nzIndenta"/>
      </w:pPr>
      <w:r>
        <w:tab/>
        <w:t>(b)</w:t>
      </w:r>
      <w:r>
        <w:tab/>
        <w:t>any other information relating to money paid to, or received by, the strata manager on behalf of the strata company that the auditor reasonably requires.</w:t>
      </w:r>
    </w:p>
    <w:p>
      <w:pPr>
        <w:pStyle w:val="nzHeading5"/>
      </w:pPr>
      <w:bookmarkStart w:id="1555" w:name="_Toc530474508"/>
      <w:bookmarkStart w:id="1556" w:name="_Toc530475103"/>
      <w:r>
        <w:t>151.</w:t>
      </w:r>
      <w:r>
        <w:tab/>
        <w:t>Termination of strata management contract</w:t>
      </w:r>
      <w:bookmarkEnd w:id="1555"/>
      <w:bookmarkEnd w:id="1556"/>
    </w:p>
    <w:p>
      <w:pPr>
        <w:pStyle w:val="nzSubsection"/>
      </w:pPr>
      <w:r>
        <w:tab/>
        <w:t>(1)</w:t>
      </w:r>
      <w:r>
        <w:tab/>
        <w:t>There are proper grounds for termination of a strata management contract by a strata company if —</w:t>
      </w:r>
    </w:p>
    <w:p>
      <w:pPr>
        <w:pStyle w:val="nzIndenta"/>
      </w:pPr>
      <w:r>
        <w:tab/>
        <w:t>(a)</w:t>
      </w:r>
      <w:r>
        <w:tab/>
        <w:t>the strata manager has contravened this Act; or</w:t>
      </w:r>
    </w:p>
    <w:p>
      <w:pPr>
        <w:pStyle w:val="nzIndenta"/>
      </w:pPr>
      <w:r>
        <w:tab/>
        <w:t>(b)</w:t>
      </w:r>
      <w:r>
        <w:tab/>
        <w:t>the strata manager has contravened the contract; or</w:t>
      </w:r>
    </w:p>
    <w:p>
      <w:pPr>
        <w:pStyle w:val="nzIndenta"/>
      </w:pPr>
      <w:r>
        <w:tab/>
        <w:t>(c)</w:t>
      </w:r>
      <w:r>
        <w:tab/>
        <w:t xml:space="preserve">the strata manager is, according to the </w:t>
      </w:r>
      <w:r>
        <w:rPr>
          <w:i/>
        </w:rPr>
        <w:t>Interpretation Act 1984</w:t>
      </w:r>
      <w:r>
        <w:t xml:space="preserve"> section 13D, a bankrupt or a person whose affairs are under insolvency laws; or</w:t>
      </w:r>
    </w:p>
    <w:p>
      <w:pPr>
        <w:pStyle w:val="nzIndenta"/>
      </w:pPr>
      <w:r>
        <w:tab/>
        <w:t>(d)</w:t>
      </w:r>
      <w:r>
        <w:tab/>
        <w:t xml:space="preserve">the strata manager is a Chapter 5 body corporate within the meaning given in the </w:t>
      </w:r>
      <w:r>
        <w:rPr>
          <w:i/>
        </w:rPr>
        <w:t>Corporations Act 2001</w:t>
      </w:r>
      <w:r>
        <w:t xml:space="preserve"> (Commonwealth) section 9; or</w:t>
      </w:r>
    </w:p>
    <w:p>
      <w:pPr>
        <w:pStyle w:val="nz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nz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nz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nzIndenta"/>
      </w:pPr>
      <w:r>
        <w:tab/>
        <w:t>(a)</w:t>
      </w:r>
      <w:r>
        <w:tab/>
        <w:t>specifying the date (being not less than 28 days after the date of the notice) on which the termination will take effect; and</w:t>
      </w:r>
    </w:p>
    <w:p>
      <w:pPr>
        <w:pStyle w:val="nzIndenta"/>
      </w:pPr>
      <w:r>
        <w:tab/>
        <w:t>(b)</w:t>
      </w:r>
      <w:r>
        <w:tab/>
        <w:t>informing the strata manager of the right to apply to the Tribunal for review of the decision to terminate the contract.</w:t>
      </w:r>
    </w:p>
    <w:p>
      <w:pPr>
        <w:pStyle w:val="nz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nzSubsection"/>
      </w:pPr>
      <w:r>
        <w:tab/>
        <w:t>(4)</w:t>
      </w:r>
      <w:r>
        <w:tab/>
        <w:t>A show cause notice must —</w:t>
      </w:r>
    </w:p>
    <w:p>
      <w:pPr>
        <w:pStyle w:val="nzIndenta"/>
      </w:pPr>
      <w:r>
        <w:tab/>
        <w:t>(a)</w:t>
      </w:r>
      <w:r>
        <w:tab/>
        <w:t>be in writing; and</w:t>
      </w:r>
    </w:p>
    <w:p>
      <w:pPr>
        <w:pStyle w:val="nzIndenta"/>
      </w:pPr>
      <w:r>
        <w:tab/>
        <w:t>(b)</w:t>
      </w:r>
      <w:r>
        <w:tab/>
        <w:t>state that the strata company proposes to terminate the strata management contract; and</w:t>
      </w:r>
    </w:p>
    <w:p>
      <w:pPr>
        <w:pStyle w:val="nzIndenta"/>
      </w:pPr>
      <w:r>
        <w:tab/>
        <w:t>(c)</w:t>
      </w:r>
      <w:r>
        <w:tab/>
        <w:t>specify the grounds on which it is proposed to terminate the strata management contract; and</w:t>
      </w:r>
    </w:p>
    <w:p>
      <w:pPr>
        <w:pStyle w:val="nzIndenta"/>
      </w:pPr>
      <w:r>
        <w:tab/>
        <w:t>(d)</w:t>
      </w:r>
      <w:r>
        <w:tab/>
        <w:t>set out particulars of the facts relied on as evidence of those grounds; and</w:t>
      </w:r>
    </w:p>
    <w:p>
      <w:pPr>
        <w:pStyle w:val="nzIndenta"/>
      </w:pPr>
      <w:r>
        <w:tab/>
        <w:t>(e)</w:t>
      </w:r>
      <w:r>
        <w:tab/>
        <w:t>invite the strata manager to make written submissions to the strata company as to why the strata management contract should not be terminated; and</w:t>
      </w:r>
    </w:p>
    <w:p>
      <w:pPr>
        <w:pStyle w:val="nzIndenta"/>
      </w:pPr>
      <w:r>
        <w:tab/>
        <w:t>(f)</w:t>
      </w:r>
      <w:r>
        <w:tab/>
        <w:t>specify the period (being at least 14 days after the date of the notice) within which the written submissions must be received by the strata company.</w:t>
      </w:r>
    </w:p>
    <w:p>
      <w:pPr>
        <w:pStyle w:val="nzSubsection"/>
      </w:pPr>
      <w:r>
        <w:tab/>
        <w:t>(5)</w:t>
      </w:r>
      <w:r>
        <w:tab/>
        <w:t>A strata company must give proper consideration to any written submissions made by the strata manager within the period specified in the show cause notice.</w:t>
      </w:r>
    </w:p>
    <w:p>
      <w:pPr>
        <w:pStyle w:val="nzSubsection"/>
      </w:pPr>
      <w:r>
        <w:tab/>
        <w:t>(6)</w:t>
      </w:r>
      <w:r>
        <w:tab/>
        <w:t>Nothing in this section affects the operation of section 115 in relation to a strata management contract or any other right that the strata company may have to terminate the contract.</w:t>
      </w:r>
    </w:p>
    <w:p>
      <w:pPr>
        <w:pStyle w:val="nzHeading5"/>
      </w:pPr>
      <w:bookmarkStart w:id="1557" w:name="_Toc530474509"/>
      <w:bookmarkStart w:id="1558" w:name="_Toc530475104"/>
      <w:r>
        <w:t>152.</w:t>
      </w:r>
      <w:r>
        <w:tab/>
        <w:t>Return of records and other property</w:t>
      </w:r>
      <w:bookmarkEnd w:id="1557"/>
      <w:bookmarkEnd w:id="1558"/>
    </w:p>
    <w:p>
      <w:pPr>
        <w:pStyle w:val="nzSubsection"/>
        <w:rPr>
          <w:snapToGrid w:val="0"/>
        </w:rPr>
      </w:pPr>
      <w:r>
        <w:rPr>
          <w:snapToGrid w:val="0"/>
        </w:rPr>
        <w:tab/>
        <w:t>(1)</w:t>
      </w:r>
      <w:r>
        <w:rPr>
          <w:snapToGrid w:val="0"/>
        </w:rPr>
        <w:tab/>
        <w:t>If a strata management contract is terminated, the strata manager must return to the strata company —</w:t>
      </w:r>
    </w:p>
    <w:p>
      <w:pPr>
        <w:pStyle w:val="nzIndenta"/>
      </w:pPr>
      <w:r>
        <w:tab/>
        <w:t>(a)</w:t>
      </w:r>
      <w:r>
        <w:tab/>
        <w:t>all records of the strata company, including records of account, in the strata manager’s possession or control; and</w:t>
      </w:r>
    </w:p>
    <w:p>
      <w:pPr>
        <w:pStyle w:val="nzIndenta"/>
      </w:pPr>
      <w:r>
        <w:tab/>
        <w:t>(b)</w:t>
      </w:r>
      <w:r>
        <w:tab/>
        <w:t>all keys and other property of the strata company in the strata manager’s possession or control.</w:t>
      </w:r>
    </w:p>
    <w:p>
      <w:pPr>
        <w:pStyle w:val="nz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nzSubsection"/>
      </w:pPr>
      <w:r>
        <w:tab/>
        <w:t>(3)</w:t>
      </w:r>
      <w:r>
        <w:tab/>
        <w:t>The strata company may agree to the property being made available for collection by another strata manager engaged by the strata company or being returned in some other manner.</w:t>
      </w:r>
    </w:p>
    <w:p>
      <w:pPr>
        <w:pStyle w:val="nzSubsection"/>
      </w:pPr>
      <w:r>
        <w:tab/>
        <w:t>(4)</w:t>
      </w:r>
      <w:r>
        <w:tab/>
        <w:t>A strata manager cannot exercise any claim or lien against or on the property of a strata company that the strata manager is required, under this section, to return to the strata company.</w:t>
      </w:r>
    </w:p>
    <w:p>
      <w:pPr>
        <w:pStyle w:val="nzHeading5"/>
      </w:pPr>
      <w:bookmarkStart w:id="1559" w:name="_Toc530474510"/>
      <w:bookmarkStart w:id="1560" w:name="_Toc530475105"/>
      <w:r>
        <w:t>153.</w:t>
      </w:r>
      <w:r>
        <w:tab/>
        <w:t>Provision of information about industry</w:t>
      </w:r>
      <w:bookmarkEnd w:id="1559"/>
      <w:bookmarkEnd w:id="1560"/>
    </w:p>
    <w:p>
      <w:pPr>
        <w:pStyle w:val="nz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nzIndenta"/>
      </w:pPr>
      <w:r>
        <w:tab/>
        <w:t>(a)</w:t>
      </w:r>
      <w:r>
        <w:tab/>
        <w:t>publishing, if it chooses to do so, a list of strata managers; and</w:t>
      </w:r>
    </w:p>
    <w:p>
      <w:pPr>
        <w:pStyle w:val="nzIndenta"/>
      </w:pPr>
      <w:r>
        <w:tab/>
        <w:t>(b)</w:t>
      </w:r>
      <w:r>
        <w:tab/>
        <w:t>using the information to develop policy and advise the Minister on matters related to strata managers.</w:t>
      </w:r>
    </w:p>
    <w:p>
      <w:pPr>
        <w:pStyle w:val="nzHeading5"/>
      </w:pPr>
      <w:bookmarkStart w:id="1561" w:name="_Toc530474511"/>
      <w:bookmarkStart w:id="1562" w:name="_Toc530475106"/>
      <w:r>
        <w:t>154.</w:t>
      </w:r>
      <w:r>
        <w:tab/>
        <w:t>Contracting out prohibited</w:t>
      </w:r>
      <w:bookmarkEnd w:id="1561"/>
      <w:bookmarkEnd w:id="1562"/>
    </w:p>
    <w:p>
      <w:pPr>
        <w:pStyle w:val="nzSubsection"/>
      </w:pPr>
      <w:r>
        <w:tab/>
        <w:t>(1)</w:t>
      </w:r>
      <w:r>
        <w:tab/>
        <w:t>A contract or arrangement is of no effect to the extent that it purports to exclude or restrict the operation of this Part.</w:t>
      </w:r>
    </w:p>
    <w:p>
      <w:pPr>
        <w:pStyle w:val="nzSubsection"/>
      </w:pPr>
      <w:r>
        <w:tab/>
        <w:t>(2)</w:t>
      </w:r>
      <w:r>
        <w:tab/>
        <w:t>A purported waiver of a right, remedy or benefit conferred on a person under this Part is of no effect.</w:t>
      </w:r>
    </w:p>
    <w:p>
      <w:pPr>
        <w:pStyle w:val="nzHeading5"/>
      </w:pPr>
      <w:bookmarkStart w:id="1563" w:name="_Toc530474512"/>
      <w:bookmarkStart w:id="1564" w:name="_Toc530475107"/>
      <w:r>
        <w:t>155.</w:t>
      </w:r>
      <w:r>
        <w:tab/>
        <w:t>Protection from liability</w:t>
      </w:r>
      <w:bookmarkEnd w:id="1563"/>
      <w:bookmarkEnd w:id="1564"/>
    </w:p>
    <w:p>
      <w:pPr>
        <w:pStyle w:val="nzSubsection"/>
      </w:pPr>
      <w:r>
        <w:tab/>
        <w:t>(1)</w:t>
      </w:r>
      <w:r>
        <w:tab/>
        <w:t>No civil liability attaches to a volunteer strata manager for anything that the person has, in good faith, done or omitted to be done —</w:t>
      </w:r>
    </w:p>
    <w:p>
      <w:pPr>
        <w:pStyle w:val="nzIndenta"/>
      </w:pPr>
      <w:r>
        <w:tab/>
        <w:t>(a)</w:t>
      </w:r>
      <w:r>
        <w:tab/>
        <w:t>in the performance of a function under this Act or scheme by</w:t>
      </w:r>
      <w:r>
        <w:noBreakHyphen/>
        <w:t>laws; or</w:t>
      </w:r>
    </w:p>
    <w:p>
      <w:pPr>
        <w:pStyle w:val="nzIndenta"/>
      </w:pPr>
      <w:r>
        <w:tab/>
        <w:t>(b)</w:t>
      </w:r>
      <w:r>
        <w:tab/>
        <w:t>in the reasonable belief that the act or omission was in the performance of a function under this Act or scheme by</w:t>
      </w:r>
      <w:r>
        <w:noBreakHyphen/>
        <w:t>laws.</w:t>
      </w:r>
    </w:p>
    <w:p>
      <w:pPr>
        <w:pStyle w:val="nzSubsection"/>
      </w:pPr>
      <w:r>
        <w:tab/>
        <w:t>(2)</w:t>
      </w:r>
      <w:r>
        <w:tab/>
        <w:t>A liability that would, but for subsection (1), attach to a person attaches instead to the strata company.</w:t>
      </w:r>
    </w:p>
    <w:p>
      <w:pPr>
        <w:pStyle w:val="nzHeading2"/>
      </w:pPr>
      <w:bookmarkStart w:id="1565" w:name="_Toc517437715"/>
      <w:bookmarkStart w:id="1566" w:name="_Toc517438257"/>
      <w:bookmarkStart w:id="1567" w:name="_Toc517440594"/>
      <w:bookmarkStart w:id="1568" w:name="_Toc517447631"/>
      <w:bookmarkStart w:id="1569" w:name="_Toc517450109"/>
      <w:bookmarkStart w:id="1570" w:name="_Toc517450651"/>
      <w:bookmarkStart w:id="1571" w:name="_Toc517857107"/>
      <w:bookmarkStart w:id="1572" w:name="_Toc518293234"/>
      <w:bookmarkStart w:id="1573" w:name="_Toc522744462"/>
      <w:bookmarkStart w:id="1574" w:name="_Toc522747585"/>
      <w:bookmarkStart w:id="1575" w:name="_Toc529183422"/>
      <w:bookmarkStart w:id="1576" w:name="_Toc529188185"/>
      <w:bookmarkStart w:id="1577" w:name="_Toc529434698"/>
      <w:bookmarkStart w:id="1578" w:name="_Toc529524589"/>
      <w:bookmarkStart w:id="1579" w:name="_Toc530474513"/>
      <w:bookmarkStart w:id="1580" w:name="_Toc530475108"/>
      <w:r>
        <w:t>Part 10</w:t>
      </w:r>
      <w:r>
        <w:rPr>
          <w:b w:val="0"/>
        </w:rPr>
        <w:t> </w:t>
      </w:r>
      <w:r>
        <w:t>—</w:t>
      </w:r>
      <w:r>
        <w:rPr>
          <w:b w:val="0"/>
        </w:rPr>
        <w:t> </w:t>
      </w:r>
      <w:r>
        <w:t>Protection of buyers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nzHeading5"/>
      </w:pPr>
      <w:bookmarkStart w:id="1581" w:name="_Toc530474514"/>
      <w:bookmarkStart w:id="1582" w:name="_Toc530475109"/>
      <w:r>
        <w:t>156.</w:t>
      </w:r>
      <w:r>
        <w:tab/>
        <w:t>Information to be given before contract</w:t>
      </w:r>
      <w:bookmarkEnd w:id="1581"/>
      <w:bookmarkEnd w:id="1582"/>
    </w:p>
    <w:p>
      <w:pPr>
        <w:pStyle w:val="nzSubsection"/>
      </w:pPr>
      <w:r>
        <w:tab/>
        <w:t>(1)</w:t>
      </w:r>
      <w:r>
        <w:tab/>
        <w:t>Before a buyer signs a contract for the sale and purchase of a lot in a strata titles scheme, the seller of the lot must give the buyer the following —</w:t>
      </w:r>
    </w:p>
    <w:p>
      <w:pPr>
        <w:pStyle w:val="nzIndenta"/>
      </w:pPr>
      <w:r>
        <w:tab/>
        <w:t>(a)</w:t>
      </w:r>
      <w:r>
        <w:tab/>
        <w:t>the name and address of the seller;</w:t>
      </w:r>
    </w:p>
    <w:p>
      <w:pPr>
        <w:pStyle w:val="nzIndenta"/>
      </w:pPr>
      <w:r>
        <w:tab/>
        <w:t>(b)</w:t>
      </w:r>
      <w:r>
        <w:tab/>
        <w:t>the following information relating to the strata titles scheme —</w:t>
      </w:r>
    </w:p>
    <w:p>
      <w:pPr>
        <w:pStyle w:val="nzIndenti"/>
      </w:pPr>
      <w:r>
        <w:tab/>
        <w:t>(i)</w:t>
      </w:r>
      <w:r>
        <w:tab/>
        <w:t>the scheme notice, scheme plan, scheme by</w:t>
      </w:r>
      <w:r>
        <w:noBreakHyphen/>
        <w:t>laws and schedule of unit entitlements for the strata titles scheme;</w:t>
      </w:r>
    </w:p>
    <w:p>
      <w:pPr>
        <w:pStyle w:val="nzIndenti"/>
      </w:pPr>
      <w:r>
        <w:tab/>
        <w:t>(ii)</w:t>
      </w:r>
      <w:r>
        <w:tab/>
        <w:t>scheme by</w:t>
      </w:r>
      <w:r>
        <w:noBreakHyphen/>
        <w:t>laws that have been made by the strata company but not yet registered as a scheme document;</w:t>
      </w:r>
    </w:p>
    <w:p>
      <w:pPr>
        <w:pStyle w:val="nzIndenti"/>
      </w:pPr>
      <w:r>
        <w:tab/>
        <w:t>(iii)</w:t>
      </w:r>
      <w:r>
        <w:tab/>
        <w:t>for a leasehold scheme, the strata lease for the lot;</w:t>
      </w:r>
    </w:p>
    <w:p>
      <w:pPr>
        <w:pStyle w:val="nzIndenti"/>
      </w:pPr>
      <w:r>
        <w:tab/>
        <w:t>(iv)</w:t>
      </w:r>
      <w:r>
        <w:tab/>
        <w:t>the name and address for service of the strata company;</w:t>
      </w:r>
    </w:p>
    <w:p>
      <w:pPr>
        <w:pStyle w:val="nzIndenti"/>
      </w:pPr>
      <w:r>
        <w:tab/>
        <w:t>(v)</w:t>
      </w:r>
      <w:r>
        <w:tab/>
        <w:t>either —</w:t>
      </w:r>
    </w:p>
    <w:p>
      <w:pPr>
        <w:pStyle w:val="nzIndentI0"/>
      </w:pPr>
      <w:r>
        <w:tab/>
        <w:t>(I)</w:t>
      </w:r>
      <w:r>
        <w:tab/>
        <w:t>the minutes of the most recent annual general meeting and of any subsequent extraordinary general meetings of the strata company; or</w:t>
      </w:r>
    </w:p>
    <w:p>
      <w:pPr>
        <w:pStyle w:val="nzIndentI0"/>
      </w:pPr>
      <w:r>
        <w:tab/>
        <w:t>(II)</w:t>
      </w:r>
      <w:r>
        <w:tab/>
        <w:t>a statement that the strata company does not keep minutes of its meetings; or</w:t>
      </w:r>
    </w:p>
    <w:p>
      <w:pPr>
        <w:pStyle w:val="nzIndentI0"/>
      </w:pPr>
      <w:r>
        <w:tab/>
        <w:t>(III)</w:t>
      </w:r>
      <w:r>
        <w:tab/>
        <w:t>a statement of why the seller has been unable to obtain the minutes;</w:t>
      </w:r>
    </w:p>
    <w:p>
      <w:pPr>
        <w:pStyle w:val="nzIndenti"/>
      </w:pPr>
      <w:r>
        <w:tab/>
        <w:t>(vi)</w:t>
      </w:r>
      <w:r>
        <w:tab/>
        <w:t>either —</w:t>
      </w:r>
    </w:p>
    <w:p>
      <w:pPr>
        <w:pStyle w:val="nzIndentI0"/>
      </w:pPr>
      <w:r>
        <w:tab/>
        <w:t>(I)</w:t>
      </w:r>
      <w:r>
        <w:tab/>
        <w:t>the statement of accounts last prepared by the strata company; or</w:t>
      </w:r>
    </w:p>
    <w:p>
      <w:pPr>
        <w:pStyle w:val="nzIndentI0"/>
      </w:pPr>
      <w:r>
        <w:tab/>
        <w:t>(II)</w:t>
      </w:r>
      <w:r>
        <w:tab/>
        <w:t>a statement that the strata company does not prepare a statement of accounts; or</w:t>
      </w:r>
    </w:p>
    <w:p>
      <w:pPr>
        <w:pStyle w:val="nzIndentI0"/>
      </w:pPr>
      <w:r>
        <w:tab/>
        <w:t>(III)</w:t>
      </w:r>
      <w:r>
        <w:tab/>
        <w:t>a statement of why the seller has been unable to obtain a statement of accounts;</w:t>
      </w:r>
    </w:p>
    <w:p>
      <w:pPr>
        <w:pStyle w:val="nzIndenti"/>
      </w:pPr>
      <w:r>
        <w:tab/>
        <w:t>(vii)</w:t>
      </w:r>
      <w:r>
        <w:tab/>
        <w:t>a copy of any notice received by the seller from the strata company in relation to any current termination proposal for the strata titles scheme;</w:t>
      </w:r>
    </w:p>
    <w:p>
      <w:pPr>
        <w:pStyle w:val="nzIndenta"/>
      </w:pPr>
      <w:r>
        <w:tab/>
        <w:t>(c)</w:t>
      </w:r>
      <w:r>
        <w:tab/>
        <w:t>the following information relating to the lot —</w:t>
      </w:r>
    </w:p>
    <w:p>
      <w:pPr>
        <w:pStyle w:val="nzIndenti"/>
      </w:pPr>
      <w:r>
        <w:tab/>
        <w:t>(i)</w:t>
      </w:r>
      <w:r>
        <w:tab/>
        <w:t>its exact location shown on the scheme plan for the strata titles scheme;</w:t>
      </w:r>
    </w:p>
    <w:p>
      <w:pPr>
        <w:pStyle w:val="nzIndenti"/>
      </w:pPr>
      <w:r>
        <w:tab/>
        <w:t>(ii)</w:t>
      </w:r>
      <w:r>
        <w:tab/>
        <w:t>its definition, as contained in the scheme plan for the strata titles scheme;</w:t>
      </w:r>
    </w:p>
    <w:p>
      <w:pPr>
        <w:pStyle w:val="nzIndenti"/>
      </w:pPr>
      <w:r>
        <w:tab/>
        <w:t>(iii)</w:t>
      </w:r>
      <w:r>
        <w:tab/>
        <w:t>the unit entitlement of the lot (and the sum of the unit entitlements of all of the lots in the scheme);</w:t>
      </w:r>
    </w:p>
    <w:p>
      <w:pPr>
        <w:pStyle w:val="nzIndenti"/>
      </w:pPr>
      <w:r>
        <w:tab/>
        <w:t>(iv)</w:t>
      </w:r>
      <w:r>
        <w:tab/>
        <w:t>if contributions have been determined by the strata company within the previous 12 months, the amount and due date of the contributions payable by the lot owner;</w:t>
      </w:r>
    </w:p>
    <w:p>
      <w:pPr>
        <w:pStyle w:val="nzIndenti"/>
      </w:pPr>
      <w:r>
        <w:tab/>
        <w:t>(v)</w:t>
      </w:r>
      <w:r>
        <w:tab/>
        <w:t>if contributions have not been so determined, a reasonable estimate of the amount of the contributions likely to be payable for the 12 months following the proposed settlement date;</w:t>
      </w:r>
    </w:p>
    <w:p>
      <w:pPr>
        <w:pStyle w:val="nzIndenti"/>
      </w:pPr>
      <w:r>
        <w:tab/>
        <w:t>(vi)</w:t>
      </w:r>
      <w:r>
        <w:tab/>
        <w:t>details of any debt owed by the owner of the lot to the strata company, including how the debt arose, the date on which it arose and the amount outstanding;</w:t>
      </w:r>
    </w:p>
    <w:p>
      <w:pPr>
        <w:pStyle w:val="nzIndenti"/>
      </w:pPr>
      <w:r>
        <w:tab/>
        <w:t>(vii)</w:t>
      </w:r>
      <w:r>
        <w:tab/>
        <w:t>if the lot is a special lot, details of the exclusive use by</w:t>
      </w:r>
      <w:r>
        <w:noBreakHyphen/>
        <w:t>laws that apply to the lot;</w:t>
      </w:r>
    </w:p>
    <w:p>
      <w:pPr>
        <w:pStyle w:val="nzIndenta"/>
      </w:pPr>
      <w:r>
        <w:tab/>
        <w:t>(d)</w:t>
      </w:r>
      <w:r>
        <w:tab/>
        <w:t>any other information required by the regulations.</w:t>
      </w:r>
    </w:p>
    <w:p>
      <w:pPr>
        <w:pStyle w:val="nzSubsection"/>
      </w:pPr>
      <w:r>
        <w:tab/>
        <w:t>(2)</w:t>
      </w:r>
      <w:r>
        <w:tab/>
        <w:t>If the lot has not yet been created, a reference in subsection (1) —</w:t>
      </w:r>
    </w:p>
    <w:p>
      <w:pPr>
        <w:pStyle w:val="nzIndenta"/>
      </w:pPr>
      <w:r>
        <w:tab/>
        <w:t>(a)</w:t>
      </w:r>
      <w:r>
        <w:tab/>
        <w:t>to a scheme document is to be read as a reference to the latest version of the draft scheme document or amendment of a scheme document as relevant to the lot as proposed to be created; and</w:t>
      </w:r>
    </w:p>
    <w:p>
      <w:pPr>
        <w:pStyle w:val="nzIndenta"/>
      </w:pPr>
      <w:r>
        <w:tab/>
        <w:t>(b)</w:t>
      </w:r>
      <w:r>
        <w:tab/>
        <w:t>to a unit entitlement of the lot or amount is to be read as a reference to a reasonable estimate of that unit entitlement or amount; and</w:t>
      </w:r>
    </w:p>
    <w:p>
      <w:pPr>
        <w:pStyle w:val="nzIndenta"/>
      </w:pPr>
      <w:r>
        <w:tab/>
        <w:t>(c)</w:t>
      </w:r>
      <w:r>
        <w:tab/>
        <w:t>to any other matter (such as contributions payable) is to be read as a reference to a reasonable expectation about the matter as relevant to the lot as proposed to be created.</w:t>
      </w:r>
    </w:p>
    <w:p>
      <w:pPr>
        <w:pStyle w:val="nzSubsection"/>
      </w:pPr>
      <w:r>
        <w:tab/>
        <w:t>(3)</w:t>
      </w:r>
      <w:r>
        <w:tab/>
        <w:t>Subsection (4) applies if —</w:t>
      </w:r>
    </w:p>
    <w:p>
      <w:pPr>
        <w:pStyle w:val="nzIndenta"/>
      </w:pPr>
      <w:r>
        <w:tab/>
        <w:t>(a)</w:t>
      </w:r>
      <w:r>
        <w:tab/>
        <w:t>the strata titles scheme has not been registered; or</w:t>
      </w:r>
    </w:p>
    <w:p>
      <w:pPr>
        <w:pStyle w:val="nzIndenta"/>
      </w:pPr>
      <w:r>
        <w:tab/>
        <w:t>(b)</w:t>
      </w:r>
      <w:r>
        <w:tab/>
        <w:t>the first annual general meeting of the strata company has not been held; or</w:t>
      </w:r>
    </w:p>
    <w:p>
      <w:pPr>
        <w:pStyle w:val="nzIndenta"/>
      </w:pPr>
      <w:r>
        <w:tab/>
        <w:t>(c)</w:t>
      </w:r>
      <w:r>
        <w:tab/>
        <w:t>the scheme developer owns 50% or more of the lots in the strata titles scheme or lots with an aggregate unit entitlement of 50% or more of the sum of the unit entitlements of all the lots in the scheme.</w:t>
      </w:r>
    </w:p>
    <w:p>
      <w:pPr>
        <w:pStyle w:val="nzSubsection"/>
      </w:pPr>
      <w:r>
        <w:tab/>
        <w:t>(4)</w:t>
      </w:r>
      <w:r>
        <w:tab/>
        <w:t>Before a buyer signs a contract for the sale and purchase of a lot in circumstances in which this subsection applies, if the scheme developer is the seller of the lot, the seller must also give the buyer —</w:t>
      </w:r>
    </w:p>
    <w:p>
      <w:pPr>
        <w:pStyle w:val="nzIndenta"/>
      </w:pPr>
      <w:r>
        <w:tab/>
        <w:t>(a)</w:t>
      </w:r>
      <w:r>
        <w:tab/>
        <w:t>a statement of the estimated income and expenditure of the strata company for the 12 months after the proposed settlement date; and</w:t>
      </w:r>
    </w:p>
    <w:p>
      <w:pPr>
        <w:pStyle w:val="nzIndenta"/>
      </w:pPr>
      <w:r>
        <w:tab/>
        <w:t>(b)</w:t>
      </w:r>
      <w:r>
        <w:tab/>
        <w:t>details of any disclosure that the scheme developer is required to make under section 79; and</w:t>
      </w:r>
    </w:p>
    <w:p>
      <w:pPr>
        <w:pStyle w:val="nz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nzIndenti"/>
        <w:rPr>
          <w:snapToGrid w:val="0"/>
        </w:rPr>
      </w:pPr>
      <w:r>
        <w:rPr>
          <w:snapToGrid w:val="0"/>
        </w:rPr>
        <w:tab/>
        <w:t>(i)</w:t>
      </w:r>
      <w:r>
        <w:rPr>
          <w:snapToGrid w:val="0"/>
        </w:rPr>
        <w:tab/>
        <w:t>its terms and conditions; and</w:t>
      </w:r>
    </w:p>
    <w:p>
      <w:pPr>
        <w:pStyle w:val="nzIndenti"/>
        <w:rPr>
          <w:snapToGrid w:val="0"/>
        </w:rPr>
      </w:pPr>
      <w:r>
        <w:rPr>
          <w:snapToGrid w:val="0"/>
        </w:rPr>
        <w:tab/>
        <w:t>(ii)</w:t>
      </w:r>
      <w:r>
        <w:rPr>
          <w:snapToGrid w:val="0"/>
        </w:rPr>
        <w:tab/>
        <w:t>the consideration and the estimated costs to the members of the strata company;</w:t>
      </w:r>
    </w:p>
    <w:p>
      <w:pPr>
        <w:pStyle w:val="nzIndenta"/>
        <w:rPr>
          <w:snapToGrid w:val="0"/>
        </w:rPr>
      </w:pPr>
      <w:r>
        <w:rPr>
          <w:snapToGrid w:val="0"/>
        </w:rPr>
        <w:tab/>
      </w:r>
      <w:r>
        <w:rPr>
          <w:snapToGrid w:val="0"/>
        </w:rPr>
        <w:tab/>
        <w:t>and</w:t>
      </w:r>
    </w:p>
    <w:p>
      <w:pPr>
        <w:pStyle w:val="nz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nzSubsection"/>
        <w:rPr>
          <w:snapToGrid w:val="0"/>
        </w:rPr>
      </w:pPr>
      <w:r>
        <w:tab/>
        <w:t>(5)</w:t>
      </w:r>
      <w:r>
        <w:tab/>
        <w:t>The seller must comply with this section either —</w:t>
      </w:r>
    </w:p>
    <w:p>
      <w:pPr>
        <w:pStyle w:val="nzIndenta"/>
      </w:pPr>
      <w:r>
        <w:tab/>
        <w:t>(a)</w:t>
      </w:r>
      <w:r>
        <w:tab/>
        <w:t>by giving the buyer a notice in the approved form; or</w:t>
      </w:r>
    </w:p>
    <w:p>
      <w:pPr>
        <w:pStyle w:val="nzIndenta"/>
      </w:pPr>
      <w:r>
        <w:tab/>
        <w:t>(b)</w:t>
      </w:r>
      <w:r>
        <w:tab/>
        <w:t>by including the information and statements in the contract to be signed by the buyer in the manner set out in the regulations.</w:t>
      </w:r>
    </w:p>
    <w:p>
      <w:pPr>
        <w:pStyle w:val="nz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nzHeading5"/>
      </w:pPr>
      <w:bookmarkStart w:id="1583" w:name="_Toc530474515"/>
      <w:bookmarkStart w:id="1584" w:name="_Toc530475110"/>
      <w:r>
        <w:t>157.</w:t>
      </w:r>
      <w:r>
        <w:tab/>
        <w:t>Information to be given after contract</w:t>
      </w:r>
      <w:bookmarkEnd w:id="1583"/>
      <w:bookmarkEnd w:id="1584"/>
    </w:p>
    <w:p>
      <w:pPr>
        <w:pStyle w:val="nz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nz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nzSubsection"/>
      </w:pPr>
      <w:r>
        <w:tab/>
        <w:t>(3)</w:t>
      </w:r>
      <w:r>
        <w:tab/>
        <w:t>The seller must comply with subsection (1) —</w:t>
      </w:r>
    </w:p>
    <w:p>
      <w:pPr>
        <w:pStyle w:val="nzIndenta"/>
      </w:pPr>
      <w:r>
        <w:tab/>
        <w:t>(a)</w:t>
      </w:r>
      <w:r>
        <w:tab/>
        <w:t>if the seller becomes aware of the notifiable variation less than 15 working days before the settlement date for the contract — as soon as practicable; and</w:t>
      </w:r>
    </w:p>
    <w:p>
      <w:pPr>
        <w:pStyle w:val="nzIndenta"/>
      </w:pPr>
      <w:r>
        <w:tab/>
        <w:t>(b)</w:t>
      </w:r>
      <w:r>
        <w:tab/>
        <w:t>in any other case — not later than 10 working days after the seller becomes aware of the notifiable variation.</w:t>
      </w:r>
    </w:p>
    <w:p>
      <w:pPr>
        <w:pStyle w:val="nzSubsection"/>
        <w:rPr>
          <w:snapToGrid w:val="0"/>
        </w:rPr>
      </w:pPr>
      <w:r>
        <w:tab/>
        <w:t>(4)</w:t>
      </w:r>
      <w:r>
        <w:tab/>
      </w:r>
      <w:r>
        <w:rPr>
          <w:snapToGrid w:val="0"/>
        </w:rPr>
        <w:t>Subsection (1) does not apply if —</w:t>
      </w:r>
    </w:p>
    <w:p>
      <w:pPr>
        <w:pStyle w:val="nzIndenta"/>
      </w:pPr>
      <w:r>
        <w:tab/>
        <w:t>(a)</w:t>
      </w:r>
      <w:r>
        <w:tab/>
        <w:t>the seller has in the contract informed the buyer of any proposed action or matter that would be a notifiable variation; and</w:t>
      </w:r>
    </w:p>
    <w:p>
      <w:pPr>
        <w:pStyle w:val="nzIndenta"/>
      </w:pPr>
      <w:r>
        <w:tab/>
        <w:t>(b)</w:t>
      </w:r>
      <w:r>
        <w:tab/>
        <w:t>the action or matter when completed does not differ from that described in the contract; and</w:t>
      </w:r>
    </w:p>
    <w:p>
      <w:pPr>
        <w:pStyle w:val="nz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nzSubsection"/>
        <w:rPr>
          <w:snapToGrid w:val="0"/>
        </w:rPr>
      </w:pPr>
      <w:r>
        <w:tab/>
        <w:t>(5)</w:t>
      </w:r>
      <w:r>
        <w:tab/>
      </w:r>
      <w:r>
        <w:rPr>
          <w:snapToGrid w:val="0"/>
        </w:rPr>
        <w:t>For subsection (4)(c), the time required for notice of completion is —</w:t>
      </w:r>
    </w:p>
    <w:p>
      <w:pPr>
        <w:pStyle w:val="nzIndenta"/>
      </w:pPr>
      <w:r>
        <w:tab/>
        <w:t>(a)</w:t>
      </w:r>
      <w:r>
        <w:tab/>
        <w:t>if the seller becomes aware of the completion of the action or matter less than 15 working days before the settlement date for the contract — as soon as practicable; and</w:t>
      </w:r>
    </w:p>
    <w:p>
      <w:pPr>
        <w:pStyle w:val="nzIndenta"/>
      </w:pPr>
      <w:r>
        <w:tab/>
        <w:t>(b)</w:t>
      </w:r>
      <w:r>
        <w:tab/>
        <w:t>in any other case — not later than 10 working days after the seller becomes aware of completion of the action or matter.</w:t>
      </w:r>
    </w:p>
    <w:p>
      <w:pPr>
        <w:pStyle w:val="nz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nzHeading5"/>
      </w:pPr>
      <w:bookmarkStart w:id="1585" w:name="_Toc530474516"/>
      <w:bookmarkStart w:id="1586" w:name="_Toc530475111"/>
      <w:r>
        <w:t>158.</w:t>
      </w:r>
      <w:r>
        <w:tab/>
        <w:t>Delay in settlement for failure to give information</w:t>
      </w:r>
      <w:bookmarkEnd w:id="1585"/>
      <w:bookmarkEnd w:id="1586"/>
    </w:p>
    <w:p>
      <w:pPr>
        <w:pStyle w:val="nzSubsection"/>
      </w:pPr>
      <w:r>
        <w:tab/>
        <w:t>(1)</w:t>
      </w:r>
      <w:r>
        <w:tab/>
        <w:t>A buyer may, by written notice to the seller, postpone the settlement date for a contract for the sale and purchase of a lot if the seller has not complied with section 156 or 157.</w:t>
      </w:r>
    </w:p>
    <w:p>
      <w:pPr>
        <w:pStyle w:val="nz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nzHeading5"/>
      </w:pPr>
      <w:bookmarkStart w:id="1587" w:name="_Toc530474517"/>
      <w:bookmarkStart w:id="1588" w:name="_Toc530475112"/>
      <w:r>
        <w:t>159.</w:t>
      </w:r>
      <w:r>
        <w:tab/>
        <w:t>Avoidance of contract for failure to give information</w:t>
      </w:r>
      <w:bookmarkEnd w:id="1587"/>
      <w:bookmarkEnd w:id="1588"/>
    </w:p>
    <w:p>
      <w:pPr>
        <w:pStyle w:val="nzSubsection"/>
      </w:pPr>
      <w:r>
        <w:tab/>
        <w:t>(1)</w:t>
      </w:r>
      <w:r>
        <w:tab/>
        <w:t>A buyer may avoid a contract for the sale and purchase of a lot at any time before the settlement date for the contract —</w:t>
      </w:r>
    </w:p>
    <w:p>
      <w:pPr>
        <w:pStyle w:val="nzIndenta"/>
      </w:pPr>
      <w:r>
        <w:tab/>
        <w:t>(a)</w:t>
      </w:r>
      <w:r>
        <w:tab/>
        <w:t>if the seller has not complied with section 156; and</w:t>
      </w:r>
    </w:p>
    <w:p>
      <w:pPr>
        <w:pStyle w:val="nzIndenta"/>
      </w:pPr>
      <w:r>
        <w:tab/>
        <w:t>(b)</w:t>
      </w:r>
      <w:r>
        <w:tab/>
        <w:t>if the seller were now to comply with that section, the buyer would receive information or a document that would disclose material prejudice to the buyer (proof of which lies on the buyer).</w:t>
      </w:r>
    </w:p>
    <w:p>
      <w:pPr>
        <w:pStyle w:val="nz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nzHeading5"/>
      </w:pPr>
      <w:bookmarkStart w:id="1589" w:name="_Toc530474518"/>
      <w:bookmarkStart w:id="1590" w:name="_Toc530475113"/>
      <w:r>
        <w:t>160.</w:t>
      </w:r>
      <w:r>
        <w:tab/>
        <w:t>Avoidance of contract on notification of variation for material prejudice</w:t>
      </w:r>
      <w:bookmarkEnd w:id="1589"/>
      <w:bookmarkEnd w:id="1590"/>
    </w:p>
    <w:p>
      <w:pPr>
        <w:pStyle w:val="nzSubsection"/>
      </w:pPr>
      <w:r>
        <w:tab/>
      </w:r>
      <w:r>
        <w:tab/>
        <w:t>A buyer may avoid a contract for the sale and purchase of a lot at any time within 15 working days after the seller gives the buyer a notice under section 157(1) if —</w:t>
      </w:r>
    </w:p>
    <w:p>
      <w:pPr>
        <w:pStyle w:val="nzIndenta"/>
      </w:pPr>
      <w:r>
        <w:tab/>
        <w:t>(a)</w:t>
      </w:r>
      <w:r>
        <w:tab/>
        <w:t>the notifiable variation is not one to which section 157(4) applies; and</w:t>
      </w:r>
    </w:p>
    <w:p>
      <w:pPr>
        <w:pStyle w:val="nzIndenta"/>
      </w:pPr>
      <w:r>
        <w:tab/>
        <w:t>(b)</w:t>
      </w:r>
      <w:r>
        <w:tab/>
        <w:t>the buyer is materially prejudiced by the information or document disclosed (proof of which lies on the buyer).</w:t>
      </w:r>
    </w:p>
    <w:p>
      <w:pPr>
        <w:pStyle w:val="nzHeading5"/>
      </w:pPr>
      <w:bookmarkStart w:id="1591" w:name="_Toc530474519"/>
      <w:bookmarkStart w:id="1592" w:name="_Toc530475114"/>
      <w:r>
        <w:t>161.</w:t>
      </w:r>
      <w:r>
        <w:tab/>
        <w:t>Avoidance of contract for failure to disclose type 1 notifiable variation</w:t>
      </w:r>
      <w:bookmarkEnd w:id="1591"/>
      <w:bookmarkEnd w:id="1592"/>
    </w:p>
    <w:p>
      <w:pPr>
        <w:pStyle w:val="nzSubsection"/>
      </w:pPr>
      <w:r>
        <w:tab/>
        <w:t>(1)</w:t>
      </w:r>
      <w:r>
        <w:tab/>
        <w:t>A buyer may avoid a contract for the sale and purchase of a lot at any time before the settlement date for the contract if —</w:t>
      </w:r>
    </w:p>
    <w:p>
      <w:pPr>
        <w:pStyle w:val="nzIndenta"/>
      </w:pPr>
      <w:r>
        <w:tab/>
        <w:t>(a)</w:t>
      </w:r>
      <w:r>
        <w:tab/>
        <w:t>a type 1 notifiable variation occurs in relation to the contract; and</w:t>
      </w:r>
    </w:p>
    <w:p>
      <w:pPr>
        <w:pStyle w:val="nzIndenta"/>
      </w:pPr>
      <w:r>
        <w:tab/>
        <w:t>(b)</w:t>
      </w:r>
      <w:r>
        <w:tab/>
        <w:t>the seller does not substantially comply with the requirement under section 157 to give notice of the variation to the buyer within the required time.</w:t>
      </w:r>
    </w:p>
    <w:p>
      <w:pPr>
        <w:pStyle w:val="nz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nzHeading5"/>
      </w:pPr>
      <w:bookmarkStart w:id="1593" w:name="_Toc530474520"/>
      <w:bookmarkStart w:id="1594" w:name="_Toc530475115"/>
      <w:r>
        <w:t>162.</w:t>
      </w:r>
      <w:r>
        <w:tab/>
        <w:t>Avoidance of contract for failure to disclose type 2 notifiable variation</w:t>
      </w:r>
      <w:bookmarkEnd w:id="1593"/>
      <w:bookmarkEnd w:id="1594"/>
    </w:p>
    <w:p>
      <w:pPr>
        <w:pStyle w:val="nzSubsection"/>
      </w:pPr>
      <w:r>
        <w:tab/>
        <w:t>(1)</w:t>
      </w:r>
      <w:r>
        <w:tab/>
        <w:t>A buyer may avoid a contract for the sale and purchase of a lot at any time before the settlement date for the contract —</w:t>
      </w:r>
    </w:p>
    <w:p>
      <w:pPr>
        <w:pStyle w:val="nzIndenta"/>
      </w:pPr>
      <w:r>
        <w:tab/>
        <w:t>(a)</w:t>
      </w:r>
      <w:r>
        <w:tab/>
        <w:t>if —</w:t>
      </w:r>
    </w:p>
    <w:p>
      <w:pPr>
        <w:pStyle w:val="nzIndenti"/>
        <w:rPr>
          <w:snapToGrid w:val="0"/>
        </w:rPr>
      </w:pPr>
      <w:r>
        <w:rPr>
          <w:snapToGrid w:val="0"/>
        </w:rPr>
        <w:tab/>
        <w:t>(i)</w:t>
      </w:r>
      <w:r>
        <w:rPr>
          <w:snapToGrid w:val="0"/>
        </w:rPr>
        <w:tab/>
        <w:t>a type 2 notifiable variation occurs in relation to the contract; and</w:t>
      </w:r>
    </w:p>
    <w:p>
      <w:pPr>
        <w:pStyle w:val="nz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nzIndenta"/>
      </w:pPr>
      <w:r>
        <w:tab/>
      </w:r>
      <w:r>
        <w:tab/>
        <w:t>and</w:t>
      </w:r>
    </w:p>
    <w:p>
      <w:pPr>
        <w:pStyle w:val="nzIndenta"/>
      </w:pPr>
      <w:r>
        <w:tab/>
        <w:t>(b)</w:t>
      </w:r>
      <w:r>
        <w:tab/>
        <w:t>if the seller were now to comply with that section, the buyer would receive information or a document that would disclose material prejudice to the buyer (proof of which lies on the buyer).</w:t>
      </w:r>
    </w:p>
    <w:p>
      <w:pPr>
        <w:pStyle w:val="nz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nzHeading5"/>
        <w:rPr>
          <w:snapToGrid w:val="0"/>
        </w:rPr>
      </w:pPr>
      <w:bookmarkStart w:id="1595" w:name="_Toc530474521"/>
      <w:bookmarkStart w:id="1596" w:name="_Toc530475116"/>
      <w:r>
        <w:t>163.</w:t>
      </w:r>
      <w:r>
        <w:tab/>
      </w:r>
      <w:r>
        <w:rPr>
          <w:snapToGrid w:val="0"/>
        </w:rPr>
        <w:t>Proposed lot contract</w:t>
      </w:r>
      <w:bookmarkEnd w:id="1595"/>
      <w:bookmarkEnd w:id="1596"/>
    </w:p>
    <w:p>
      <w:pPr>
        <w:pStyle w:val="nzSubsection"/>
      </w:pPr>
      <w:r>
        <w:tab/>
        <w:t>(1)</w:t>
      </w:r>
      <w:r>
        <w:tab/>
        <w:t>This section applies to a contract for the sale and purchase of a lot in a strata titles scheme entered into before the lot is created on registration of the scheme or an amendment of the scheme.</w:t>
      </w:r>
    </w:p>
    <w:p>
      <w:pPr>
        <w:pStyle w:val="nzSubsection"/>
      </w:pPr>
      <w:r>
        <w:tab/>
        <w:t>(2)</w:t>
      </w:r>
      <w:r>
        <w:tab/>
        <w:t>A contract to which this section applies must —</w:t>
      </w:r>
    </w:p>
    <w:p>
      <w:pPr>
        <w:pStyle w:val="nzIndenta"/>
      </w:pPr>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p>
    <w:p>
      <w:pPr>
        <w:pStyle w:val="nzIndenta"/>
      </w:pPr>
      <w:r>
        <w:tab/>
        <w:t>(b)</w:t>
      </w:r>
      <w:r>
        <w:tab/>
        <w:t>specify the practitioner or agent to whom payment is to be made by the buyer and how the payment may be made.</w:t>
      </w:r>
    </w:p>
    <w:p>
      <w:pPr>
        <w:pStyle w:val="nz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nzIndenta"/>
      </w:pPr>
      <w:r>
        <w:tab/>
        <w:t>(a)</w:t>
      </w:r>
      <w:r>
        <w:tab/>
        <w:t>the contract does not comply with subsection (2); or</w:t>
      </w:r>
    </w:p>
    <w:p>
      <w:pPr>
        <w:pStyle w:val="nzIndenta"/>
      </w:pPr>
      <w:r>
        <w:tab/>
        <w:t>(b)</w:t>
      </w:r>
      <w:r>
        <w:tab/>
        <w:t>the scheme or amendment is not registered —</w:t>
      </w:r>
    </w:p>
    <w:p>
      <w:pPr>
        <w:pStyle w:val="nzIndenti"/>
      </w:pPr>
      <w:r>
        <w:tab/>
        <w:t>(i)</w:t>
      </w:r>
      <w:r>
        <w:tab/>
        <w:t>within a period after the date of the contract agreed in writing by the buyer and seller; or</w:t>
      </w:r>
    </w:p>
    <w:p>
      <w:pPr>
        <w:pStyle w:val="nzIndenti"/>
      </w:pPr>
      <w:r>
        <w:tab/>
        <w:t>(ii)</w:t>
      </w:r>
      <w:r>
        <w:tab/>
        <w:t>in the absence of such an agreement, within 6 months after that date.</w:t>
      </w:r>
    </w:p>
    <w:p>
      <w:pPr>
        <w:pStyle w:val="nzSubsection"/>
        <w:rPr>
          <w:snapToGrid w:val="0"/>
        </w:rPr>
      </w:pPr>
      <w:r>
        <w:tab/>
        <w:t>(4)</w:t>
      </w:r>
      <w:r>
        <w:tab/>
      </w:r>
      <w:r>
        <w:rPr>
          <w:snapToGrid w:val="0"/>
        </w:rPr>
        <w:t>In this section —</w:t>
      </w:r>
    </w:p>
    <w:p>
      <w:pPr>
        <w:pStyle w:val="nzDefstart"/>
      </w:pPr>
      <w:r>
        <w:rPr>
          <w:b/>
        </w:rPr>
        <w:tab/>
      </w:r>
      <w:r>
        <w:rPr>
          <w:rStyle w:val="CharDefText"/>
        </w:rPr>
        <w:t>date of the contract</w:t>
      </w:r>
      <w:r>
        <w:t xml:space="preserve"> means the day on which the contract was signed or, if the parties signed it on different days, the last of those days;</w:t>
      </w:r>
    </w:p>
    <w:p>
      <w:pPr>
        <w:pStyle w:val="nz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nzDefstart"/>
      </w:pPr>
      <w:r>
        <w:rPr>
          <w:b/>
        </w:rPr>
        <w:tab/>
      </w:r>
      <w:r>
        <w:rPr>
          <w:rStyle w:val="CharDefText"/>
        </w:rPr>
        <w:t>settlement agent</w:t>
      </w:r>
      <w:r>
        <w:t xml:space="preserve"> means a person licensed as a settlement agent under the </w:t>
      </w:r>
      <w:r>
        <w:rPr>
          <w:i/>
        </w:rPr>
        <w:t>Settlement Agents Act 1981</w:t>
      </w:r>
      <w:r>
        <w:t>.</w:t>
      </w:r>
    </w:p>
    <w:p>
      <w:pPr>
        <w:pStyle w:val="nzHeading5"/>
      </w:pPr>
      <w:bookmarkStart w:id="1597" w:name="_Toc530474522"/>
      <w:bookmarkStart w:id="1598" w:name="_Toc530475117"/>
      <w:r>
        <w:t>164.</w:t>
      </w:r>
      <w:r>
        <w:tab/>
        <w:t>Avoidance of contract — manner and effect</w:t>
      </w:r>
      <w:bookmarkEnd w:id="1597"/>
      <w:bookmarkEnd w:id="1598"/>
    </w:p>
    <w:p>
      <w:pPr>
        <w:pStyle w:val="nzSubsection"/>
      </w:pPr>
      <w:r>
        <w:tab/>
        <w:t>(1)</w:t>
      </w:r>
      <w:r>
        <w:tab/>
        <w:t>A notice of avoidance of a contract for the sale and purchase of a lot must —</w:t>
      </w:r>
    </w:p>
    <w:p>
      <w:pPr>
        <w:pStyle w:val="nzIndenta"/>
      </w:pPr>
      <w:r>
        <w:tab/>
        <w:t>(a)</w:t>
      </w:r>
      <w:r>
        <w:tab/>
        <w:t>be given by the buyer to the seller in writing; and</w:t>
      </w:r>
    </w:p>
    <w:p>
      <w:pPr>
        <w:pStyle w:val="nzIndenta"/>
      </w:pPr>
      <w:r>
        <w:tab/>
        <w:t>(b)</w:t>
      </w:r>
      <w:r>
        <w:tab/>
        <w:t>specify the grounds on which the contract is avoided, including details of the material prejudice to the buyer if required as grounds for avoidance.</w:t>
      </w:r>
    </w:p>
    <w:p>
      <w:pPr>
        <w:pStyle w:val="nzSubsection"/>
        <w:rPr>
          <w:snapToGrid w:val="0"/>
        </w:rPr>
      </w:pPr>
      <w:r>
        <w:tab/>
        <w:t>(2)</w:t>
      </w:r>
      <w:r>
        <w:tab/>
      </w:r>
      <w:r>
        <w:rPr>
          <w:snapToGrid w:val="0"/>
        </w:rPr>
        <w:t>On the avoidance under this Part of a contract for the sale and purchase of a lot —</w:t>
      </w:r>
    </w:p>
    <w:p>
      <w:pPr>
        <w:pStyle w:val="nzIndenta"/>
      </w:pPr>
      <w:r>
        <w:tab/>
        <w:t>(a)</w:t>
      </w:r>
      <w:r>
        <w:tab/>
        <w:t>the buyer may recover from the seller as a debt all money paid by the buyer under the contract; and</w:t>
      </w:r>
    </w:p>
    <w:p>
      <w:pPr>
        <w:pStyle w:val="nz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nzHeading5"/>
      </w:pPr>
      <w:bookmarkStart w:id="1599" w:name="_Toc530474523"/>
      <w:bookmarkStart w:id="1600" w:name="_Toc530475118"/>
      <w:r>
        <w:t>165.</w:t>
      </w:r>
      <w:r>
        <w:tab/>
        <w:t>Contracting out prohibited</w:t>
      </w:r>
      <w:bookmarkEnd w:id="1599"/>
      <w:bookmarkEnd w:id="1600"/>
    </w:p>
    <w:p>
      <w:pPr>
        <w:pStyle w:val="nzSubsection"/>
      </w:pPr>
      <w:r>
        <w:tab/>
        <w:t>(1)</w:t>
      </w:r>
      <w:r>
        <w:tab/>
        <w:t>A contract or arrangement is of no effect to the extent that it purports to exclude or restrict the operation of this Part.</w:t>
      </w:r>
    </w:p>
    <w:p>
      <w:pPr>
        <w:pStyle w:val="nzSubsection"/>
      </w:pPr>
      <w:r>
        <w:tab/>
        <w:t>(2)</w:t>
      </w:r>
      <w:r>
        <w:tab/>
        <w:t>No penalty is payable by a buyer under a contract or arrangement for exercising a right under this Part.</w:t>
      </w:r>
    </w:p>
    <w:p>
      <w:pPr>
        <w:pStyle w:val="nzSubsection"/>
      </w:pPr>
      <w:r>
        <w:tab/>
        <w:t>(3)</w:t>
      </w:r>
      <w:r>
        <w:tab/>
        <w:t>A purported waiver of a right, remedy or benefit conferred on a buyer by this Part is of no effect.</w:t>
      </w:r>
    </w:p>
    <w:p>
      <w:pPr>
        <w:pStyle w:val="nzHeading2"/>
      </w:pPr>
      <w:bookmarkStart w:id="1601" w:name="_Toc517437726"/>
      <w:bookmarkStart w:id="1602" w:name="_Toc517438268"/>
      <w:bookmarkStart w:id="1603" w:name="_Toc517440605"/>
      <w:bookmarkStart w:id="1604" w:name="_Toc517447642"/>
      <w:bookmarkStart w:id="1605" w:name="_Toc517450120"/>
      <w:bookmarkStart w:id="1606" w:name="_Toc517450662"/>
      <w:bookmarkStart w:id="1607" w:name="_Toc517857118"/>
      <w:bookmarkStart w:id="1608" w:name="_Toc518293245"/>
      <w:bookmarkStart w:id="1609" w:name="_Toc522744473"/>
      <w:bookmarkStart w:id="1610" w:name="_Toc522747596"/>
      <w:bookmarkStart w:id="1611" w:name="_Toc529183433"/>
      <w:bookmarkStart w:id="1612" w:name="_Toc529188196"/>
      <w:bookmarkStart w:id="1613" w:name="_Toc529434709"/>
      <w:bookmarkStart w:id="1614" w:name="_Toc529524600"/>
      <w:bookmarkStart w:id="1615" w:name="_Toc530474524"/>
      <w:bookmarkStart w:id="1616" w:name="_Toc530475119"/>
      <w:r>
        <w:t>Part 11</w:t>
      </w:r>
      <w:r>
        <w:rPr>
          <w:b w:val="0"/>
        </w:rPr>
        <w:t> </w:t>
      </w:r>
      <w:r>
        <w:t>—</w:t>
      </w:r>
      <w:r>
        <w:rPr>
          <w:b w:val="0"/>
        </w:rPr>
        <w:t> </w:t>
      </w:r>
      <w:r>
        <w:t>Variation of strata titles scheme by Tribunal</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nzHeading3"/>
      </w:pPr>
      <w:bookmarkStart w:id="1617" w:name="_Toc517437727"/>
      <w:bookmarkStart w:id="1618" w:name="_Toc517438269"/>
      <w:bookmarkStart w:id="1619" w:name="_Toc517440606"/>
      <w:bookmarkStart w:id="1620" w:name="_Toc517447643"/>
      <w:bookmarkStart w:id="1621" w:name="_Toc517450121"/>
      <w:bookmarkStart w:id="1622" w:name="_Toc517450663"/>
      <w:bookmarkStart w:id="1623" w:name="_Toc517857119"/>
      <w:bookmarkStart w:id="1624" w:name="_Toc518293246"/>
      <w:bookmarkStart w:id="1625" w:name="_Toc522744474"/>
      <w:bookmarkStart w:id="1626" w:name="_Toc522747597"/>
      <w:bookmarkStart w:id="1627" w:name="_Toc529183434"/>
      <w:bookmarkStart w:id="1628" w:name="_Toc529188197"/>
      <w:bookmarkStart w:id="1629" w:name="_Toc529434710"/>
      <w:bookmarkStart w:id="1630" w:name="_Toc529524601"/>
      <w:bookmarkStart w:id="1631" w:name="_Toc530474525"/>
      <w:bookmarkStart w:id="1632" w:name="_Toc530475120"/>
      <w:r>
        <w:t>Division 1 — On damage or destruction</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nzHeading3"/>
      </w:pPr>
      <w:bookmarkStart w:id="1633" w:name="_Toc517437728"/>
      <w:bookmarkStart w:id="1634" w:name="_Toc517438270"/>
      <w:bookmarkStart w:id="1635" w:name="_Toc517440607"/>
      <w:bookmarkStart w:id="1636" w:name="_Toc517447644"/>
      <w:bookmarkStart w:id="1637" w:name="_Toc517450122"/>
      <w:bookmarkStart w:id="1638" w:name="_Toc517450664"/>
      <w:bookmarkStart w:id="1639" w:name="_Toc517857120"/>
      <w:bookmarkStart w:id="1640" w:name="_Toc518293247"/>
      <w:bookmarkStart w:id="1641" w:name="_Toc522744475"/>
      <w:bookmarkStart w:id="1642" w:name="_Toc522747598"/>
      <w:bookmarkStart w:id="1643" w:name="_Toc529183435"/>
      <w:bookmarkStart w:id="1644" w:name="_Toc529188198"/>
      <w:bookmarkStart w:id="1645" w:name="_Toc529434711"/>
      <w:bookmarkStart w:id="1646" w:name="_Toc529524602"/>
      <w:bookmarkStart w:id="1647" w:name="_Toc530474526"/>
      <w:bookmarkStart w:id="1648" w:name="_Toc530475121"/>
      <w:r>
        <w:t>Division 2 — On compulsory acquisition</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nzHeading3"/>
      </w:pPr>
      <w:bookmarkStart w:id="1649" w:name="_Toc517437729"/>
      <w:bookmarkStart w:id="1650" w:name="_Toc517438271"/>
      <w:bookmarkStart w:id="1651" w:name="_Toc517440608"/>
      <w:bookmarkStart w:id="1652" w:name="_Toc517447645"/>
      <w:bookmarkStart w:id="1653" w:name="_Toc517450123"/>
      <w:bookmarkStart w:id="1654" w:name="_Toc517450665"/>
      <w:bookmarkStart w:id="1655" w:name="_Toc517857121"/>
      <w:bookmarkStart w:id="1656" w:name="_Toc518293248"/>
      <w:bookmarkStart w:id="1657" w:name="_Toc522744476"/>
      <w:bookmarkStart w:id="1658" w:name="_Toc522747599"/>
      <w:bookmarkStart w:id="1659" w:name="_Toc529183436"/>
      <w:bookmarkStart w:id="1660" w:name="_Toc529188199"/>
      <w:bookmarkStart w:id="1661" w:name="_Toc529434712"/>
      <w:bookmarkStart w:id="1662" w:name="_Toc529524603"/>
      <w:bookmarkStart w:id="1663" w:name="_Toc530474527"/>
      <w:bookmarkStart w:id="1664" w:name="_Toc530475122"/>
      <w:r>
        <w:t>Division 3 — Notice of applications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nzHeading2"/>
      </w:pPr>
      <w:bookmarkStart w:id="1665" w:name="_Toc517437730"/>
      <w:bookmarkStart w:id="1666" w:name="_Toc517438272"/>
      <w:bookmarkStart w:id="1667" w:name="_Toc517440609"/>
      <w:bookmarkStart w:id="1668" w:name="_Toc517447646"/>
      <w:bookmarkStart w:id="1669" w:name="_Toc517450124"/>
      <w:bookmarkStart w:id="1670" w:name="_Toc517450666"/>
      <w:bookmarkStart w:id="1671" w:name="_Toc517857122"/>
      <w:bookmarkStart w:id="1672" w:name="_Toc518293249"/>
      <w:bookmarkStart w:id="1673" w:name="_Toc522744477"/>
      <w:bookmarkStart w:id="1674" w:name="_Toc522747600"/>
      <w:bookmarkStart w:id="1675" w:name="_Toc529183437"/>
      <w:bookmarkStart w:id="1676" w:name="_Toc529188200"/>
      <w:bookmarkStart w:id="1677" w:name="_Toc529434713"/>
      <w:bookmarkStart w:id="1678" w:name="_Toc529524604"/>
      <w:bookmarkStart w:id="1679" w:name="_Toc530474528"/>
      <w:bookmarkStart w:id="1680" w:name="_Toc530475123"/>
      <w:r>
        <w:t>Part 12</w:t>
      </w:r>
      <w:r>
        <w:rPr>
          <w:b w:val="0"/>
        </w:rPr>
        <w:t> </w:t>
      </w:r>
      <w:r>
        <w:t>—</w:t>
      </w:r>
      <w:r>
        <w:rPr>
          <w:b w:val="0"/>
        </w:rPr>
        <w:t> </w:t>
      </w:r>
      <w:r>
        <w:t>Termination of strata titles scheme</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nzHeading3"/>
      </w:pPr>
      <w:bookmarkStart w:id="1681" w:name="_Toc517437731"/>
      <w:bookmarkStart w:id="1682" w:name="_Toc517438273"/>
      <w:bookmarkStart w:id="1683" w:name="_Toc517440610"/>
      <w:bookmarkStart w:id="1684" w:name="_Toc517447647"/>
      <w:bookmarkStart w:id="1685" w:name="_Toc517450125"/>
      <w:bookmarkStart w:id="1686" w:name="_Toc517450667"/>
      <w:bookmarkStart w:id="1687" w:name="_Toc517857123"/>
      <w:bookmarkStart w:id="1688" w:name="_Toc518293250"/>
      <w:bookmarkStart w:id="1689" w:name="_Toc522744478"/>
      <w:bookmarkStart w:id="1690" w:name="_Toc522747601"/>
      <w:bookmarkStart w:id="1691" w:name="_Toc529183438"/>
      <w:bookmarkStart w:id="1692" w:name="_Toc529188201"/>
      <w:bookmarkStart w:id="1693" w:name="_Toc529434714"/>
      <w:bookmarkStart w:id="1694" w:name="_Toc529524605"/>
      <w:bookmarkStart w:id="1695" w:name="_Toc530474529"/>
      <w:bookmarkStart w:id="1696" w:name="_Toc530475124"/>
      <w:r>
        <w:t>Division 1 — Introduction</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nzHeading5"/>
      </w:pPr>
      <w:bookmarkStart w:id="1697" w:name="_Toc530474530"/>
      <w:bookmarkStart w:id="1698" w:name="_Toc530475125"/>
      <w:r>
        <w:t>171.</w:t>
      </w:r>
      <w:r>
        <w:tab/>
        <w:t>Forms of termination</w:t>
      </w:r>
      <w:bookmarkEnd w:id="1697"/>
      <w:bookmarkEnd w:id="1698"/>
    </w:p>
    <w:p>
      <w:pPr>
        <w:pStyle w:val="nzSubsection"/>
      </w:pPr>
      <w:r>
        <w:tab/>
        <w:t>(1)</w:t>
      </w:r>
      <w:r>
        <w:tab/>
        <w:t>A strata titles scheme terminates (as set out in Division 6) as follows —</w:t>
      </w:r>
    </w:p>
    <w:p>
      <w:pPr>
        <w:pStyle w:val="nzIndenta"/>
      </w:pPr>
      <w:r>
        <w:tab/>
        <w:t>(a)</w:t>
      </w:r>
      <w:r>
        <w:tab/>
        <w:t>a leasehold scheme terminates on the expiry day for the scheme as referred to in Division 2;</w:t>
      </w:r>
    </w:p>
    <w:p>
      <w:pPr>
        <w:pStyle w:val="nzIndenta"/>
      </w:pPr>
      <w:r>
        <w:tab/>
        <w:t>(b)</w:t>
      </w:r>
      <w:r>
        <w:tab/>
        <w:t>a leasehold or freehold scheme terminates —</w:t>
      </w:r>
    </w:p>
    <w:p>
      <w:pPr>
        <w:pStyle w:val="nzIndenti"/>
      </w:pPr>
      <w:r>
        <w:tab/>
        <w:t>(i)</w:t>
      </w:r>
      <w:r>
        <w:tab/>
        <w:t>if there is a termination proposal and the process referred to in Division 3 is followed; or</w:t>
      </w:r>
    </w:p>
    <w:p>
      <w:pPr>
        <w:pStyle w:val="nzIndenti"/>
      </w:pPr>
      <w:r>
        <w:tab/>
        <w:t>(ii)</w:t>
      </w:r>
      <w:r>
        <w:tab/>
        <w:t>if all lots in the scheme are owned by the same person and the process referred to in Division 4 is followed.</w:t>
      </w:r>
    </w:p>
    <w:p>
      <w:pPr>
        <w:pStyle w:val="nzSubsection"/>
      </w:pPr>
      <w:r>
        <w:tab/>
        <w:t>(2)</w:t>
      </w:r>
      <w:r>
        <w:tab/>
        <w:t>Divisions 5 and 6 contain provisions relevant to the forms of termination of a strata titles scheme set out in Divisions 2, 3 and 4.</w:t>
      </w:r>
    </w:p>
    <w:p>
      <w:pPr>
        <w:pStyle w:val="nz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nzHeading3"/>
      </w:pPr>
      <w:bookmarkStart w:id="1699" w:name="_Toc517437733"/>
      <w:bookmarkStart w:id="1700" w:name="_Toc517438275"/>
      <w:bookmarkStart w:id="1701" w:name="_Toc517440612"/>
      <w:bookmarkStart w:id="1702" w:name="_Toc517447649"/>
      <w:bookmarkStart w:id="1703" w:name="_Toc517450127"/>
      <w:bookmarkStart w:id="1704" w:name="_Toc517450669"/>
      <w:bookmarkStart w:id="1705" w:name="_Toc517857125"/>
      <w:bookmarkStart w:id="1706" w:name="_Toc518293252"/>
      <w:bookmarkStart w:id="1707" w:name="_Toc522744480"/>
      <w:bookmarkStart w:id="1708" w:name="_Toc522747603"/>
      <w:bookmarkStart w:id="1709" w:name="_Toc529183440"/>
      <w:bookmarkStart w:id="1710" w:name="_Toc529188203"/>
      <w:bookmarkStart w:id="1711" w:name="_Toc529434716"/>
      <w:bookmarkStart w:id="1712" w:name="_Toc529524607"/>
      <w:bookmarkStart w:id="1713" w:name="_Toc530474531"/>
      <w:bookmarkStart w:id="1714" w:name="_Toc530475126"/>
      <w:r>
        <w:t>Division 2 — Expiry of leasehold scheme</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nzHeading5"/>
      </w:pPr>
      <w:bookmarkStart w:id="1715" w:name="_Toc530474532"/>
      <w:bookmarkStart w:id="1716" w:name="_Toc530475127"/>
      <w:r>
        <w:t>172.</w:t>
      </w:r>
      <w:r>
        <w:tab/>
        <w:t>Notification of expiry</w:t>
      </w:r>
      <w:bookmarkEnd w:id="1715"/>
      <w:bookmarkEnd w:id="1716"/>
    </w:p>
    <w:p>
      <w:pPr>
        <w:pStyle w:val="nzSubsection"/>
      </w:pPr>
      <w:r>
        <w:tab/>
        <w:t>(1)</w:t>
      </w:r>
      <w:r>
        <w:tab/>
        <w:t>The owner of a leasehold scheme must, at least 1 month before the expiry of the scheme, lodge with the Registrar of Titles notice, in the approved form, of the impending expiry of the leasehold scheme.</w:t>
      </w:r>
    </w:p>
    <w:p>
      <w:pPr>
        <w:pStyle w:val="nz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nzPermNoteHeading"/>
      </w:pPr>
      <w:r>
        <w:tab/>
        <w:t>Note for this section:</w:t>
      </w:r>
    </w:p>
    <w:p>
      <w:pPr>
        <w:pStyle w:val="nzPermNoteText"/>
      </w:pPr>
      <w:r>
        <w:tab/>
      </w:r>
      <w:r>
        <w:tab/>
        <w:t>Expiry of a leasehold scheme does not require an approval of a subdivision of land as the expiry is approved as part of the process of initial subdivision by the scheme.</w:t>
      </w:r>
    </w:p>
    <w:p>
      <w:pPr>
        <w:pStyle w:val="nzHeading3"/>
      </w:pPr>
      <w:bookmarkStart w:id="1717" w:name="_Toc517437735"/>
      <w:bookmarkStart w:id="1718" w:name="_Toc517438277"/>
      <w:bookmarkStart w:id="1719" w:name="_Toc517440614"/>
      <w:bookmarkStart w:id="1720" w:name="_Toc517447651"/>
      <w:bookmarkStart w:id="1721" w:name="_Toc517450129"/>
      <w:bookmarkStart w:id="1722" w:name="_Toc517450671"/>
      <w:bookmarkStart w:id="1723" w:name="_Toc517857127"/>
      <w:bookmarkStart w:id="1724" w:name="_Toc518293254"/>
      <w:bookmarkStart w:id="1725" w:name="_Toc522744482"/>
      <w:bookmarkStart w:id="1726" w:name="_Toc522747605"/>
      <w:bookmarkStart w:id="1727" w:name="_Toc529183442"/>
      <w:bookmarkStart w:id="1728" w:name="_Toc529188205"/>
      <w:bookmarkStart w:id="1729" w:name="_Toc529434718"/>
      <w:bookmarkStart w:id="1730" w:name="_Toc529524609"/>
      <w:bookmarkStart w:id="1731" w:name="_Toc530474533"/>
      <w:bookmarkStart w:id="1732" w:name="_Toc530475128"/>
      <w:r>
        <w:t>Division 3 — Termination proposal</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zHeading5"/>
      </w:pPr>
      <w:bookmarkStart w:id="1733" w:name="_Toc530474534"/>
      <w:bookmarkStart w:id="1734" w:name="_Toc530475129"/>
      <w:r>
        <w:t>173.</w:t>
      </w:r>
      <w:r>
        <w:tab/>
        <w:t>Proponent</w:t>
      </w:r>
      <w:bookmarkEnd w:id="1733"/>
      <w:bookmarkEnd w:id="1734"/>
    </w:p>
    <w:p>
      <w:pPr>
        <w:pStyle w:val="nzSubsection"/>
      </w:pPr>
      <w:r>
        <w:tab/>
      </w:r>
      <w:r>
        <w:tab/>
        <w:t xml:space="preserve">The termination of a strata titles scheme may be proposed by a person (the </w:t>
      </w:r>
      <w:r>
        <w:rPr>
          <w:rStyle w:val="CharDefText"/>
        </w:rPr>
        <w:t>proponent</w:t>
      </w:r>
      <w:r>
        <w:t>) who is —</w:t>
      </w:r>
    </w:p>
    <w:p>
      <w:pPr>
        <w:pStyle w:val="nzIndenta"/>
      </w:pPr>
      <w:r>
        <w:tab/>
        <w:t>(a)</w:t>
      </w:r>
      <w:r>
        <w:tab/>
        <w:t>the owner of a lot in the strata titles scheme; or</w:t>
      </w:r>
    </w:p>
    <w:p>
      <w:pPr>
        <w:pStyle w:val="nzIndenta"/>
      </w:pPr>
      <w:r>
        <w:tab/>
        <w:t>(b)</w:t>
      </w:r>
      <w:r>
        <w:tab/>
        <w:t>a person who has a contractual right to purchase a lot in the strata titles scheme; or</w:t>
      </w:r>
    </w:p>
    <w:p>
      <w:pPr>
        <w:pStyle w:val="nzIndenta"/>
      </w:pPr>
      <w:r>
        <w:tab/>
        <w:t>(c)</w:t>
      </w:r>
      <w:r>
        <w:tab/>
        <w:t>a body corporate formed by 2 or more such persons.</w:t>
      </w:r>
    </w:p>
    <w:p>
      <w:pPr>
        <w:pStyle w:val="nzHeading5"/>
      </w:pPr>
      <w:bookmarkStart w:id="1735" w:name="_Toc530474535"/>
      <w:bookmarkStart w:id="1736" w:name="_Toc530475130"/>
      <w:r>
        <w:t>174.</w:t>
      </w:r>
      <w:r>
        <w:tab/>
        <w:t>Outline of termination proposal</w:t>
      </w:r>
      <w:bookmarkEnd w:id="1735"/>
      <w:bookmarkEnd w:id="1736"/>
    </w:p>
    <w:p>
      <w:pPr>
        <w:pStyle w:val="nzSubsection"/>
      </w:pPr>
      <w:r>
        <w:tab/>
        <w:t>(1)</w:t>
      </w:r>
      <w:r>
        <w:tab/>
        <w:t xml:space="preserve">The proponent of a proposal to terminate a strata titles scheme (a </w:t>
      </w:r>
      <w:r>
        <w:rPr>
          <w:rStyle w:val="CharDefText"/>
        </w:rPr>
        <w:t>termination proposal</w:t>
      </w:r>
      <w:r>
        <w:t>) must submit an outline of the proposal to —</w:t>
      </w:r>
    </w:p>
    <w:p>
      <w:pPr>
        <w:pStyle w:val="nzIndenta"/>
      </w:pPr>
      <w:r>
        <w:tab/>
        <w:t>(a)</w:t>
      </w:r>
      <w:r>
        <w:tab/>
        <w:t>the strata company for the scheme; and</w:t>
      </w:r>
    </w:p>
    <w:p>
      <w:pPr>
        <w:pStyle w:val="nzIndenta"/>
      </w:pPr>
      <w:r>
        <w:tab/>
        <w:t>(b)</w:t>
      </w:r>
      <w:r>
        <w:tab/>
        <w:t>if it is a leasehold scheme, the owner of the leasehold scheme.</w:t>
      </w:r>
    </w:p>
    <w:p>
      <w:pPr>
        <w:pStyle w:val="nzSubsection"/>
      </w:pPr>
      <w:r>
        <w:tab/>
        <w:t>(2)</w:t>
      </w:r>
      <w:r>
        <w:tab/>
        <w:t>However, an outline of a termination proposal cannot be submitted to a strata company or owner of a leasehold scheme —</w:t>
      </w:r>
    </w:p>
    <w:p>
      <w:pPr>
        <w:pStyle w:val="nz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nzIndenta"/>
      </w:pPr>
      <w:r>
        <w:tab/>
        <w:t>(b)</w:t>
      </w:r>
      <w:r>
        <w:tab/>
        <w:t>during any period (not exceeding 12 months) for which the strata company has, by ordinary resolution, prohibited termination proposals being submitted to it; or</w:t>
      </w:r>
    </w:p>
    <w:p>
      <w:pPr>
        <w:pStyle w:val="nzIndenta"/>
      </w:pPr>
      <w:r>
        <w:tab/>
        <w:t>(c)</w:t>
      </w:r>
      <w:r>
        <w:tab/>
        <w:t>during any period for which the Tribunal has, on application by the strata company or the owner of the leasehold scheme, prohibited termination proposals being submitted.</w:t>
      </w:r>
    </w:p>
    <w:p>
      <w:pPr>
        <w:pStyle w:val="nzSubsection"/>
      </w:pPr>
      <w:r>
        <w:tab/>
        <w:t>(3)</w:t>
      </w:r>
      <w:r>
        <w:tab/>
        <w:t>A strata company to which an outline of a termination proposal is submitted in accordance with this section must, within 14 days after being given the proposal —</w:t>
      </w:r>
    </w:p>
    <w:p>
      <w:pPr>
        <w:pStyle w:val="nzIndenta"/>
      </w:pPr>
      <w:r>
        <w:tab/>
        <w:t>(a)</w:t>
      </w:r>
      <w:r>
        <w:tab/>
        <w:t>serve it on each person who is —</w:t>
      </w:r>
    </w:p>
    <w:p>
      <w:pPr>
        <w:pStyle w:val="nzIndenti"/>
      </w:pPr>
      <w:r>
        <w:tab/>
        <w:t>(i)</w:t>
      </w:r>
      <w:r>
        <w:tab/>
        <w:t>the owner of a lot in the strata titles scheme; or</w:t>
      </w:r>
    </w:p>
    <w:p>
      <w:pPr>
        <w:pStyle w:val="nzIndenti"/>
      </w:pPr>
      <w:r>
        <w:tab/>
        <w:t>(ii)</w:t>
      </w:r>
      <w:r>
        <w:tab/>
        <w:t>a registered mortgagee of a lot in the strata titles scheme;</w:t>
      </w:r>
    </w:p>
    <w:p>
      <w:pPr>
        <w:pStyle w:val="nzIndenta"/>
      </w:pPr>
      <w:r>
        <w:tab/>
      </w:r>
      <w:r>
        <w:tab/>
        <w:t>and</w:t>
      </w:r>
    </w:p>
    <w:p>
      <w:pPr>
        <w:pStyle w:val="nzIndenta"/>
      </w:pPr>
      <w:r>
        <w:tab/>
        <w:t>(b)</w:t>
      </w:r>
      <w:r>
        <w:tab/>
        <w:t>lodge with the Registrar of Titles notice of receipt of the outline in the approved form.</w:t>
      </w:r>
    </w:p>
    <w:p>
      <w:pPr>
        <w:pStyle w:val="nzSubsection"/>
      </w:pPr>
      <w:r>
        <w:tab/>
        <w:t>(4)</w:t>
      </w:r>
      <w:r>
        <w:tab/>
        <w:t>The strata company must, on completion of the requirements under subsection (3), give written notice of that fact to the proponent of the termination proposal.</w:t>
      </w:r>
    </w:p>
    <w:p>
      <w:pPr>
        <w:pStyle w:val="nzSubsection"/>
      </w:pPr>
      <w:r>
        <w:tab/>
        <w:t>(5)</w:t>
      </w:r>
      <w:r>
        <w:tab/>
        <w:t>Any modification of an outline of a termination proposal proposed by the proponent of the proposal must be submitted and served in the same manner as for the outline.</w:t>
      </w:r>
    </w:p>
    <w:p>
      <w:pPr>
        <w:pStyle w:val="nzHeading5"/>
      </w:pPr>
      <w:bookmarkStart w:id="1737" w:name="_Toc530474536"/>
      <w:bookmarkStart w:id="1738" w:name="_Toc530475131"/>
      <w:r>
        <w:t>175.</w:t>
      </w:r>
      <w:r>
        <w:tab/>
        <w:t>Content of outline of termination proposal</w:t>
      </w:r>
      <w:bookmarkEnd w:id="1737"/>
      <w:bookmarkEnd w:id="1738"/>
    </w:p>
    <w:p>
      <w:pPr>
        <w:pStyle w:val="nzSubsection"/>
      </w:pPr>
      <w:r>
        <w:tab/>
        <w:t>(1)</w:t>
      </w:r>
      <w:r>
        <w:tab/>
        <w:t>An outline of a termination proposal must —</w:t>
      </w:r>
    </w:p>
    <w:p>
      <w:pPr>
        <w:pStyle w:val="nzIndenta"/>
      </w:pPr>
      <w:r>
        <w:tab/>
        <w:t>(a)</w:t>
      </w:r>
      <w:r>
        <w:tab/>
        <w:t>specify the name and address for service of the proponent of the proposal; and</w:t>
      </w:r>
    </w:p>
    <w:p>
      <w:pPr>
        <w:pStyle w:val="nzIndenta"/>
      </w:pPr>
      <w:r>
        <w:tab/>
        <w:t>(b)</w:t>
      </w:r>
      <w:r>
        <w:tab/>
        <w:t>identify the strata titles scheme proposed to be terminated; and</w:t>
      </w:r>
    </w:p>
    <w:p>
      <w:pPr>
        <w:pStyle w:val="nz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nzIndenta"/>
      </w:pPr>
      <w:r>
        <w:tab/>
        <w:t>(d)</w:t>
      </w:r>
      <w:r>
        <w:tab/>
        <w:t>describe, in general terms, any proposals for contracts to be offered to owners of lots in the strata titles scheme; and</w:t>
      </w:r>
    </w:p>
    <w:p>
      <w:pPr>
        <w:pStyle w:val="nzIndenta"/>
      </w:pPr>
      <w:r>
        <w:tab/>
        <w:t>(e)</w:t>
      </w:r>
      <w:r>
        <w:tab/>
        <w:t>describe, in general terms, what is proposed in terms of subdivision and development of the land following termination of the strata titles scheme; and</w:t>
      </w:r>
    </w:p>
    <w:p>
      <w:pPr>
        <w:pStyle w:val="nz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nzIndenta"/>
      </w:pPr>
      <w:r>
        <w:tab/>
        <w:t>(g)</w:t>
      </w:r>
      <w:r>
        <w:tab/>
        <w:t>indicate, in general terms, the stages and timeframes for progress of the proposal if it proceeds; and</w:t>
      </w:r>
    </w:p>
    <w:p>
      <w:pPr>
        <w:pStyle w:val="nzIndenta"/>
      </w:pPr>
      <w:r>
        <w:tab/>
        <w:t>(h)</w:t>
      </w:r>
      <w:r>
        <w:tab/>
        <w:t>provide an explanation, in the approved form, of the process for, and consequences of, termination of a strata titles scheme under this Division; and</w:t>
      </w:r>
    </w:p>
    <w:p>
      <w:pPr>
        <w:pStyle w:val="nzIndenta"/>
      </w:pPr>
      <w:r>
        <w:tab/>
        <w:t>(i)</w:t>
      </w:r>
      <w:r>
        <w:tab/>
        <w:t>provide, in accordance with the regulations, details of proposed arrangements for obtaining independent advice or representation referred to in section 190; and</w:t>
      </w:r>
    </w:p>
    <w:p>
      <w:pPr>
        <w:pStyle w:val="nzIndenta"/>
      </w:pPr>
      <w:r>
        <w:tab/>
        <w:t>(j)</w:t>
      </w:r>
      <w:r>
        <w:tab/>
        <w:t>include any other information required by the regulations.</w:t>
      </w:r>
    </w:p>
    <w:p>
      <w:pPr>
        <w:pStyle w:val="nzSubsection"/>
      </w:pPr>
      <w:r>
        <w:tab/>
        <w:t>(2)</w:t>
      </w:r>
      <w:r>
        <w:tab/>
        <w:t>This section does not limit the matters that can be included in an outline of a termination proposal.</w:t>
      </w:r>
    </w:p>
    <w:p>
      <w:pPr>
        <w:pStyle w:val="nzSubsection"/>
      </w:pPr>
      <w:r>
        <w:tab/>
        <w:t>(3)</w:t>
      </w:r>
      <w:r>
        <w:tab/>
        <w:t>An outline of a termination proposal must be in the approved form.</w:t>
      </w:r>
    </w:p>
    <w:p>
      <w:pPr>
        <w:pStyle w:val="nzHeading5"/>
      </w:pPr>
      <w:bookmarkStart w:id="1739" w:name="_Toc530474537"/>
      <w:bookmarkStart w:id="1740" w:name="_Toc530475132"/>
      <w:r>
        <w:t>176.</w:t>
      </w:r>
      <w:r>
        <w:tab/>
        <w:t>Ordinary resolution and support of owner of leasehold scheme required to proceed further</w:t>
      </w:r>
      <w:bookmarkEnd w:id="1739"/>
      <w:bookmarkEnd w:id="1740"/>
    </w:p>
    <w:p>
      <w:pPr>
        <w:pStyle w:val="nzSubsection"/>
      </w:pPr>
      <w:r>
        <w:tab/>
        <w:t>(1)</w:t>
      </w:r>
      <w:r>
        <w:tab/>
        <w:t>A termination proposal can only proceed further if, within 3 months after an outline of the proposal has been submitted as required under section 174 —</w:t>
      </w:r>
    </w:p>
    <w:p>
      <w:pPr>
        <w:pStyle w:val="nzIndenta"/>
      </w:pPr>
      <w:r>
        <w:tab/>
        <w:t>(a)</w:t>
      </w:r>
      <w:r>
        <w:tab/>
        <w:t>for a freehold scheme — the strata company passes an ordinary resolution supporting consideration of a full proposal; and</w:t>
      </w:r>
    </w:p>
    <w:p>
      <w:pPr>
        <w:pStyle w:val="nzIndenta"/>
      </w:pPr>
      <w:r>
        <w:tab/>
        <w:t>(b)</w:t>
      </w:r>
      <w:r>
        <w:tab/>
        <w:t>for a leasehold scheme —</w:t>
      </w:r>
    </w:p>
    <w:p>
      <w:pPr>
        <w:pStyle w:val="nzIndenti"/>
      </w:pPr>
      <w:r>
        <w:tab/>
        <w:t>(i)</w:t>
      </w:r>
      <w:r>
        <w:tab/>
        <w:t>the owner of the leasehold scheme gives written notice to the strata company supporting consideration of a full proposal; and</w:t>
      </w:r>
    </w:p>
    <w:p>
      <w:pPr>
        <w:pStyle w:val="nzIndenti"/>
      </w:pPr>
      <w:r>
        <w:tab/>
        <w:t>(ii)</w:t>
      </w:r>
      <w:r>
        <w:tab/>
        <w:t>the strata company passes an ordinary resolution supporting consideration of a full proposal.</w:t>
      </w:r>
    </w:p>
    <w:p>
      <w:pPr>
        <w:pStyle w:val="nz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nzHeading5"/>
      </w:pPr>
      <w:bookmarkStart w:id="1741" w:name="_Toc530474538"/>
      <w:bookmarkStart w:id="1742" w:name="_Toc530475133"/>
      <w:r>
        <w:t>177.</w:t>
      </w:r>
      <w:r>
        <w:tab/>
        <w:t>Approval of plan of subdivision</w:t>
      </w:r>
      <w:bookmarkEnd w:id="1741"/>
      <w:bookmarkEnd w:id="1742"/>
    </w:p>
    <w:p>
      <w:pPr>
        <w:pStyle w:val="nzSubsection"/>
      </w:pPr>
      <w:r>
        <w:tab/>
        <w:t>(1)</w:t>
      </w:r>
      <w:r>
        <w:tab/>
        <w:t>If the requirements of section 176 are met and a termination proposal can proceed further —</w:t>
      </w:r>
    </w:p>
    <w:p>
      <w:pPr>
        <w:pStyle w:val="nz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nzIndenta"/>
      </w:pPr>
      <w:r>
        <w:tab/>
        <w:t>(b)</w:t>
      </w:r>
      <w:r>
        <w:tab/>
        <w:t xml:space="preserve">the owner of the land is taken to have consented to the proponent making the application under the </w:t>
      </w:r>
      <w:r>
        <w:rPr>
          <w:i/>
        </w:rPr>
        <w:t>Planning and Development Act 2005</w:t>
      </w:r>
      <w:r>
        <w:t>.</w:t>
      </w:r>
    </w:p>
    <w:p>
      <w:pPr>
        <w:pStyle w:val="nzSubsection"/>
      </w:pPr>
      <w:r>
        <w:tab/>
        <w:t>(2)</w:t>
      </w:r>
      <w:r>
        <w:tab/>
        <w:t xml:space="preserve">The </w:t>
      </w:r>
      <w:r>
        <w:rPr>
          <w:i/>
        </w:rPr>
        <w:t>Planning and Development Act 2005</w:t>
      </w:r>
      <w:r>
        <w:t xml:space="preserve"> applies to the application subject to —</w:t>
      </w:r>
    </w:p>
    <w:p>
      <w:pPr>
        <w:pStyle w:val="nzIndenta"/>
      </w:pPr>
      <w:r>
        <w:tab/>
        <w:t>(a)</w:t>
      </w:r>
      <w:r>
        <w:tab/>
        <w:t>the modification that a reference to subdivision is to be read as including a reference to termination of a strata titles scheme; and</w:t>
      </w:r>
    </w:p>
    <w:p>
      <w:pPr>
        <w:pStyle w:val="nzIndenta"/>
      </w:pPr>
      <w:r>
        <w:tab/>
        <w:t>(b)</w:t>
      </w:r>
      <w:r>
        <w:tab/>
        <w:t>any other appropriate modifications.</w:t>
      </w:r>
    </w:p>
    <w:p>
      <w:pPr>
        <w:pStyle w:val="nzHeading5"/>
      </w:pPr>
      <w:bookmarkStart w:id="1743" w:name="_Toc530474539"/>
      <w:bookmarkStart w:id="1744" w:name="_Toc530475134"/>
      <w:r>
        <w:t>178.</w:t>
      </w:r>
      <w:r>
        <w:tab/>
        <w:t>Full proposal</w:t>
      </w:r>
      <w:bookmarkEnd w:id="1743"/>
      <w:bookmarkEnd w:id="1744"/>
    </w:p>
    <w:p>
      <w:pPr>
        <w:pStyle w:val="nzSubsection"/>
      </w:pPr>
      <w:r>
        <w:tab/>
        <w:t>(1)</w:t>
      </w:r>
      <w:r>
        <w:tab/>
        <w:t>If approval of a plan of subdivision is obtained as referred to in section 177, the proponent of the proposal can then submit a full proposal for the termination of the strata titles scheme to —</w:t>
      </w:r>
    </w:p>
    <w:p>
      <w:pPr>
        <w:pStyle w:val="nzIndenta"/>
      </w:pPr>
      <w:r>
        <w:tab/>
        <w:t>(a)</w:t>
      </w:r>
      <w:r>
        <w:tab/>
        <w:t>the strata company for the scheme; and</w:t>
      </w:r>
    </w:p>
    <w:p>
      <w:pPr>
        <w:pStyle w:val="nzIndenta"/>
      </w:pPr>
      <w:r>
        <w:tab/>
        <w:t>(b)</w:t>
      </w:r>
      <w:r>
        <w:tab/>
        <w:t>if it is a leasehold scheme, the owner of the leasehold scheme.</w:t>
      </w:r>
    </w:p>
    <w:p>
      <w:pPr>
        <w:pStyle w:val="nzSubsection"/>
      </w:pPr>
      <w:r>
        <w:tab/>
        <w:t>(2)</w:t>
      </w:r>
      <w:r>
        <w:tab/>
        <w:t>However, a full proposal cannot be submitted to a strata company or owner of a leasehold scheme —</w:t>
      </w:r>
    </w:p>
    <w:p>
      <w:pPr>
        <w:pStyle w:val="nzIndenta"/>
      </w:pPr>
      <w:r>
        <w:tab/>
        <w:t>(a)</w:t>
      </w:r>
      <w:r>
        <w:tab/>
        <w:t>if it is more than 12 months since the requirements of section 176 were met for the proposal; or</w:t>
      </w:r>
    </w:p>
    <w:p>
      <w:pPr>
        <w:pStyle w:val="nzIndenta"/>
      </w:pPr>
      <w:r>
        <w:tab/>
        <w:t>(b)</w:t>
      </w:r>
      <w:r>
        <w:tab/>
        <w:t>during any period for which the Tribunal has, on application by the strata company or the owner of the leasehold scheme, prohibited termination proposals being so submitted.</w:t>
      </w:r>
    </w:p>
    <w:p>
      <w:pPr>
        <w:pStyle w:val="nzSubsection"/>
      </w:pPr>
      <w:r>
        <w:tab/>
        <w:t>(3)</w:t>
      </w:r>
      <w:r>
        <w:tab/>
        <w:t>For a leasehold scheme, the proponent must give written notice to the owner of the leasehold scheme of the date on which the proponent submitted the full proposal to the strata company.</w:t>
      </w:r>
    </w:p>
    <w:p>
      <w:pPr>
        <w:pStyle w:val="nzSubsection"/>
      </w:pPr>
      <w:r>
        <w:tab/>
        <w:t>(4)</w:t>
      </w:r>
      <w:r>
        <w:tab/>
        <w:t>A strata company to which a full proposal is submitted in accordance with this section must, within 14 days after being given the proposal —</w:t>
      </w:r>
    </w:p>
    <w:p>
      <w:pPr>
        <w:pStyle w:val="nzIndenta"/>
      </w:pPr>
      <w:r>
        <w:tab/>
        <w:t>(a)</w:t>
      </w:r>
      <w:r>
        <w:tab/>
        <w:t>serve it on each person who is —</w:t>
      </w:r>
    </w:p>
    <w:p>
      <w:pPr>
        <w:pStyle w:val="nzIndenti"/>
      </w:pPr>
      <w:r>
        <w:tab/>
        <w:t>(i)</w:t>
      </w:r>
      <w:r>
        <w:tab/>
        <w:t>the owner, occupier, registered mortgagee or caveator of a lot in the strata titles scheme; or</w:t>
      </w:r>
    </w:p>
    <w:p>
      <w:pPr>
        <w:pStyle w:val="nzIndenti"/>
      </w:pPr>
      <w:r>
        <w:tab/>
        <w:t>(ii)</w:t>
      </w:r>
      <w:r>
        <w:tab/>
        <w:t>a person whose interest in a lot in the strata titles scheme as a lessee, tenant or mortgagee is recorded in the roll kept by the strata company; or</w:t>
      </w:r>
    </w:p>
    <w:p>
      <w:pPr>
        <w:pStyle w:val="nzIndenti"/>
      </w:pPr>
      <w:r>
        <w:tab/>
        <w:t>(iii)</w:t>
      </w:r>
      <w:r>
        <w:tab/>
        <w:t>the occupier of common property in the strata titles scheme;</w:t>
      </w:r>
    </w:p>
    <w:p>
      <w:pPr>
        <w:pStyle w:val="nzIndenta"/>
      </w:pPr>
      <w:r>
        <w:tab/>
      </w:r>
      <w:r>
        <w:tab/>
        <w:t>and</w:t>
      </w:r>
    </w:p>
    <w:p>
      <w:pPr>
        <w:pStyle w:val="nzIndenta"/>
      </w:pPr>
      <w:r>
        <w:tab/>
        <w:t>(b)</w:t>
      </w:r>
      <w:r>
        <w:tab/>
        <w:t>lodge with the Registrar of Titles notice of receipt of the proposal in the approved form.</w:t>
      </w:r>
    </w:p>
    <w:p>
      <w:pPr>
        <w:pStyle w:val="nzSubsection"/>
      </w:pPr>
      <w:r>
        <w:tab/>
        <w:t>(5)</w:t>
      </w:r>
      <w:r>
        <w:tab/>
        <w:t>Any modification of the full proposal proposed by the proponent must be submitted and served in the same manner as for the full proposal.</w:t>
      </w:r>
    </w:p>
    <w:p>
      <w:pPr>
        <w:pStyle w:val="nzSubsection"/>
      </w:pPr>
      <w:r>
        <w:tab/>
        <w:t>(6)</w:t>
      </w:r>
      <w:r>
        <w:tab/>
        <w:t>However, a modification cannot be submitted within 14 days before voting on the termination proposal opens.</w:t>
      </w:r>
    </w:p>
    <w:p>
      <w:pPr>
        <w:pStyle w:val="nzHeading5"/>
      </w:pPr>
      <w:bookmarkStart w:id="1745" w:name="_Toc530474540"/>
      <w:bookmarkStart w:id="1746" w:name="_Toc530475135"/>
      <w:r>
        <w:t>178A.</w:t>
      </w:r>
      <w:r>
        <w:tab/>
        <w:t>Reference of full proposal to independent advocate</w:t>
      </w:r>
      <w:bookmarkEnd w:id="1745"/>
      <w:bookmarkEnd w:id="1746"/>
    </w:p>
    <w:p>
      <w:pPr>
        <w:pStyle w:val="nzSubsection"/>
      </w:pPr>
      <w:r>
        <w:tab/>
        <w:t>(1)</w:t>
      </w:r>
      <w:r>
        <w:tab/>
        <w:t xml:space="preserve">In this section — </w:t>
      </w:r>
    </w:p>
    <w:p>
      <w:pPr>
        <w:pStyle w:val="nzDefstart"/>
      </w:pPr>
      <w:r>
        <w:tab/>
      </w:r>
      <w:r>
        <w:rPr>
          <w:rStyle w:val="CharDefText"/>
        </w:rPr>
        <w:t>independent advocate</w:t>
      </w:r>
      <w:r>
        <w:t xml:space="preserve"> means a person to whom a full proposal is referred under subsection (2).</w:t>
      </w:r>
    </w:p>
    <w:p>
      <w:pPr>
        <w:pStyle w:val="nzSubsection"/>
      </w:pPr>
      <w:r>
        <w:tab/>
        <w:t>(2)</w:t>
      </w:r>
      <w:r>
        <w:tab/>
        <w:t xml:space="preserve">A strata company to which a full proposal is submitted under section 178 must refer the proposal for review and assessment to a person who — </w:t>
      </w:r>
    </w:p>
    <w:p>
      <w:pPr>
        <w:pStyle w:val="nzIndenta"/>
      </w:pPr>
      <w:r>
        <w:tab/>
        <w:t>(a)</w:t>
      </w:r>
      <w:r>
        <w:tab/>
        <w:t>is independent of the strata company and the proponent of the termination proposal; and</w:t>
      </w:r>
    </w:p>
    <w:p>
      <w:pPr>
        <w:pStyle w:val="nzIndenta"/>
      </w:pPr>
      <w:r>
        <w:tab/>
        <w:t>(b)</w:t>
      </w:r>
      <w:r>
        <w:tab/>
        <w:t>satisfies any requirements of the regulations regarding experience or qualifications.</w:t>
      </w:r>
    </w:p>
    <w:p>
      <w:pPr>
        <w:pStyle w:val="nzSubsection"/>
      </w:pPr>
      <w:r>
        <w:tab/>
        <w:t>(3)</w:t>
      </w:r>
      <w:r>
        <w:tab/>
        <w:t xml:space="preserve">The independent advocate must, in accordance with the regulations — </w:t>
      </w:r>
    </w:p>
    <w:p>
      <w:pPr>
        <w:pStyle w:val="nzIndenta"/>
      </w:pPr>
      <w:r>
        <w:tab/>
        <w:t>(a)</w:t>
      </w:r>
      <w:r>
        <w:tab/>
        <w:t>review the full proposal; and</w:t>
      </w:r>
    </w:p>
    <w:p>
      <w:pPr>
        <w:pStyle w:val="nzIndenta"/>
      </w:pPr>
      <w:r>
        <w:tab/>
        <w:t>(b)</w:t>
      </w:r>
      <w:r>
        <w:tab/>
        <w:t>provide the strata company with an independent assessment of the full proposal; and</w:t>
      </w:r>
    </w:p>
    <w:p>
      <w:pPr>
        <w:pStyle w:val="nz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nzSubsection"/>
      </w:pPr>
      <w:r>
        <w:tab/>
        <w:t>(4)</w:t>
      </w:r>
      <w:r>
        <w:tab/>
        <w:t xml:space="preserve">The independent advocate must — </w:t>
      </w:r>
    </w:p>
    <w:p>
      <w:pPr>
        <w:pStyle w:val="nzIndenta"/>
      </w:pPr>
      <w:r>
        <w:tab/>
        <w:t>(a)</w:t>
      </w:r>
      <w:r>
        <w:tab/>
        <w:t>endeavour to identify any owners of lots for whom arrangements for fuller or more extensive advice or representation are to be made under regulations made under section 190(1)(b); and</w:t>
      </w:r>
    </w:p>
    <w:p>
      <w:pPr>
        <w:pStyle w:val="nzIndenta"/>
      </w:pPr>
      <w:r>
        <w:tab/>
        <w:t>(b)</w:t>
      </w:r>
      <w:r>
        <w:tab/>
        <w:t>advise those owners of their entitlements under regulations made under section 190; and</w:t>
      </w:r>
    </w:p>
    <w:p>
      <w:pPr>
        <w:pStyle w:val="nzIndenta"/>
      </w:pPr>
      <w:r>
        <w:tab/>
        <w:t>(c)</w:t>
      </w:r>
      <w:r>
        <w:tab/>
        <w:t>if requested by those owners, refer them to independent providers of the advice or representation which they are to obtain; and</w:t>
      </w:r>
    </w:p>
    <w:p>
      <w:pPr>
        <w:pStyle w:val="nzIndenta"/>
      </w:pPr>
      <w:r>
        <w:tab/>
        <w:t>(d)</w:t>
      </w:r>
      <w:r>
        <w:tab/>
        <w:t>if requested by those owners, assist them in obtaining benefits under the trust referred to in section 190(2).</w:t>
      </w:r>
    </w:p>
    <w:p>
      <w:pPr>
        <w:pStyle w:val="nz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nzSubsection"/>
      </w:pPr>
      <w:r>
        <w:tab/>
        <w:t>(6)</w:t>
      </w:r>
      <w:r>
        <w:tab/>
        <w:t>The regulations may prescribe how a person’s independence is to be determined for the purposes of subsection (2)(a).</w:t>
      </w:r>
    </w:p>
    <w:p>
      <w:pPr>
        <w:pStyle w:val="nzSubsection"/>
      </w:pPr>
      <w:r>
        <w:tab/>
        <w:t>(7)</w:t>
      </w:r>
      <w:r>
        <w:tab/>
        <w:t xml:space="preserve">The strata company — </w:t>
      </w:r>
    </w:p>
    <w:p>
      <w:pPr>
        <w:pStyle w:val="nzIndenta"/>
      </w:pPr>
      <w:r>
        <w:tab/>
        <w:t>(a)</w:t>
      </w:r>
      <w:r>
        <w:tab/>
        <w:t>must pay the remuneration of, and reimburse the expenses incurred by, the independent advocate; and</w:t>
      </w:r>
    </w:p>
    <w:p>
      <w:pPr>
        <w:pStyle w:val="nzIndenta"/>
      </w:pPr>
      <w:r>
        <w:tab/>
        <w:t>(b)</w:t>
      </w:r>
      <w:r>
        <w:tab/>
        <w:t>may charge fees under section 189 to cover the cost of paying those fees and reimbursing those expenses.</w:t>
      </w:r>
    </w:p>
    <w:p>
      <w:pPr>
        <w:pStyle w:val="nzHeading5"/>
      </w:pPr>
      <w:bookmarkStart w:id="1747" w:name="_Toc530474541"/>
      <w:bookmarkStart w:id="1748" w:name="_Toc530475136"/>
      <w:r>
        <w:t>179.</w:t>
      </w:r>
      <w:r>
        <w:tab/>
        <w:t>Content of full proposal</w:t>
      </w:r>
      <w:bookmarkEnd w:id="1747"/>
      <w:bookmarkEnd w:id="1748"/>
    </w:p>
    <w:p>
      <w:pPr>
        <w:pStyle w:val="nzSubsection"/>
      </w:pPr>
      <w:r>
        <w:tab/>
        <w:t>(1)</w:t>
      </w:r>
      <w:r>
        <w:tab/>
        <w:t>A full proposal for the termination of a strata titles scheme must —</w:t>
      </w:r>
    </w:p>
    <w:p>
      <w:pPr>
        <w:pStyle w:val="nzIndenta"/>
      </w:pPr>
      <w:r>
        <w:tab/>
        <w:t>(a)</w:t>
      </w:r>
      <w:r>
        <w:tab/>
        <w:t>include the material required to be included in an outline of a termination proposal; and</w:t>
      </w:r>
    </w:p>
    <w:p>
      <w:pPr>
        <w:pStyle w:val="nzIndenta"/>
      </w:pPr>
      <w:r>
        <w:tab/>
        <w:t>(b)</w:t>
      </w:r>
      <w:r>
        <w:tab/>
        <w:t>be accompanied by the approved plan of subdivision for the proposal; and</w:t>
      </w:r>
    </w:p>
    <w:p>
      <w:pPr>
        <w:pStyle w:val="nzIndenta"/>
      </w:pPr>
      <w:r>
        <w:tab/>
        <w:t>(c)</w:t>
      </w:r>
      <w:r>
        <w:tab/>
        <w:t>describe, in detail, what is proposed in terms of contracts to be offered to owners of lots, including —</w:t>
      </w:r>
    </w:p>
    <w:p>
      <w:pPr>
        <w:pStyle w:val="nzIndenti"/>
      </w:pPr>
      <w:r>
        <w:tab/>
        <w:t>(i)</w:t>
      </w:r>
      <w:r>
        <w:tab/>
        <w:t>contracts for the sale and purchase of lots before termination of the strata titles scheme, including —</w:t>
      </w:r>
    </w:p>
    <w:p>
      <w:pPr>
        <w:pStyle w:val="nzIndentI0"/>
      </w:pPr>
      <w:r>
        <w:tab/>
        <w:t>(I)</w:t>
      </w:r>
      <w:r>
        <w:tab/>
        <w:t>the name and address of any buyer; and</w:t>
      </w:r>
    </w:p>
    <w:p>
      <w:pPr>
        <w:pStyle w:val="nzIndentI0"/>
      </w:pPr>
      <w:r>
        <w:tab/>
        <w:t>(II)</w:t>
      </w:r>
      <w:r>
        <w:tab/>
        <w:t>the purchase price or a description of how the purchase price is to be determined; and</w:t>
      </w:r>
    </w:p>
    <w:p>
      <w:pPr>
        <w:pStyle w:val="nzIndentI0"/>
      </w:pPr>
      <w:r>
        <w:tab/>
        <w:t>(III)</w:t>
      </w:r>
      <w:r>
        <w:tab/>
        <w:t>the terms and conditions of the contracts for sale and purchase, including proposed settlement dates, or a description of how those terms and conditions are to be determined; and</w:t>
      </w:r>
    </w:p>
    <w:p>
      <w:pPr>
        <w:pStyle w:val="nzIndentI0"/>
      </w:pPr>
      <w:r>
        <w:tab/>
        <w:t>(IV)</w:t>
      </w:r>
      <w:r>
        <w:tab/>
        <w:t>any deductions proposed to be made out of the purchase price or a description of how those deductions are to be determined;</w:t>
      </w:r>
    </w:p>
    <w:p>
      <w:pPr>
        <w:pStyle w:val="nzIndenti"/>
      </w:pPr>
      <w:r>
        <w:tab/>
      </w:r>
      <w:r>
        <w:tab/>
        <w:t>and</w:t>
      </w:r>
    </w:p>
    <w:p>
      <w:pPr>
        <w:pStyle w:val="nzIndenti"/>
      </w:pPr>
      <w:r>
        <w:tab/>
        <w:t>(ii)</w:t>
      </w:r>
      <w:r>
        <w:tab/>
        <w:t>contracts under which the owner of a lot acquires an interest in land in exchange for the lot, including —</w:t>
      </w:r>
    </w:p>
    <w:p>
      <w:pPr>
        <w:pStyle w:val="nzIndentI0"/>
      </w:pPr>
      <w:r>
        <w:tab/>
        <w:t>(I)</w:t>
      </w:r>
      <w:r>
        <w:tab/>
        <w:t>the choices available to owners or the basis for determining those choices; and</w:t>
      </w:r>
    </w:p>
    <w:p>
      <w:pPr>
        <w:pStyle w:val="nzIndentI0"/>
      </w:pPr>
      <w:r>
        <w:tab/>
        <w:t>(II)</w:t>
      </w:r>
      <w:r>
        <w:tab/>
        <w:t>the interests in land proposed to be acquired by the owners; and</w:t>
      </w:r>
    </w:p>
    <w:p>
      <w:pPr>
        <w:pStyle w:val="nzIndentI0"/>
      </w:pPr>
      <w:r>
        <w:tab/>
        <w:t>(III)</w:t>
      </w:r>
      <w:r>
        <w:tab/>
        <w:t>other terms and conditions of the exchange;</w:t>
      </w:r>
    </w:p>
    <w:p>
      <w:pPr>
        <w:pStyle w:val="nzIndenti"/>
      </w:pPr>
      <w:r>
        <w:tab/>
      </w:r>
      <w:r>
        <w:tab/>
        <w:t>and</w:t>
      </w:r>
    </w:p>
    <w:p>
      <w:pPr>
        <w:pStyle w:val="nz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nzIndenta"/>
      </w:pPr>
      <w:r>
        <w:tab/>
      </w:r>
      <w:r>
        <w:tab/>
        <w:t>and</w:t>
      </w:r>
    </w:p>
    <w:p>
      <w:pPr>
        <w:pStyle w:val="nz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nzIndenta"/>
      </w:pPr>
      <w:r>
        <w:tab/>
        <w:t>(e)</w:t>
      </w:r>
      <w:r>
        <w:tab/>
        <w:t>describe, in detail, what is proposed to happen on termination of the strata titles scheme in terms of the contractual rights of occupiers of lots or common property in the scheme; and</w:t>
      </w:r>
    </w:p>
    <w:p>
      <w:pPr>
        <w:pStyle w:val="nzIndenta"/>
      </w:pPr>
      <w:r>
        <w:tab/>
        <w:t>(f)</w:t>
      </w:r>
      <w:r>
        <w:tab/>
        <w:t>describe, in detail, what is proposed in terms of subdivision and development of the land following termination, including —</w:t>
      </w:r>
    </w:p>
    <w:p>
      <w:pPr>
        <w:pStyle w:val="nzIndenti"/>
      </w:pPr>
      <w:r>
        <w:tab/>
        <w:t>(i)</w:t>
      </w:r>
      <w:r>
        <w:tab/>
        <w:t>plans for demolition; and</w:t>
      </w:r>
    </w:p>
    <w:p>
      <w:pPr>
        <w:pStyle w:val="nzIndenti"/>
      </w:pPr>
      <w:r>
        <w:tab/>
        <w:t>(ii)</w:t>
      </w:r>
      <w:r>
        <w:tab/>
        <w:t>plans for subdivision; and</w:t>
      </w:r>
    </w:p>
    <w:p>
      <w:pPr>
        <w:pStyle w:val="nzIndenti"/>
      </w:pPr>
      <w:r>
        <w:tab/>
        <w:t>(iii)</w:t>
      </w:r>
      <w:r>
        <w:tab/>
        <w:t>architectural plans for development;</w:t>
      </w:r>
    </w:p>
    <w:p>
      <w:pPr>
        <w:pStyle w:val="nzIndenta"/>
      </w:pPr>
      <w:r>
        <w:tab/>
      </w:r>
      <w:r>
        <w:tab/>
        <w:t>and</w:t>
      </w:r>
    </w:p>
    <w:p>
      <w:pPr>
        <w:pStyle w:val="nz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nzIndenta"/>
      </w:pPr>
      <w:r>
        <w:tab/>
        <w:t>(h)</w:t>
      </w:r>
      <w:r>
        <w:tab/>
        <w:t>indicate, in detail, the stages and timeframes proposed for progress of the proposal if it proceeds, including expectations for when vacant possession of lots and common property will be required; and</w:t>
      </w:r>
    </w:p>
    <w:p>
      <w:pPr>
        <w:pStyle w:val="nzIndenta"/>
      </w:pPr>
      <w:r>
        <w:tab/>
        <w:t>(i)</w:t>
      </w:r>
      <w:r>
        <w:tab/>
        <w:t>describe any proposals for the temporary relocation of owners of lots, including any payments proposed to be made to owners to enable them to arrange temporary relocation; and</w:t>
      </w:r>
    </w:p>
    <w:p>
      <w:pPr>
        <w:pStyle w:val="nzIndenta"/>
      </w:pPr>
      <w:r>
        <w:tab/>
        <w:t>(j)</w:t>
      </w:r>
      <w:r>
        <w:tab/>
        <w:t>include a statement obtained from the strata company of —</w:t>
      </w:r>
    </w:p>
    <w:p>
      <w:pPr>
        <w:pStyle w:val="nzIndenti"/>
      </w:pPr>
      <w:r>
        <w:tab/>
        <w:t>(i)</w:t>
      </w:r>
      <w:r>
        <w:tab/>
        <w:t>its current assets and liabilities; and</w:t>
      </w:r>
    </w:p>
    <w:p>
      <w:pPr>
        <w:pStyle w:val="nzIndenti"/>
      </w:pPr>
      <w:r>
        <w:tab/>
        <w:t>(ii)</w:t>
      </w:r>
      <w:r>
        <w:tab/>
        <w:t>any legal proceedings or pending legal proceedings to which the strata company is or proposes to become a party;</w:t>
      </w:r>
    </w:p>
    <w:p>
      <w:pPr>
        <w:pStyle w:val="nzIndenta"/>
      </w:pPr>
      <w:r>
        <w:tab/>
      </w:r>
      <w:r>
        <w:tab/>
        <w:t>and</w:t>
      </w:r>
    </w:p>
    <w:p>
      <w:pPr>
        <w:pStyle w:val="nzIndenta"/>
      </w:pPr>
      <w:r>
        <w:tab/>
        <w:t>(k)</w:t>
      </w:r>
      <w:r>
        <w:tab/>
        <w:t>specify the steps that will be taken to wind up the strata company, including for the realisation of assets and the discharge or transfer of liabilities for termination of the scheme; and</w:t>
      </w:r>
    </w:p>
    <w:p>
      <w:pPr>
        <w:pStyle w:val="nzIndenta"/>
      </w:pPr>
      <w:r>
        <w:tab/>
        <w:t>(l)</w:t>
      </w:r>
      <w:r>
        <w:tab/>
        <w:t>any other information required by the regulations.</w:t>
      </w:r>
    </w:p>
    <w:p>
      <w:pPr>
        <w:pStyle w:val="nz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nzIndenta"/>
      </w:pPr>
      <w:r>
        <w:tab/>
        <w:t>(a)</w:t>
      </w:r>
      <w:r>
        <w:tab/>
        <w:t>a report of a structural engineer on the state and condition of each scheme building and the infrastructure on the common property in the strata titles scheme; and</w:t>
      </w:r>
    </w:p>
    <w:p>
      <w:pPr>
        <w:pStyle w:val="nz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nzIndenta"/>
      </w:pPr>
      <w:r>
        <w:tab/>
        <w:t>(c)</w:t>
      </w:r>
      <w:r>
        <w:tab/>
        <w:t>a report of a quantity surveyor estimating the cost of the works identified in the report under paragraph (b).</w:t>
      </w:r>
    </w:p>
    <w:p>
      <w:pPr>
        <w:pStyle w:val="nz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nzSubsection"/>
      </w:pPr>
      <w:r>
        <w:tab/>
        <w:t>(4)</w:t>
      </w:r>
      <w:r>
        <w:tab/>
        <w:t xml:space="preserve">The regulations must prescribe matters relating to the determination of the market value of a lot for a termination valuation report, including a valuation methodology that takes account of — </w:t>
      </w:r>
    </w:p>
    <w:p>
      <w:pPr>
        <w:pStyle w:val="nzIndenta"/>
      </w:pPr>
      <w:r>
        <w:tab/>
        <w:t>(a)</w:t>
      </w:r>
      <w:r>
        <w:tab/>
        <w:t>relevant recent sales history; and</w:t>
      </w:r>
    </w:p>
    <w:p>
      <w:pPr>
        <w:pStyle w:val="nzIndenta"/>
      </w:pPr>
      <w:r>
        <w:tab/>
        <w:t>(b)</w:t>
      </w:r>
      <w:r>
        <w:tab/>
        <w:t>the highest and best use of the lot; and</w:t>
      </w:r>
    </w:p>
    <w:p>
      <w:pPr>
        <w:pStyle w:val="nzIndenta"/>
      </w:pPr>
      <w:r>
        <w:tab/>
        <w:t>(c)</w:t>
      </w:r>
      <w:r>
        <w:tab/>
        <w:t>the value attributable to the owner’s interest in the common property of the strata titles scheme.</w:t>
      </w:r>
    </w:p>
    <w:p>
      <w:pPr>
        <w:pStyle w:val="nzSubsection"/>
      </w:pPr>
      <w:r>
        <w:tab/>
        <w:t>(5)</w:t>
      </w:r>
      <w:r>
        <w:tab/>
        <w:t>The valuation must be current as at a date that is not more than 21 days (or, if some other period is specified in the regulations, that period) before submission of the full proposal to the strata company.</w:t>
      </w:r>
    </w:p>
    <w:p>
      <w:pPr>
        <w:pStyle w:val="nzSubsection"/>
      </w:pPr>
      <w:r>
        <w:tab/>
        <w:t>(6)</w:t>
      </w:r>
      <w:r>
        <w:tab/>
        <w:t>A person must, in preparing or certifying a termination infrastructure report or termination valuation report, comply with the requirements of the regulations.</w:t>
      </w:r>
    </w:p>
    <w:p>
      <w:pPr>
        <w:pStyle w:val="nzSubsection"/>
      </w:pPr>
      <w:r>
        <w:tab/>
        <w:t>(7)</w:t>
      </w:r>
      <w:r>
        <w:tab/>
        <w:t>This section does not limit the matters that can be included in a full proposal.</w:t>
      </w:r>
    </w:p>
    <w:p>
      <w:pPr>
        <w:pStyle w:val="nzSubsection"/>
      </w:pPr>
      <w:r>
        <w:tab/>
        <w:t>(8)</w:t>
      </w:r>
      <w:r>
        <w:tab/>
        <w:t>The terms of a termination proposal set out in the full proposal are in substitution for the terms set out in the outline of the termination proposal.</w:t>
      </w:r>
    </w:p>
    <w:p>
      <w:pPr>
        <w:pStyle w:val="nzSubsection"/>
      </w:pPr>
      <w:r>
        <w:tab/>
        <w:t>(9)</w:t>
      </w:r>
      <w:r>
        <w:tab/>
        <w:t>A full proposal, including the termination infrastructure report and the termination valuation report must be in the approved form.</w:t>
      </w:r>
    </w:p>
    <w:p>
      <w:pPr>
        <w:pStyle w:val="nzHeading5"/>
      </w:pPr>
      <w:bookmarkStart w:id="1749" w:name="_Toc530474542"/>
      <w:bookmarkStart w:id="1750" w:name="_Toc530475137"/>
      <w:r>
        <w:t>180.</w:t>
      </w:r>
      <w:r>
        <w:tab/>
        <w:t>Support of owner of leasehold scheme required</w:t>
      </w:r>
      <w:bookmarkEnd w:id="1749"/>
      <w:bookmarkEnd w:id="1750"/>
    </w:p>
    <w:p>
      <w:pPr>
        <w:pStyle w:val="nz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nzSubsection"/>
      </w:pPr>
      <w:r>
        <w:tab/>
        <w:t>(2)</w:t>
      </w:r>
      <w:r>
        <w:tab/>
        <w:t>A strata company must, as soon as reasonably practicable, give written notice to the proponent of the termination proposal of the receipt of a notice under subsection (1).</w:t>
      </w:r>
    </w:p>
    <w:p>
      <w:pPr>
        <w:pStyle w:val="nzHeading5"/>
      </w:pPr>
      <w:bookmarkStart w:id="1751" w:name="_Toc530474543"/>
      <w:bookmarkStart w:id="1752" w:name="_Toc530475138"/>
      <w:r>
        <w:t>181.</w:t>
      </w:r>
      <w:r>
        <w:tab/>
        <w:t>Meetings and submissions</w:t>
      </w:r>
      <w:bookmarkEnd w:id="1751"/>
      <w:bookmarkEnd w:id="1752"/>
    </w:p>
    <w:p>
      <w:pPr>
        <w:pStyle w:val="nzSubsection"/>
      </w:pPr>
      <w:r>
        <w:tab/>
        <w:t>(1)</w:t>
      </w:r>
      <w:r>
        <w:tab/>
        <w:t>After receipt of a full proposal, 1 or more general meetings of the strata company must be convened to consider the termination proposal (unless it is a proposal that cannot proceed further).</w:t>
      </w:r>
    </w:p>
    <w:p>
      <w:pPr>
        <w:pStyle w:val="nz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nz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nzSubsection"/>
      </w:pPr>
      <w:r>
        <w:tab/>
        <w:t>(4)</w:t>
      </w:r>
      <w:r>
        <w:tab/>
        <w:t>The council of the strata company may —</w:t>
      </w:r>
    </w:p>
    <w:p>
      <w:pPr>
        <w:pStyle w:val="nzIndenta"/>
      </w:pPr>
      <w:r>
        <w:tab/>
        <w:t>(a)</w:t>
      </w:r>
      <w:r>
        <w:tab/>
        <w:t>discuss a termination proposal with the proponent; and</w:t>
      </w:r>
    </w:p>
    <w:p>
      <w:pPr>
        <w:pStyle w:val="nzIndenta"/>
      </w:pPr>
      <w:r>
        <w:tab/>
        <w:t>(b)</w:t>
      </w:r>
      <w:r>
        <w:tab/>
        <w:t>inform the owners of lots in the strata titles scheme of those discussions and of any clarifications or additional information provided by the proponent; and</w:t>
      </w:r>
    </w:p>
    <w:p>
      <w:pPr>
        <w:pStyle w:val="nzIndenta"/>
      </w:pPr>
      <w:r>
        <w:tab/>
        <w:t>(c)</w:t>
      </w:r>
      <w:r>
        <w:tab/>
        <w:t>make recommendations to the owners of the lots in the strata titles scheme regarding the proposal.</w:t>
      </w:r>
    </w:p>
    <w:p>
      <w:pPr>
        <w:pStyle w:val="nzSubsection"/>
      </w:pPr>
      <w:r>
        <w:tab/>
        <w:t>(5)</w:t>
      </w:r>
      <w:r>
        <w:tab/>
        <w:t>The regulations may impose additional requirements about the process required for consideration of a termination proposal.</w:t>
      </w:r>
    </w:p>
    <w:p>
      <w:pPr>
        <w:pStyle w:val="nzHeading5"/>
      </w:pPr>
      <w:bookmarkStart w:id="1753" w:name="_Toc530474544"/>
      <w:bookmarkStart w:id="1754" w:name="_Toc530475139"/>
      <w:r>
        <w:t>182.</w:t>
      </w:r>
      <w:r>
        <w:tab/>
        <w:t>Vote</w:t>
      </w:r>
      <w:bookmarkEnd w:id="1753"/>
      <w:bookmarkEnd w:id="1754"/>
    </w:p>
    <w:p>
      <w:pPr>
        <w:pStyle w:val="nz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nzPermNoteHeading"/>
      </w:pPr>
      <w:r>
        <w:tab/>
        <w:t>Note for this subsection:</w:t>
      </w:r>
    </w:p>
    <w:p>
      <w:pPr>
        <w:pStyle w:val="nzPermNoteText"/>
      </w:pPr>
      <w:r>
        <w:tab/>
      </w:r>
      <w:r>
        <w:tab/>
        <w:t>The terms of the termination proposal are as set out in the full proposal rather than the outline: see section 179(8).</w:t>
      </w:r>
    </w:p>
    <w:p>
      <w:pPr>
        <w:pStyle w:val="nz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nzSubsection"/>
      </w:pPr>
      <w:r>
        <w:tab/>
        <w:t>(3)</w:t>
      </w:r>
      <w:r>
        <w:tab/>
        <w:t>A termination proposal may be modified and a further vote taken on the proposal, but no more than 3 such votes may be taken and each vote must be taken within the period referred to in subsection (2).</w:t>
      </w:r>
    </w:p>
    <w:p>
      <w:pPr>
        <w:pStyle w:val="nzSubsection"/>
      </w:pPr>
      <w:r>
        <w:tab/>
        <w:t>(4)</w:t>
      </w:r>
      <w:r>
        <w:tab/>
        <w:t>A person who is independent of the strata company and the proponent of the termination proposal must be appointed to tally and count the votes on the proposal.</w:t>
      </w:r>
    </w:p>
    <w:p>
      <w:pPr>
        <w:pStyle w:val="nzSubsection"/>
      </w:pPr>
      <w:r>
        <w:tab/>
        <w:t>(5)</w:t>
      </w:r>
      <w:r>
        <w:tab/>
        <w:t>The vote must be taken as follows —</w:t>
      </w:r>
    </w:p>
    <w:p>
      <w:pPr>
        <w:pStyle w:val="nzIndenta"/>
      </w:pPr>
      <w:r>
        <w:tab/>
        <w:t>(a)</w:t>
      </w:r>
      <w:r>
        <w:tab/>
        <w:t>1 vote may be cast for each lot in the strata titles scheme;</w:t>
      </w:r>
    </w:p>
    <w:p>
      <w:pPr>
        <w:pStyle w:val="nzIndenta"/>
      </w:pPr>
      <w:r>
        <w:tab/>
        <w:t>(b)</w:t>
      </w:r>
      <w:r>
        <w:tab/>
        <w:t>the value of each vote is 1.</w:t>
      </w:r>
    </w:p>
    <w:p>
      <w:pPr>
        <w:pStyle w:val="nzSubsection"/>
      </w:pPr>
      <w:r>
        <w:tab/>
        <w:t>(6)</w:t>
      </w:r>
      <w:r>
        <w:tab/>
        <w:t>A termination resolution is passed if the number of votes cast in favour of the termination proposal equals the number of lots in the strata titles scheme.</w:t>
      </w:r>
    </w:p>
    <w:p>
      <w:pPr>
        <w:pStyle w:val="nzSubsection"/>
      </w:pPr>
      <w:r>
        <w:tab/>
        <w:t>(7)</w:t>
      </w:r>
      <w:r>
        <w:tab/>
        <w:t>A termination resolution is passed subject to the confirmation of the Tribunal if —</w:t>
      </w:r>
    </w:p>
    <w:p>
      <w:pPr>
        <w:pStyle w:val="nzIndenta"/>
      </w:pPr>
      <w:r>
        <w:tab/>
        <w:t>(a)</w:t>
      </w:r>
      <w:r>
        <w:tab/>
        <w:t>the strata titles scheme has 5 or more lots; and</w:t>
      </w:r>
    </w:p>
    <w:p>
      <w:pPr>
        <w:pStyle w:val="nzIndenta"/>
      </w:pPr>
      <w:r>
        <w:tab/>
        <w:t>(b)</w:t>
      </w:r>
      <w:r>
        <w:tab/>
        <w:t>the number of votes cast in favour of the termination proposal is at least 80% of the total number of lots in the scheme.</w:t>
      </w:r>
    </w:p>
    <w:p>
      <w:pPr>
        <w:pStyle w:val="nzSubsection"/>
      </w:pPr>
      <w:r>
        <w:tab/>
        <w:t>(8)</w:t>
      </w:r>
      <w:r>
        <w:tab/>
        <w:t>Section 126(a) does not apply to voting on a termination resolution.</w:t>
      </w:r>
    </w:p>
    <w:p>
      <w:pPr>
        <w:pStyle w:val="nz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nzSubsection"/>
      </w:pPr>
      <w:r>
        <w:tab/>
        <w:t>(10)</w:t>
      </w:r>
      <w:r>
        <w:tab/>
        <w:t>The independent person appointed to tally and count the votes must —</w:t>
      </w:r>
    </w:p>
    <w:p>
      <w:pPr>
        <w:pStyle w:val="nzIndenta"/>
      </w:pPr>
      <w:r>
        <w:tab/>
        <w:t>(a)</w:t>
      </w:r>
      <w:r>
        <w:tab/>
        <w:t>make a record of each vote identifying the lot for which it is cast and the date on which it was cast, and the tally of the votes; and</w:t>
      </w:r>
    </w:p>
    <w:p>
      <w:pPr>
        <w:pStyle w:val="nz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nz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nzSubsection"/>
      </w:pPr>
      <w:r>
        <w:tab/>
        <w:t>(11)</w:t>
      </w:r>
      <w:r>
        <w:tab/>
        <w:t>A strata company must, as soon as practicable after a termination resolution is passed —</w:t>
      </w:r>
    </w:p>
    <w:p>
      <w:pPr>
        <w:pStyle w:val="nzIndenta"/>
      </w:pPr>
      <w:r>
        <w:tab/>
        <w:t>(a)</w:t>
      </w:r>
      <w:r>
        <w:tab/>
        <w:t>lodge with the Registrar of Titles notice of that fact in the approved form; and</w:t>
      </w:r>
    </w:p>
    <w:p>
      <w:pPr>
        <w:pStyle w:val="nzIndenta"/>
      </w:pPr>
      <w:r>
        <w:tab/>
        <w:t>(b)</w:t>
      </w:r>
      <w:r>
        <w:tab/>
        <w:t>give written notice of that fact to —</w:t>
      </w:r>
    </w:p>
    <w:p>
      <w:pPr>
        <w:pStyle w:val="nzIndenti"/>
      </w:pPr>
      <w:r>
        <w:tab/>
        <w:t>(i)</w:t>
      </w:r>
      <w:r>
        <w:tab/>
        <w:t>the proponent of the termination proposal; and</w:t>
      </w:r>
    </w:p>
    <w:p>
      <w:pPr>
        <w:pStyle w:val="nzIndenti"/>
      </w:pPr>
      <w:r>
        <w:tab/>
        <w:t>(ii)</w:t>
      </w:r>
      <w:r>
        <w:tab/>
        <w:t>for a leasehold scheme, the owner of the leasehold scheme.</w:t>
      </w:r>
    </w:p>
    <w:p>
      <w:pPr>
        <w:pStyle w:val="nzSubsection"/>
      </w:pPr>
      <w:r>
        <w:tab/>
        <w:t>(12)</w:t>
      </w:r>
      <w:r>
        <w:tab/>
        <w:t>The notice must include a statement of whether or not confirmation of the termination resolution by the Tribunal is required.</w:t>
      </w:r>
    </w:p>
    <w:p>
      <w:pPr>
        <w:pStyle w:val="nzSubsection"/>
      </w:pPr>
      <w:r>
        <w:tab/>
        <w:t>(13)</w:t>
      </w:r>
      <w:r>
        <w:tab/>
        <w:t>The regulations may impose additional requirements about the process required for voting on a termination proposal.</w:t>
      </w:r>
    </w:p>
    <w:p>
      <w:pPr>
        <w:pStyle w:val="nzHeading5"/>
      </w:pPr>
      <w:bookmarkStart w:id="1755" w:name="_Toc530474545"/>
      <w:bookmarkStart w:id="1756" w:name="_Toc530475140"/>
      <w:r>
        <w:t>183.</w:t>
      </w:r>
      <w:r>
        <w:tab/>
        <w:t>Confirmation of termination resolution by Tribunal</w:t>
      </w:r>
      <w:bookmarkEnd w:id="1755"/>
      <w:bookmarkEnd w:id="1756"/>
    </w:p>
    <w:p>
      <w:pPr>
        <w:pStyle w:val="nzSubsection"/>
      </w:pPr>
      <w:r>
        <w:tab/>
        <w:t>(1)</w:t>
      </w:r>
      <w:r>
        <w:tab/>
        <w:t>If a termination proposal can proceed further only if the Tribunal confirms the termination resolution, the proponent of the proposal can apply to the Tribunal for that confirmation.</w:t>
      </w:r>
    </w:p>
    <w:p>
      <w:pPr>
        <w:pStyle w:val="nzSubsection"/>
      </w:pPr>
      <w:r>
        <w:tab/>
        <w:t>(2)</w:t>
      </w:r>
      <w:r>
        <w:tab/>
        <w:t>The application must be made within 28 days after the date on which the termination resolution is passed or within an extension of that period given by the Tribunal.</w:t>
      </w:r>
    </w:p>
    <w:p>
      <w:pPr>
        <w:pStyle w:val="nzSubsection"/>
      </w:pPr>
      <w:r>
        <w:tab/>
        <w:t>(3)</w:t>
      </w:r>
      <w:r>
        <w:tab/>
        <w:t>The application must be accompanied by —</w:t>
      </w:r>
    </w:p>
    <w:p>
      <w:pPr>
        <w:pStyle w:val="nzIndenta"/>
      </w:pPr>
      <w:r>
        <w:tab/>
        <w:t>(a)</w:t>
      </w:r>
      <w:r>
        <w:tab/>
        <w:t>the full proposal for the termination of the strata titles scheme; and</w:t>
      </w:r>
    </w:p>
    <w:p>
      <w:pPr>
        <w:pStyle w:val="nzIndenta"/>
      </w:pPr>
      <w:r>
        <w:tab/>
        <w:t>(b)</w:t>
      </w:r>
      <w:r>
        <w:tab/>
        <w:t>all written submissions made to the proponent about the termination proposal; and</w:t>
      </w:r>
    </w:p>
    <w:p>
      <w:pPr>
        <w:pStyle w:val="nzIndenta"/>
      </w:pPr>
      <w:r>
        <w:tab/>
        <w:t>(c)</w:t>
      </w:r>
      <w:r>
        <w:tab/>
        <w:t>any other material specified in the regulations.</w:t>
      </w:r>
    </w:p>
    <w:p>
      <w:pPr>
        <w:pStyle w:val="nzSubsection"/>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nzIndenta"/>
      </w:pPr>
      <w:r>
        <w:tab/>
        <w:t>(a)</w:t>
      </w:r>
      <w:r>
        <w:tab/>
        <w:t>the strata company for the strata titles scheme; and</w:t>
      </w:r>
    </w:p>
    <w:p>
      <w:pPr>
        <w:pStyle w:val="nzIndenta"/>
      </w:pPr>
      <w:r>
        <w:tab/>
        <w:t>(b)</w:t>
      </w:r>
      <w:r>
        <w:tab/>
        <w:t>for a leasehold scheme, the owner of the leasehold scheme.</w:t>
      </w:r>
    </w:p>
    <w:p>
      <w:pPr>
        <w:pStyle w:val="nzSubsection"/>
      </w:pPr>
      <w:r>
        <w:tab/>
        <w:t>(5)</w:t>
      </w:r>
      <w:r>
        <w:tab/>
        <w:t>The strata company and, for a leasehold scheme, the owner of the leasehold scheme, will be taken to be parties to the proceedings.</w:t>
      </w:r>
    </w:p>
    <w:p>
      <w:pPr>
        <w:pStyle w:val="nzSubsection"/>
      </w:pPr>
      <w:r>
        <w:tab/>
        <w:t>(6)</w:t>
      </w:r>
      <w:r>
        <w:tab/>
        <w:t>The strata company must, within 14 days after being given notice of the application —</w:t>
      </w:r>
    </w:p>
    <w:p>
      <w:pPr>
        <w:pStyle w:val="nzIndenta"/>
      </w:pPr>
      <w:r>
        <w:tab/>
        <w:t>(a)</w:t>
      </w:r>
      <w:r>
        <w:tab/>
        <w:t>serve notice of the application on each person who is —</w:t>
      </w:r>
    </w:p>
    <w:p>
      <w:pPr>
        <w:pStyle w:val="nzIndenti"/>
      </w:pPr>
      <w:r>
        <w:tab/>
        <w:t>(i)</w:t>
      </w:r>
      <w:r>
        <w:tab/>
        <w:t>the owner, occupier or registered mortgagee of a lot in the strata titles scheme; or</w:t>
      </w:r>
    </w:p>
    <w:p>
      <w:pPr>
        <w:pStyle w:val="nzIndenti"/>
      </w:pPr>
      <w:r>
        <w:tab/>
        <w:t>(ii)</w:t>
      </w:r>
      <w:r>
        <w:tab/>
        <w:t>the occupier of common property in the strata titles scheme; or</w:t>
      </w:r>
    </w:p>
    <w:p>
      <w:pPr>
        <w:pStyle w:val="nzIndenti"/>
      </w:pPr>
      <w:r>
        <w:tab/>
        <w:t>(iii)</w:t>
      </w:r>
      <w:r>
        <w:tab/>
        <w:t>a person whom the Tribunal requires to be served with notice of the application;</w:t>
      </w:r>
    </w:p>
    <w:p>
      <w:pPr>
        <w:pStyle w:val="nzIndenta"/>
      </w:pPr>
      <w:r>
        <w:tab/>
      </w:r>
      <w:r>
        <w:tab/>
        <w:t>and</w:t>
      </w:r>
    </w:p>
    <w:p>
      <w:pPr>
        <w:pStyle w:val="nz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nzIndenta"/>
      </w:pPr>
      <w:r>
        <w:tab/>
        <w:t>(c)</w:t>
      </w:r>
      <w:r>
        <w:tab/>
        <w:t>provide the following to the Tribunal (which may then be released by the Tribunal to any person entitled to appear and be heard or to make submissions) —</w:t>
      </w:r>
    </w:p>
    <w:p>
      <w:pPr>
        <w:pStyle w:val="nzIndenti"/>
      </w:pPr>
      <w:r>
        <w:tab/>
        <w:t>(i)</w:t>
      </w:r>
      <w:r>
        <w:tab/>
        <w:t>for a leasehold scheme, a copy of the notice of support for the termination resolution given by the owner of the leasehold scheme under section 180;</w:t>
      </w:r>
    </w:p>
    <w:p>
      <w:pPr>
        <w:pStyle w:val="nzIndenti"/>
      </w:pPr>
      <w:r>
        <w:tab/>
        <w:t>(ii)</w:t>
      </w:r>
      <w:r>
        <w:tab/>
        <w:t>a record (as provided by the independent person who counted the votes) of each vote on the termination resolution, identifying the lot for which it was cast and the date on which it was cast, and a tally of the votes;</w:t>
      </w:r>
    </w:p>
    <w:p>
      <w:pPr>
        <w:pStyle w:val="nzIndenti"/>
      </w:pPr>
      <w:r>
        <w:tab/>
        <w:t>(iii)</w:t>
      </w:r>
      <w:r>
        <w:tab/>
        <w:t>minutes of all meetings of the strata company or the council of the strata company at which the termination proposal was considered;</w:t>
      </w:r>
    </w:p>
    <w:p>
      <w:pPr>
        <w:pStyle w:val="nzIndenti"/>
      </w:pPr>
      <w:r>
        <w:tab/>
        <w:t>(iv)</w:t>
      </w:r>
      <w:r>
        <w:tab/>
        <w:t>all written submissions made to the strata company about the termination proposal;</w:t>
      </w:r>
    </w:p>
    <w:p>
      <w:pPr>
        <w:pStyle w:val="nzIndenti"/>
      </w:pPr>
      <w:r>
        <w:tab/>
        <w:t>(v)</w:t>
      </w:r>
      <w:r>
        <w:tab/>
        <w:t>the scheme plan, scheme by</w:t>
      </w:r>
      <w:r>
        <w:noBreakHyphen/>
        <w:t>laws and schedule of unit entitlements for the strata titles scheme;</w:t>
      </w:r>
    </w:p>
    <w:p>
      <w:pPr>
        <w:pStyle w:val="nzIndenti"/>
      </w:pPr>
      <w:r>
        <w:tab/>
        <w:t>(vi)</w:t>
      </w:r>
      <w:r>
        <w:tab/>
        <w:t>anything else required by the regulations;</w:t>
      </w:r>
    </w:p>
    <w:p>
      <w:pPr>
        <w:pStyle w:val="nzIndenta"/>
      </w:pPr>
      <w:r>
        <w:tab/>
      </w:r>
      <w:r>
        <w:tab/>
        <w:t>and</w:t>
      </w:r>
    </w:p>
    <w:p>
      <w:pPr>
        <w:pStyle w:val="nzIndenta"/>
      </w:pPr>
      <w:r>
        <w:tab/>
        <w:t>(d)</w:t>
      </w:r>
      <w:r>
        <w:tab/>
        <w:t>lodge with the Registrar of Titles notice of the application in the approved form.</w:t>
      </w:r>
    </w:p>
    <w:p>
      <w:pPr>
        <w:pStyle w:val="nzSubsection"/>
      </w:pPr>
      <w:r>
        <w:tab/>
        <w:t>(7)</w:t>
      </w:r>
      <w:r>
        <w:tab/>
        <w:t>A person who is required to be served with notice of the application is entitled to appear and be heard or make written submissions to the Tribunal (as the Tribunal determines).</w:t>
      </w:r>
    </w:p>
    <w:p>
      <w:pPr>
        <w:pStyle w:val="nzSubsection"/>
      </w:pPr>
      <w:r>
        <w:tab/>
        <w:t>(8)</w:t>
      </w:r>
      <w:r>
        <w:tab/>
        <w:t>In proceedings for confirmation of a termination resolution of a strata company, the Tribunal may —</w:t>
      </w:r>
    </w:p>
    <w:p>
      <w:pPr>
        <w:pStyle w:val="nzIndenta"/>
      </w:pPr>
      <w:r>
        <w:tab/>
        <w:t>(a)</w:t>
      </w:r>
      <w:r>
        <w:tab/>
        <w:t>make an order confirming the termination resolution (which may be subject to the termination proposal being modified in a specified manner as set out in subsection (13)); or</w:t>
      </w:r>
    </w:p>
    <w:p>
      <w:pPr>
        <w:pStyle w:val="nzIndenta"/>
      </w:pPr>
      <w:r>
        <w:tab/>
        <w:t>(b)</w:t>
      </w:r>
      <w:r>
        <w:tab/>
        <w:t>make a decision not to make such an order.</w:t>
      </w:r>
    </w:p>
    <w:p>
      <w:pPr>
        <w:pStyle w:val="nzSubsection"/>
      </w:pPr>
      <w:r>
        <w:tab/>
        <w:t>(9)</w:t>
      </w:r>
      <w:r>
        <w:tab/>
        <w:t>The Tribunal can only confirm a termination resolution if the proponent of the termination proposal satisfies the Tribunal that —</w:t>
      </w:r>
    </w:p>
    <w:p>
      <w:pPr>
        <w:pStyle w:val="nzIndenta"/>
      </w:pPr>
      <w:r>
        <w:tab/>
        <w:t>(a)</w:t>
      </w:r>
      <w:r>
        <w:tab/>
        <w:t>the process required by this Division has been complied with; and</w:t>
      </w:r>
    </w:p>
    <w:p>
      <w:pPr>
        <w:pStyle w:val="nzIndenta"/>
      </w:pPr>
      <w:r>
        <w:tab/>
        <w:t>(b)</w:t>
      </w:r>
      <w:r>
        <w:tab/>
        <w:t>under the termination proposal, the owner of a lot in the strata titles scheme who does not support the termination will receive fair market value for the lot or a like for like exchange for the lot; and</w:t>
      </w:r>
    </w:p>
    <w:p>
      <w:pPr>
        <w:pStyle w:val="nzIndenta"/>
      </w:pPr>
      <w:r>
        <w:tab/>
        <w:t>(c)</w:t>
      </w:r>
      <w:r>
        <w:tab/>
        <w:t>the termination proposal is otherwise just and equitable having regard to —</w:t>
      </w:r>
    </w:p>
    <w:p>
      <w:pPr>
        <w:pStyle w:val="nzIndenti"/>
      </w:pPr>
      <w:r>
        <w:tab/>
        <w:t>(i)</w:t>
      </w:r>
      <w:r>
        <w:tab/>
        <w:t>the interests of the owners of the lots in the strata titles scheme; and</w:t>
      </w:r>
    </w:p>
    <w:p>
      <w:pPr>
        <w:pStyle w:val="nzIndenti"/>
      </w:pPr>
      <w:r>
        <w:tab/>
        <w:t>(ii)</w:t>
      </w:r>
      <w:r>
        <w:tab/>
        <w:t>if it is a leasehold scheme, the interests of the owner of the leasehold scheme; and</w:t>
      </w:r>
    </w:p>
    <w:p>
      <w:pPr>
        <w:pStyle w:val="nzIndenti"/>
      </w:pPr>
      <w:r>
        <w:tab/>
        <w:t>(iii)</w:t>
      </w:r>
      <w:r>
        <w:tab/>
        <w:t>the interests of occupiers of the lots and the occupiers of the common property in the strata titles scheme; and</w:t>
      </w:r>
    </w:p>
    <w:p>
      <w:pPr>
        <w:pStyle w:val="nzIndenti"/>
      </w:pPr>
      <w:r>
        <w:tab/>
        <w:t>(iv)</w:t>
      </w:r>
      <w:r>
        <w:tab/>
        <w:t>the interests of registered mortgagees of the lots in the strata titles scheme; and</w:t>
      </w:r>
    </w:p>
    <w:p>
      <w:pPr>
        <w:pStyle w:val="nzIndenti"/>
      </w:pPr>
      <w:r>
        <w:tab/>
        <w:t>(v)</w:t>
      </w:r>
      <w:r>
        <w:tab/>
        <w:t>the interests of any other person with an estate or interest in, or right over, a lot or common property in the strata titles scheme that is registered or recorded in the Register.</w:t>
      </w:r>
    </w:p>
    <w:p>
      <w:pPr>
        <w:pStyle w:val="nzSubsection"/>
      </w:pPr>
      <w:r>
        <w:tab/>
        <w:t>(10)</w:t>
      </w:r>
      <w:r>
        <w:tab/>
        <w:t>In determining under subsection (9)(b) whether an owner of a lot will receive fair market value for the lot —</w:t>
      </w:r>
    </w:p>
    <w:p>
      <w:pPr>
        <w:pStyle w:val="nzIndenta"/>
      </w:pPr>
      <w:r>
        <w:tab/>
        <w:t>(a)</w:t>
      </w:r>
      <w:r>
        <w:tab/>
        <w:t>the Tribunal must be satisfied that —</w:t>
      </w:r>
    </w:p>
    <w:p>
      <w:pPr>
        <w:pStyle w:val="nz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nzIndenti"/>
      </w:pPr>
      <w:r>
        <w:tab/>
        <w:t>(ii)</w:t>
      </w:r>
      <w:r>
        <w:tab/>
        <w:t>the owner will not be disadvantaged in terms of the owner’s financial position as a result of the termination of the strata titles scheme;</w:t>
      </w:r>
    </w:p>
    <w:p>
      <w:pPr>
        <w:pStyle w:val="nzIndenta"/>
      </w:pPr>
      <w:r>
        <w:tab/>
      </w:r>
      <w:r>
        <w:tab/>
        <w:t>and</w:t>
      </w:r>
    </w:p>
    <w:p>
      <w:pPr>
        <w:pStyle w:val="nz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nzIndenti"/>
      </w:pPr>
      <w:r>
        <w:tab/>
        <w:t>(i)</w:t>
      </w:r>
      <w:r>
        <w:tab/>
        <w:t>that section is to be read as if the owner of the lot were the claimant and the proponent of the termination proposal were the acquiring authority; and</w:t>
      </w:r>
    </w:p>
    <w:p>
      <w:pPr>
        <w:pStyle w:val="nzIndenti"/>
      </w:pPr>
      <w:r>
        <w:tab/>
        <w:t>(ii)</w:t>
      </w:r>
      <w:r>
        <w:tab/>
        <w:t>no regard is to be had to any reference to proposed public works nor to the undertaking of improvements after there is a notice of intention; and</w:t>
      </w:r>
    </w:p>
    <w:p>
      <w:pPr>
        <w:pStyle w:val="nz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nzIndenta"/>
      </w:pPr>
      <w:r>
        <w:tab/>
      </w:r>
      <w:r>
        <w:tab/>
        <w:t>and</w:t>
      </w:r>
    </w:p>
    <w:p>
      <w:pPr>
        <w:pStyle w:val="nzIndenta"/>
      </w:pPr>
      <w:r>
        <w:tab/>
        <w:t>(c)</w:t>
      </w:r>
      <w:r>
        <w:tab/>
        <w:t>without limitation, regard is to be had to the loss or damage, if any, sustained by the owner by reason of any of the following —</w:t>
      </w:r>
    </w:p>
    <w:p>
      <w:pPr>
        <w:pStyle w:val="nzIndenti"/>
      </w:pPr>
      <w:r>
        <w:tab/>
        <w:t>(i)</w:t>
      </w:r>
      <w:r>
        <w:tab/>
        <w:t>removal expenses;</w:t>
      </w:r>
    </w:p>
    <w:p>
      <w:pPr>
        <w:pStyle w:val="nzIndenti"/>
      </w:pPr>
      <w:r>
        <w:tab/>
        <w:t>(ii)</w:t>
      </w:r>
      <w:r>
        <w:tab/>
        <w:t>disruption and reinstatement of a business;</w:t>
      </w:r>
    </w:p>
    <w:p>
      <w:pPr>
        <w:pStyle w:val="nzIndenti"/>
      </w:pPr>
      <w:r>
        <w:tab/>
        <w:t>(iii)</w:t>
      </w:r>
      <w:r>
        <w:tab/>
        <w:t>liability for capital gains tax, goods and services tax or other tax or duty;</w:t>
      </w:r>
    </w:p>
    <w:p>
      <w:pPr>
        <w:pStyle w:val="nzIndenti"/>
      </w:pPr>
      <w:r>
        <w:tab/>
        <w:t>(iv)</w:t>
      </w:r>
      <w:r>
        <w:tab/>
        <w:t>conveyancing and legal costs and other costs associated with the creation or discharge of mortgages and other interests, including for the acquisition of a replacement property.</w:t>
      </w:r>
    </w:p>
    <w:p>
      <w:pPr>
        <w:pStyle w:val="nzSubsection"/>
      </w:pPr>
      <w:r>
        <w:tab/>
        <w:t>(11)</w:t>
      </w:r>
      <w:r>
        <w:tab/>
        <w:t>In determining under subsection (9)(b) whether an owner of a lot will receive a like for like exchange for the lot, the Tribunal must consider —</w:t>
      </w:r>
    </w:p>
    <w:p>
      <w:pPr>
        <w:pStyle w:val="nzIndenta"/>
      </w:pPr>
      <w:r>
        <w:tab/>
        <w:t>(a)</w:t>
      </w:r>
      <w:r>
        <w:tab/>
        <w:t>whether the value of what is offered in exchange is equivalent to the fair market value of the lot (as set out in subsection (10)); and</w:t>
      </w:r>
    </w:p>
    <w:p>
      <w:pPr>
        <w:pStyle w:val="nzIndenta"/>
      </w:pPr>
      <w:r>
        <w:tab/>
        <w:t>(b)</w:t>
      </w:r>
      <w:r>
        <w:tab/>
        <w:t>how the location, facilities and amenity of what is offered in exchange compares to that of the lot.</w:t>
      </w:r>
    </w:p>
    <w:p>
      <w:pPr>
        <w:pStyle w:val="nzSubsection"/>
      </w:pPr>
      <w:r>
        <w:tab/>
        <w:t>(12)</w:t>
      </w:r>
      <w:r>
        <w:tab/>
        <w:t>Without limiting the factors that the Tribunal can take into account under subsection (9)(c), the Tribunal must consider the following —</w:t>
      </w:r>
    </w:p>
    <w:p>
      <w:pPr>
        <w:pStyle w:val="nzIndenta"/>
      </w:pPr>
      <w:r>
        <w:tab/>
        <w:t>(a)</w:t>
      </w:r>
      <w:r>
        <w:tab/>
        <w:t>any evidence of impropriety in the termination process, including, for example —</w:t>
      </w:r>
    </w:p>
    <w:p>
      <w:pPr>
        <w:pStyle w:val="nzIndenti"/>
      </w:pPr>
      <w:r>
        <w:tab/>
        <w:t>(i)</w:t>
      </w:r>
      <w:r>
        <w:tab/>
        <w:t>evidence of proxy votes being exercised invalidly or votes being affected by undue influence in connection with the termination resolution; and</w:t>
      </w:r>
    </w:p>
    <w:p>
      <w:pPr>
        <w:pStyle w:val="nzIndenti"/>
      </w:pPr>
      <w:r>
        <w:tab/>
        <w:t>(ii)</w:t>
      </w:r>
      <w:r>
        <w:tab/>
        <w:t>evidence of false or misleading information (whether by inclusion or omission) having been included in the outline of or the full proposal for the termination of the strata titles scheme;</w:t>
      </w:r>
    </w:p>
    <w:p>
      <w:pPr>
        <w:pStyle w:val="nzIndenta"/>
      </w:pPr>
      <w:r>
        <w:tab/>
        <w:t>(b)</w:t>
      </w:r>
      <w:r>
        <w:tab/>
        <w:t>the proportion of owners of lots in favour of and against the termination proposal in terms of numbers of lots and in terms of unit entitlements of lots;</w:t>
      </w:r>
    </w:p>
    <w:p>
      <w:pPr>
        <w:pStyle w:val="nz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nzIndenta"/>
      </w:pPr>
      <w:r>
        <w:tab/>
        <w:t>(d)</w:t>
      </w:r>
      <w:r>
        <w:tab/>
        <w:t>any arrangements for the owner of a lot in the strata titles scheme to buy back into the subdivided land following redevelopment;</w:t>
      </w:r>
    </w:p>
    <w:p>
      <w:pPr>
        <w:pStyle w:val="nzIndenta"/>
      </w:pPr>
      <w:r>
        <w:tab/>
        <w:t>(e)</w:t>
      </w:r>
      <w:r>
        <w:tab/>
        <w:t>the benefits and detriments of the termination proposal proceeding or not proceeding for all those whose interests must be taken into account.</w:t>
      </w:r>
    </w:p>
    <w:p>
      <w:pPr>
        <w:pStyle w:val="nz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nz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nz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nzSubsection"/>
      </w:pPr>
      <w:r>
        <w:tab/>
        <w:t>(16)</w:t>
      </w:r>
      <w:r>
        <w:tab/>
        <w:t>Subsection (15) does not apply to an owner in the capacity of a proponent of the termination proposal.</w:t>
      </w:r>
    </w:p>
    <w:p>
      <w:pPr>
        <w:pStyle w:val="nz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nzIndenta"/>
      </w:pPr>
      <w:r>
        <w:tab/>
        <w:t>(a)</w:t>
      </w:r>
      <w:r>
        <w:tab/>
        <w:t>the owner of a lot in the strata titles scheme must execute a transfer of ownership of the lot; or</w:t>
      </w:r>
    </w:p>
    <w:p>
      <w:pPr>
        <w:pStyle w:val="nzIndenta"/>
      </w:pPr>
      <w:r>
        <w:tab/>
        <w:t>(b)</w:t>
      </w:r>
      <w:r>
        <w:tab/>
        <w:t>if there is a duplicate certificate of title for a lot in the strata titles scheme, the owner of the lot must deliver the duplicate certificate of title to the Registrar of Titles; or</w:t>
      </w:r>
    </w:p>
    <w:p>
      <w:pPr>
        <w:pStyle w:val="nz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nzIndenta"/>
      </w:pPr>
      <w:r>
        <w:tab/>
        <w:t>(d)</w:t>
      </w:r>
      <w:r>
        <w:tab/>
        <w:t>the occupier of a lot or the common property in the strata titles scheme must vacate the lot or common property.</w:t>
      </w:r>
    </w:p>
    <w:p>
      <w:pPr>
        <w:pStyle w:val="nz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nz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nzIndenta"/>
      </w:pPr>
      <w:r>
        <w:tab/>
        <w:t>(a)</w:t>
      </w:r>
      <w:r>
        <w:tab/>
        <w:t>the tenant and the lessor must terminate the residential tenancy agreement under that Act; and</w:t>
      </w:r>
    </w:p>
    <w:p>
      <w:pPr>
        <w:pStyle w:val="nzIndenta"/>
      </w:pPr>
      <w:r>
        <w:tab/>
        <w:t>(b)</w:t>
      </w:r>
      <w:r>
        <w:tab/>
        <w:t>the premises subject to the residential tenancy agreement are taken for the purposes of section 69 of that Act to cease to be lawfully usable as a residence; and</w:t>
      </w:r>
    </w:p>
    <w:p>
      <w:pPr>
        <w:pStyle w:val="nzIndenta"/>
      </w:pPr>
      <w:r>
        <w:tab/>
        <w:t>(c)</w:t>
      </w:r>
      <w:r>
        <w:tab/>
        <w:t>if the tenant is given notice of termination under section 69 of that Act, then despite section 69(2) of that Act the period of notice must be not less than a period specified by the Tribunal; and</w:t>
      </w:r>
    </w:p>
    <w:p>
      <w:pPr>
        <w:pStyle w:val="nzIndenta"/>
      </w:pPr>
      <w:r>
        <w:tab/>
        <w:t>(d)</w:t>
      </w:r>
      <w:r>
        <w:tab/>
        <w:t>the proponent or the owner of a lot in the scheme is to make a payment to the tenant under the residential tenancy agreement in respect of the termination of the residential tenancy agreement.</w:t>
      </w:r>
    </w:p>
    <w:p>
      <w:pPr>
        <w:pStyle w:val="nz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nzIndenta"/>
      </w:pPr>
      <w:r>
        <w:tab/>
        <w:t>(a)</w:t>
      </w:r>
      <w:r>
        <w:tab/>
        <w:t>the retail shop lease is terminated on the termination of the strata titles scheme; and</w:t>
      </w:r>
    </w:p>
    <w:p>
      <w:pPr>
        <w:pStyle w:val="nzIndenta"/>
      </w:pPr>
      <w:r>
        <w:tab/>
        <w:t>(b)</w:t>
      </w:r>
      <w:r>
        <w:tab/>
        <w:t>the proponent or the owner of a lot in the scheme is to make a payment to the tenant under the retail shop lease in respect of the termination of the retail shop lease.</w:t>
      </w:r>
    </w:p>
    <w:p>
      <w:pPr>
        <w:pStyle w:val="nz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nzIndenta"/>
      </w:pPr>
      <w:r>
        <w:tab/>
        <w:t>(a)</w:t>
      </w:r>
      <w:r>
        <w:tab/>
        <w:t>the lease or licence is terminated on the termination of the strata titles scheme; and</w:t>
      </w:r>
    </w:p>
    <w:p>
      <w:pPr>
        <w:pStyle w:val="nzIndenta"/>
      </w:pPr>
      <w:r>
        <w:tab/>
        <w:t>(b)</w:t>
      </w:r>
      <w:r>
        <w:tab/>
        <w:t>the proponent or the owner of a lot in the scheme is to make a payment to the lessee or licensee in respect of the termination of the lease or licence.</w:t>
      </w:r>
    </w:p>
    <w:p>
      <w:pPr>
        <w:pStyle w:val="nzSubsection"/>
      </w:pPr>
      <w:r>
        <w:tab/>
        <w:t>(22)</w:t>
      </w:r>
      <w:r>
        <w:tab/>
        <w:t>The Tribunal’s powers under this section are exercisable only by a judicial member (or by the Tribunal constituted of a judicial member and other members).</w:t>
      </w:r>
    </w:p>
    <w:p>
      <w:pPr>
        <w:pStyle w:val="nzSubsection"/>
      </w:pPr>
      <w:r>
        <w:tab/>
        <w:t>(23)</w:t>
      </w:r>
      <w:r>
        <w:tab/>
        <w:t>A strata company must, as soon as practicable after being given notice of the decision of the Tribunal on an application under this section —</w:t>
      </w:r>
    </w:p>
    <w:p>
      <w:pPr>
        <w:pStyle w:val="nzIndenta"/>
      </w:pPr>
      <w:r>
        <w:tab/>
        <w:t>(a)</w:t>
      </w:r>
      <w:r>
        <w:tab/>
        <w:t>lodge with the Registrar of Titles notice of the decision in the approved form; and</w:t>
      </w:r>
    </w:p>
    <w:p>
      <w:pPr>
        <w:pStyle w:val="nzIndenta"/>
      </w:pPr>
      <w:r>
        <w:tab/>
        <w:t>(b)</w:t>
      </w:r>
      <w:r>
        <w:tab/>
        <w:t>give written notice of the decision to each person entitled to receive notice of the application.</w:t>
      </w:r>
    </w:p>
    <w:p>
      <w:pPr>
        <w:pStyle w:val="nzHeading5"/>
      </w:pPr>
      <w:bookmarkStart w:id="1757" w:name="_Toc530474546"/>
      <w:bookmarkStart w:id="1758" w:name="_Toc530475141"/>
      <w:r>
        <w:t>184.</w:t>
      </w:r>
      <w:r>
        <w:tab/>
        <w:t>Endorsement of subdivision approval on plan</w:t>
      </w:r>
      <w:bookmarkEnd w:id="1757"/>
      <w:bookmarkEnd w:id="1758"/>
    </w:p>
    <w:p>
      <w:pPr>
        <w:pStyle w:val="nzSubsection"/>
      </w:pPr>
      <w:r>
        <w:tab/>
        <w:t>(1)</w:t>
      </w:r>
      <w:r>
        <w:tab/>
        <w:t>If a termination proposal can proceed further under section 182 (including, if required, because the Tribunal confirms the termination resolution under section 183) —</w:t>
      </w:r>
    </w:p>
    <w:p>
      <w:pPr>
        <w:pStyle w:val="nz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nzIndenta"/>
      </w:pPr>
      <w:r>
        <w:tab/>
        <w:t>(b)</w:t>
      </w:r>
      <w:r>
        <w:tab/>
        <w:t xml:space="preserve">the owner of the land is taken to have consented to the proponent making the request under the </w:t>
      </w:r>
      <w:r>
        <w:rPr>
          <w:i/>
        </w:rPr>
        <w:t>Planning and Development Act 2005</w:t>
      </w:r>
      <w:r>
        <w:t>.</w:t>
      </w:r>
    </w:p>
    <w:p>
      <w:pPr>
        <w:pStyle w:val="nzSubsection"/>
      </w:pPr>
      <w:r>
        <w:tab/>
        <w:t>(2)</w:t>
      </w:r>
      <w:r>
        <w:tab/>
        <w:t xml:space="preserve">The </w:t>
      </w:r>
      <w:r>
        <w:rPr>
          <w:i/>
        </w:rPr>
        <w:t>Planning and Development Act 2005</w:t>
      </w:r>
      <w:r>
        <w:t xml:space="preserve"> applies to a request under subsection (1) subject to any appropriate modifications.</w:t>
      </w:r>
    </w:p>
    <w:p>
      <w:pPr>
        <w:pStyle w:val="nzHeading5"/>
      </w:pPr>
      <w:bookmarkStart w:id="1759" w:name="_Toc530474547"/>
      <w:bookmarkStart w:id="1760" w:name="_Toc530475142"/>
      <w:r>
        <w:t>185.</w:t>
      </w:r>
      <w:r>
        <w:tab/>
        <w:t>Application for termination of scheme</w:t>
      </w:r>
      <w:bookmarkEnd w:id="1759"/>
      <w:bookmarkEnd w:id="1760"/>
    </w:p>
    <w:p>
      <w:pPr>
        <w:pStyle w:val="nzSubsection"/>
      </w:pPr>
      <w:r>
        <w:tab/>
        <w:t>(1)</w:t>
      </w:r>
      <w:r>
        <w:tab/>
        <w:t>The proponent of a termination proposal can make an application for termination of a strata titles scheme if —</w:t>
      </w:r>
    </w:p>
    <w:p>
      <w:pPr>
        <w:pStyle w:val="nzIndenta"/>
      </w:pPr>
      <w:r>
        <w:tab/>
        <w:t>(a)</w:t>
      </w:r>
      <w:r>
        <w:tab/>
        <w:t>the relevant approval has been obtained as set out in section 184; and</w:t>
      </w:r>
    </w:p>
    <w:p>
      <w:pPr>
        <w:pStyle w:val="nzIndenta"/>
      </w:pPr>
      <w:r>
        <w:tab/>
        <w:t>(b)</w:t>
      </w:r>
      <w:r>
        <w:tab/>
        <w:t>the steps required to be taken before termination of the scheme for winding up the strata company under the termination proposal or an order under section 192 have been taken.</w:t>
      </w:r>
    </w:p>
    <w:p>
      <w:pPr>
        <w:pStyle w:val="nz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nzHeading5"/>
      </w:pPr>
      <w:bookmarkStart w:id="1761" w:name="_Toc530474548"/>
      <w:bookmarkStart w:id="1762" w:name="_Toc530475143"/>
      <w:r>
        <w:t>186.</w:t>
      </w:r>
      <w:r>
        <w:tab/>
        <w:t>Withdrawal of termination proposal</w:t>
      </w:r>
      <w:bookmarkEnd w:id="1761"/>
      <w:bookmarkEnd w:id="1762"/>
    </w:p>
    <w:p>
      <w:pPr>
        <w:pStyle w:val="nz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nzSubsection"/>
      </w:pPr>
      <w:r>
        <w:tab/>
        <w:t>(2)</w:t>
      </w:r>
      <w:r>
        <w:tab/>
        <w:t>A strata company that is given written notice of the withdrawal of a termination proposal from the proponent of the proposal must, within 14 days after being given the notice —</w:t>
      </w:r>
    </w:p>
    <w:p>
      <w:pPr>
        <w:pStyle w:val="nzIndenta"/>
      </w:pPr>
      <w:r>
        <w:tab/>
        <w:t>(a)</w:t>
      </w:r>
      <w:r>
        <w:tab/>
        <w:t>serve the notice on each person who is —</w:t>
      </w:r>
    </w:p>
    <w:p>
      <w:pPr>
        <w:pStyle w:val="nzIndenti"/>
      </w:pPr>
      <w:r>
        <w:tab/>
        <w:t>(i)</w:t>
      </w:r>
      <w:r>
        <w:tab/>
        <w:t>the owner of a lot in the strata titles scheme; or</w:t>
      </w:r>
    </w:p>
    <w:p>
      <w:pPr>
        <w:pStyle w:val="nzIndenti"/>
      </w:pPr>
      <w:r>
        <w:tab/>
        <w:t>(ii)</w:t>
      </w:r>
      <w:r>
        <w:tab/>
        <w:t>if the full proposal for the termination of the strata titles scheme has been served by the strata company — the occupier of a lot or the common property in the strata titles scheme; or</w:t>
      </w:r>
    </w:p>
    <w:p>
      <w:pPr>
        <w:pStyle w:val="nzIndenti"/>
      </w:pPr>
      <w:r>
        <w:tab/>
        <w:t>(iii)</w:t>
      </w:r>
      <w:r>
        <w:tab/>
        <w:t>a registered mortgagee of a lot in the strata titles scheme;</w:t>
      </w:r>
    </w:p>
    <w:p>
      <w:pPr>
        <w:pStyle w:val="nzIndenta"/>
      </w:pPr>
      <w:r>
        <w:tab/>
      </w:r>
      <w:r>
        <w:tab/>
        <w:t>and</w:t>
      </w:r>
    </w:p>
    <w:p>
      <w:pPr>
        <w:pStyle w:val="nzIndenta"/>
      </w:pPr>
      <w:r>
        <w:tab/>
        <w:t>(b)</w:t>
      </w:r>
      <w:r>
        <w:tab/>
        <w:t>lodge with the Registrar of Titles notice of the withdrawal of the proposal in the approved form.</w:t>
      </w:r>
    </w:p>
    <w:p>
      <w:pPr>
        <w:pStyle w:val="nzHeading5"/>
      </w:pPr>
      <w:bookmarkStart w:id="1763" w:name="_Toc530474549"/>
      <w:bookmarkStart w:id="1764" w:name="_Toc530475144"/>
      <w:r>
        <w:t>187.</w:t>
      </w:r>
      <w:r>
        <w:tab/>
        <w:t>Notice that termination proposal cannot proceed further</w:t>
      </w:r>
      <w:bookmarkEnd w:id="1763"/>
      <w:bookmarkEnd w:id="1764"/>
    </w:p>
    <w:p>
      <w:pPr>
        <w:pStyle w:val="nzSubsection"/>
      </w:pPr>
      <w:r>
        <w:tab/>
        <w:t>(1)</w:t>
      </w:r>
      <w:r>
        <w:tab/>
        <w:t>This section applies if a termination proposal cannot proceed further for any of the following reasons —</w:t>
      </w:r>
    </w:p>
    <w:p>
      <w:pPr>
        <w:pStyle w:val="nzIndenta"/>
      </w:pPr>
      <w:r>
        <w:tab/>
        <w:t>(a)</w:t>
      </w:r>
      <w:r>
        <w:tab/>
        <w:t>at the end of 3 months after the outline of the termination proposal has been submitted to the strata company, the requirements of section 176 have not been met;</w:t>
      </w:r>
    </w:p>
    <w:p>
      <w:pPr>
        <w:pStyle w:val="nzIndenta"/>
      </w:pPr>
      <w:r>
        <w:tab/>
        <w:t>(b)</w:t>
      </w:r>
      <w:r>
        <w:tab/>
        <w:t>at the end of 3 months after the full proposal has been submitted to the strata company, the requirements of section 180 have not been met;</w:t>
      </w:r>
    </w:p>
    <w:p>
      <w:pPr>
        <w:pStyle w:val="nzIndenta"/>
      </w:pPr>
      <w:r>
        <w:tab/>
        <w:t>(c)</w:t>
      </w:r>
      <w:r>
        <w:tab/>
        <w:t>at the end of 6 months after service of the full proposal by the strata company, a termination resolution has not been passed;</w:t>
      </w:r>
    </w:p>
    <w:p>
      <w:pPr>
        <w:pStyle w:val="nzIndenta"/>
      </w:pPr>
      <w:r>
        <w:tab/>
        <w:t>(d)</w:t>
      </w:r>
      <w:r>
        <w:tab/>
        <w:t>at the end of 12 months after a termination resolution that does not require the confirmation of the Tribunal has been passed, no application for termination of the strata titles scheme has been made;</w:t>
      </w:r>
    </w:p>
    <w:p>
      <w:pPr>
        <w:pStyle w:val="nzIndenta"/>
      </w:pPr>
      <w:r>
        <w:tab/>
        <w:t>(e)</w:t>
      </w:r>
      <w:r>
        <w:tab/>
        <w:t>the termination resolution requires confirmation of the Tribunal and —</w:t>
      </w:r>
    </w:p>
    <w:p>
      <w:pPr>
        <w:pStyle w:val="nzIndenti"/>
      </w:pPr>
      <w:r>
        <w:tab/>
        <w:t>(i)</w:t>
      </w:r>
      <w:r>
        <w:tab/>
        <w:t>the Tribunal makes a decision not to confirm the resolution; or</w:t>
      </w:r>
    </w:p>
    <w:p>
      <w:pPr>
        <w:pStyle w:val="nzIndenti"/>
      </w:pPr>
      <w:r>
        <w:tab/>
        <w:t>(ii)</w:t>
      </w:r>
      <w:r>
        <w:tab/>
        <w:t>at the end of 12 months after the making of an order under section 183 confirming the termination resolution, no application for termination of the strata titles scheme has been made.</w:t>
      </w:r>
    </w:p>
    <w:p>
      <w:pPr>
        <w:pStyle w:val="nzSubsection"/>
      </w:pPr>
      <w:r>
        <w:tab/>
        <w:t>(2)</w:t>
      </w:r>
      <w:r>
        <w:tab/>
        <w:t>If this section applies, the strata company must —</w:t>
      </w:r>
    </w:p>
    <w:p>
      <w:pPr>
        <w:pStyle w:val="nzIndenta"/>
      </w:pPr>
      <w:r>
        <w:tab/>
        <w:t>(a)</w:t>
      </w:r>
      <w:r>
        <w:tab/>
        <w:t>lodge with the Registrar of Titles notice, in the approved form, that the termination proposal cannot proceed further; and</w:t>
      </w:r>
    </w:p>
    <w:p>
      <w:pPr>
        <w:pStyle w:val="nzIndenta"/>
      </w:pPr>
      <w:r>
        <w:tab/>
        <w:t>(b)</w:t>
      </w:r>
      <w:r>
        <w:tab/>
        <w:t>give written notice confirming that fact to —</w:t>
      </w:r>
    </w:p>
    <w:p>
      <w:pPr>
        <w:pStyle w:val="nzIndenti"/>
      </w:pPr>
      <w:r>
        <w:tab/>
        <w:t>(i)</w:t>
      </w:r>
      <w:r>
        <w:tab/>
        <w:t>the proponent of the termination proposal; and</w:t>
      </w:r>
    </w:p>
    <w:p>
      <w:pPr>
        <w:pStyle w:val="nzIndenti"/>
      </w:pPr>
      <w:r>
        <w:tab/>
        <w:t>(ii)</w:t>
      </w:r>
      <w:r>
        <w:tab/>
        <w:t>for a leasehold scheme, the owner of the leasehold scheme; and</w:t>
      </w:r>
    </w:p>
    <w:p>
      <w:pPr>
        <w:pStyle w:val="nzIndenti"/>
      </w:pPr>
      <w:r>
        <w:tab/>
        <w:t>(iii)</w:t>
      </w:r>
      <w:r>
        <w:tab/>
        <w:t>each member of the strata company.</w:t>
      </w:r>
    </w:p>
    <w:p>
      <w:pPr>
        <w:pStyle w:val="nzHeading5"/>
      </w:pPr>
      <w:bookmarkStart w:id="1765" w:name="_Toc530474550"/>
      <w:bookmarkStart w:id="1766" w:name="_Toc530475145"/>
      <w:r>
        <w:t>188.</w:t>
      </w:r>
      <w:r>
        <w:tab/>
        <w:t>Notices received by Registrar of Titles</w:t>
      </w:r>
      <w:bookmarkEnd w:id="1765"/>
      <w:bookmarkEnd w:id="1766"/>
    </w:p>
    <w:p>
      <w:pPr>
        <w:pStyle w:val="nzSubsection"/>
      </w:pPr>
      <w:r>
        <w:tab/>
      </w:r>
      <w:r>
        <w:tab/>
        <w:t>If a notice is lodged with the Registrar of Titles under this Division, the Registrar of Titles must —</w:t>
      </w:r>
    </w:p>
    <w:p>
      <w:pPr>
        <w:pStyle w:val="nzIndenta"/>
      </w:pPr>
      <w:r>
        <w:tab/>
        <w:t>(a)</w:t>
      </w:r>
      <w:r>
        <w:tab/>
        <w:t>record a notification in the Register; and</w:t>
      </w:r>
    </w:p>
    <w:p>
      <w:pPr>
        <w:pStyle w:val="nz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nzHeading5"/>
      </w:pPr>
      <w:bookmarkStart w:id="1767" w:name="_Toc530474551"/>
      <w:bookmarkStart w:id="1768" w:name="_Toc530475146"/>
      <w:r>
        <w:t>189.</w:t>
      </w:r>
      <w:r>
        <w:tab/>
        <w:t>Costs of process</w:t>
      </w:r>
      <w:bookmarkEnd w:id="1767"/>
      <w:bookmarkEnd w:id="1768"/>
    </w:p>
    <w:p>
      <w:pPr>
        <w:pStyle w:val="nzSubsection"/>
      </w:pPr>
      <w:r>
        <w:tab/>
        <w:t>(1)</w:t>
      </w:r>
      <w:r>
        <w:tab/>
        <w:t>A strata company may charge the proponent of a termination proposal reasonable fees to cover costs associated with undertaking an activity under this Division.</w:t>
      </w:r>
    </w:p>
    <w:p>
      <w:pPr>
        <w:pStyle w:val="nzSubsection"/>
      </w:pPr>
      <w:r>
        <w:tab/>
        <w:t>(2)</w:t>
      </w:r>
      <w:r>
        <w:tab/>
        <w:t>The fees must not exceed any limits imposed by the regulations.</w:t>
      </w:r>
    </w:p>
    <w:p>
      <w:pPr>
        <w:pStyle w:val="nzSubsection"/>
      </w:pPr>
      <w:r>
        <w:tab/>
        <w:t>(3)</w:t>
      </w:r>
      <w:r>
        <w:tab/>
        <w:t>A strata company need not undertake the relevant activity until the fees have been paid.</w:t>
      </w:r>
    </w:p>
    <w:p>
      <w:pPr>
        <w:pStyle w:val="nz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nzHeading5"/>
      </w:pPr>
      <w:bookmarkStart w:id="1769" w:name="_Toc530474552"/>
      <w:bookmarkStart w:id="1770" w:name="_Toc530475147"/>
      <w:r>
        <w:t>190.</w:t>
      </w:r>
      <w:r>
        <w:tab/>
        <w:t>Arrangements for independent advice or representation for owners</w:t>
      </w:r>
      <w:bookmarkEnd w:id="1769"/>
      <w:bookmarkEnd w:id="1770"/>
    </w:p>
    <w:p>
      <w:pPr>
        <w:pStyle w:val="nzSubsection"/>
      </w:pPr>
      <w:r>
        <w:tab/>
        <w:t>(1)</w:t>
      </w:r>
      <w:r>
        <w:tab/>
        <w:t xml:space="preserve">The regulations — </w:t>
      </w:r>
    </w:p>
    <w:p>
      <w:pPr>
        <w:pStyle w:val="nz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nzIndenta"/>
      </w:pPr>
      <w:r>
        <w:tab/>
        <w:t>(b)</w:t>
      </w:r>
      <w:r>
        <w:tab/>
        <w:t xml:space="preserve">must specify arrangements for obtaining fuller or more extensive advice or representation for a class or classes of owner identified in or under the regulations as vulnerable, having regard to — </w:t>
      </w:r>
    </w:p>
    <w:p>
      <w:pPr>
        <w:pStyle w:val="nzIndenti"/>
      </w:pPr>
      <w:r>
        <w:tab/>
        <w:t>(i)</w:t>
      </w:r>
      <w:r>
        <w:tab/>
        <w:t>age, illness, trauma, disability or other factors that may impair the ability of an owner to consider and make an informed decision in relation to a termination proposal; or</w:t>
      </w:r>
    </w:p>
    <w:p>
      <w:pPr>
        <w:pStyle w:val="nzIndenti"/>
      </w:pPr>
      <w:r>
        <w:tab/>
        <w:t>(ii)</w:t>
      </w:r>
      <w:r>
        <w:tab/>
        <w:t>financial disadvantage which would significantly impair the ability of the owner to bear the cost of obtaining appropriate professional advice in relation to a termination proposal.</w:t>
      </w:r>
    </w:p>
    <w:p>
      <w:pPr>
        <w:pStyle w:val="nz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nzSubsection"/>
      </w:pPr>
      <w:r>
        <w:tab/>
        <w:t>(3)</w:t>
      </w:r>
      <w:r>
        <w:tab/>
        <w:t>The regulations may specify terms of a trust referred to in subsection (2).</w:t>
      </w:r>
    </w:p>
    <w:p>
      <w:pPr>
        <w:pStyle w:val="nzHeading3"/>
      </w:pPr>
      <w:bookmarkStart w:id="1771" w:name="_Toc517437754"/>
      <w:bookmarkStart w:id="1772" w:name="_Toc517438296"/>
      <w:bookmarkStart w:id="1773" w:name="_Toc517440633"/>
      <w:bookmarkStart w:id="1774" w:name="_Toc517447670"/>
      <w:bookmarkStart w:id="1775" w:name="_Toc517450148"/>
      <w:bookmarkStart w:id="1776" w:name="_Toc517450690"/>
      <w:bookmarkStart w:id="1777" w:name="_Toc517857146"/>
      <w:bookmarkStart w:id="1778" w:name="_Toc518293273"/>
      <w:bookmarkStart w:id="1779" w:name="_Toc522744501"/>
      <w:bookmarkStart w:id="1780" w:name="_Toc522747624"/>
      <w:bookmarkStart w:id="1781" w:name="_Toc529183462"/>
      <w:bookmarkStart w:id="1782" w:name="_Toc529188225"/>
      <w:bookmarkStart w:id="1783" w:name="_Toc529434738"/>
      <w:bookmarkStart w:id="1784" w:name="_Toc529524629"/>
      <w:bookmarkStart w:id="1785" w:name="_Toc530474553"/>
      <w:bookmarkStart w:id="1786" w:name="_Toc530475148"/>
      <w:r>
        <w:t>Division 4 — Termination by single owner</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nzHeading5"/>
      </w:pPr>
      <w:bookmarkStart w:id="1787" w:name="_Toc530474554"/>
      <w:bookmarkStart w:id="1788" w:name="_Toc530475149"/>
      <w:r>
        <w:t>191.</w:t>
      </w:r>
      <w:r>
        <w:tab/>
        <w:t>Application for termination by single owner</w:t>
      </w:r>
      <w:bookmarkEnd w:id="1787"/>
      <w:bookmarkEnd w:id="1788"/>
    </w:p>
    <w:p>
      <w:pPr>
        <w:pStyle w:val="nz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nzIndenta"/>
      </w:pPr>
      <w:r>
        <w:tab/>
        <w:t>(a)</w:t>
      </w:r>
      <w:r>
        <w:tab/>
        <w:t>a plan of subdivision for the termination of the scheme has been approved (that is, for the parcel to cease being subdivided by a strata titles scheme); and</w:t>
      </w:r>
    </w:p>
    <w:p>
      <w:pPr>
        <w:pStyle w:val="nzIndenta"/>
      </w:pPr>
      <w:r>
        <w:tab/>
        <w:t>(b)</w:t>
      </w:r>
      <w:r>
        <w:tab/>
        <w:t>a diagram or plan of survey has been endorsed with that approval.</w:t>
      </w:r>
    </w:p>
    <w:p>
      <w:pPr>
        <w:pStyle w:val="nzSubsection"/>
      </w:pPr>
      <w:r>
        <w:tab/>
        <w:t>(2)</w:t>
      </w:r>
      <w:r>
        <w:tab/>
        <w:t xml:space="preserve">The </w:t>
      </w:r>
      <w:r>
        <w:rPr>
          <w:i/>
        </w:rPr>
        <w:t>Planning and Development Act 2005</w:t>
      </w:r>
      <w:r>
        <w:t xml:space="preserve"> applies to the required approval subject to —</w:t>
      </w:r>
    </w:p>
    <w:p>
      <w:pPr>
        <w:pStyle w:val="nzIndenta"/>
      </w:pPr>
      <w:r>
        <w:tab/>
        <w:t>(a)</w:t>
      </w:r>
      <w:r>
        <w:tab/>
        <w:t>the modification that a reference to subdivision is to be read as including a reference to termination of a strata titles scheme; and</w:t>
      </w:r>
    </w:p>
    <w:p>
      <w:pPr>
        <w:pStyle w:val="nzIndenta"/>
      </w:pPr>
      <w:r>
        <w:tab/>
        <w:t>(b)</w:t>
      </w:r>
      <w:r>
        <w:tab/>
        <w:t>any other appropriate modifications.</w:t>
      </w:r>
    </w:p>
    <w:p>
      <w:pPr>
        <w:pStyle w:val="nz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nzHeading3"/>
      </w:pPr>
      <w:bookmarkStart w:id="1789" w:name="_Toc517437756"/>
      <w:bookmarkStart w:id="1790" w:name="_Toc517438298"/>
      <w:bookmarkStart w:id="1791" w:name="_Toc517440635"/>
      <w:bookmarkStart w:id="1792" w:name="_Toc517447672"/>
      <w:bookmarkStart w:id="1793" w:name="_Toc517450150"/>
      <w:bookmarkStart w:id="1794" w:name="_Toc517450692"/>
      <w:bookmarkStart w:id="1795" w:name="_Toc517857148"/>
      <w:bookmarkStart w:id="1796" w:name="_Toc518293275"/>
      <w:bookmarkStart w:id="1797" w:name="_Toc522744503"/>
      <w:bookmarkStart w:id="1798" w:name="_Toc522747626"/>
      <w:bookmarkStart w:id="1799" w:name="_Toc529183464"/>
      <w:bookmarkStart w:id="1800" w:name="_Toc529188227"/>
      <w:bookmarkStart w:id="1801" w:name="_Toc529434740"/>
      <w:bookmarkStart w:id="1802" w:name="_Toc529524631"/>
      <w:bookmarkStart w:id="1803" w:name="_Toc530474555"/>
      <w:bookmarkStart w:id="1804" w:name="_Toc530475150"/>
      <w:r>
        <w:t>Division 5 — Directions for winding up of strata company</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nzHeading5"/>
      </w:pPr>
      <w:bookmarkStart w:id="1805" w:name="_Toc530474556"/>
      <w:bookmarkStart w:id="1806" w:name="_Toc530475151"/>
      <w:r>
        <w:t>192.</w:t>
      </w:r>
      <w:r>
        <w:tab/>
        <w:t>Order for directions about winding up of strata company</w:t>
      </w:r>
      <w:bookmarkEnd w:id="1805"/>
      <w:bookmarkEnd w:id="1806"/>
    </w:p>
    <w:p>
      <w:pPr>
        <w:pStyle w:val="nzSubsection"/>
      </w:pPr>
      <w:r>
        <w:tab/>
        <w:t>(1)</w:t>
      </w:r>
      <w:r>
        <w:tab/>
        <w:t>Before a strata titles scheme is terminated, an application may be made to the Tribunal for an order for directions about winding up the strata company by —</w:t>
      </w:r>
    </w:p>
    <w:p>
      <w:pPr>
        <w:pStyle w:val="nzIndenta"/>
      </w:pPr>
      <w:r>
        <w:tab/>
        <w:t>(a)</w:t>
      </w:r>
      <w:r>
        <w:tab/>
        <w:t>an owner of a lot in the scheme; or</w:t>
      </w:r>
    </w:p>
    <w:p>
      <w:pPr>
        <w:pStyle w:val="nzIndenta"/>
      </w:pPr>
      <w:r>
        <w:tab/>
        <w:t>(b)</w:t>
      </w:r>
      <w:r>
        <w:tab/>
        <w:t>a registered mortgagee of a lot in the scheme; or</w:t>
      </w:r>
    </w:p>
    <w:p>
      <w:pPr>
        <w:pStyle w:val="nzIndenta"/>
      </w:pPr>
      <w:r>
        <w:tab/>
        <w:t>(c)</w:t>
      </w:r>
      <w:r>
        <w:tab/>
        <w:t>the strata company; or</w:t>
      </w:r>
    </w:p>
    <w:p>
      <w:pPr>
        <w:pStyle w:val="nzIndenta"/>
      </w:pPr>
      <w:r>
        <w:tab/>
        <w:t>(d)</w:t>
      </w:r>
      <w:r>
        <w:tab/>
        <w:t>a judgement creditor of the strata company; or</w:t>
      </w:r>
    </w:p>
    <w:p>
      <w:pPr>
        <w:pStyle w:val="nzIndenta"/>
      </w:pPr>
      <w:r>
        <w:tab/>
        <w:t>(e)</w:t>
      </w:r>
      <w:r>
        <w:tab/>
        <w:t>for a leasehold scheme, the owner of the leasehold scheme.</w:t>
      </w:r>
    </w:p>
    <w:p>
      <w:pPr>
        <w:pStyle w:val="nzSubsection"/>
      </w:pPr>
      <w:r>
        <w:tab/>
        <w:t>(2)</w:t>
      </w:r>
      <w:r>
        <w:tab/>
        <w:t>If proceedings are before the Tribunal under section 183, the application may be made in those proceedings.</w:t>
      </w:r>
    </w:p>
    <w:p>
      <w:pPr>
        <w:pStyle w:val="nzSubsection"/>
      </w:pPr>
      <w:r>
        <w:tab/>
        <w:t>(3)</w:t>
      </w:r>
      <w:r>
        <w:tab/>
        <w:t>Without limitation, an order under this section may include directions for —</w:t>
      </w:r>
    </w:p>
    <w:p>
      <w:pPr>
        <w:pStyle w:val="nzIndenta"/>
      </w:pPr>
      <w:r>
        <w:tab/>
        <w:t>(a)</w:t>
      </w:r>
      <w:r>
        <w:tab/>
        <w:t>the sale or disposition of property of the strata company (including to whom and how proceeds must be disbursed); or</w:t>
      </w:r>
    </w:p>
    <w:p>
      <w:pPr>
        <w:pStyle w:val="nzIndenta"/>
      </w:pPr>
      <w:r>
        <w:tab/>
        <w:t>(b)</w:t>
      </w:r>
      <w:r>
        <w:tab/>
        <w:t>the discharge of the liabilities of the strata company; or</w:t>
      </w:r>
    </w:p>
    <w:p>
      <w:pPr>
        <w:pStyle w:val="nzIndenta"/>
      </w:pPr>
      <w:r>
        <w:tab/>
        <w:t>(c)</w:t>
      </w:r>
      <w:r>
        <w:tab/>
        <w:t>the administration and functions of the strata company.</w:t>
      </w:r>
    </w:p>
    <w:p>
      <w:pPr>
        <w:pStyle w:val="nz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nzSubsection"/>
      </w:pPr>
      <w:r>
        <w:tab/>
        <w:t>(5)</w:t>
      </w:r>
      <w:r>
        <w:tab/>
        <w:t>The Tribunal may vary an order made under this section on the application of any person who was entitled to appear and be heard on the hearing of the application for the order.</w:t>
      </w:r>
    </w:p>
    <w:p>
      <w:pPr>
        <w:pStyle w:val="nzSubsection"/>
      </w:pPr>
      <w:r>
        <w:tab/>
        <w:t>(6)</w:t>
      </w:r>
      <w:r>
        <w:tab/>
        <w:t>An order under this section prevails over steps specified in a termination proposal for winding up of the strata company to the extent of any inconsistency.</w:t>
      </w:r>
    </w:p>
    <w:p>
      <w:pPr>
        <w:pStyle w:val="nzHeading3"/>
      </w:pPr>
      <w:bookmarkStart w:id="1807" w:name="_Toc517437758"/>
      <w:bookmarkStart w:id="1808" w:name="_Toc517438300"/>
      <w:bookmarkStart w:id="1809" w:name="_Toc517440637"/>
      <w:bookmarkStart w:id="1810" w:name="_Toc517447674"/>
      <w:bookmarkStart w:id="1811" w:name="_Toc517450152"/>
      <w:bookmarkStart w:id="1812" w:name="_Toc517450694"/>
      <w:bookmarkStart w:id="1813" w:name="_Toc517857150"/>
      <w:bookmarkStart w:id="1814" w:name="_Toc518293277"/>
      <w:bookmarkStart w:id="1815" w:name="_Toc522744505"/>
      <w:bookmarkStart w:id="1816" w:name="_Toc522747628"/>
      <w:bookmarkStart w:id="1817" w:name="_Toc529183466"/>
      <w:bookmarkStart w:id="1818" w:name="_Toc529188229"/>
      <w:bookmarkStart w:id="1819" w:name="_Toc529434742"/>
      <w:bookmarkStart w:id="1820" w:name="_Toc529524633"/>
      <w:bookmarkStart w:id="1821" w:name="_Toc530474557"/>
      <w:bookmarkStart w:id="1822" w:name="_Toc530475152"/>
      <w:r>
        <w:t>Division 6 — Notice, application and registration  process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nzHeading5"/>
      </w:pPr>
      <w:bookmarkStart w:id="1823" w:name="_Toc530474558"/>
      <w:bookmarkStart w:id="1824" w:name="_Toc530475153"/>
      <w:r>
        <w:t>193.</w:t>
      </w:r>
      <w:r>
        <w:tab/>
        <w:t>Notice of expiry or application for termination of scheme</w:t>
      </w:r>
      <w:bookmarkEnd w:id="1823"/>
      <w:bookmarkEnd w:id="1824"/>
    </w:p>
    <w:p>
      <w:pPr>
        <w:pStyle w:val="nzSubsection"/>
      </w:pPr>
      <w:r>
        <w:tab/>
        <w:t>(1)</w:t>
      </w:r>
      <w:r>
        <w:tab/>
        <w:t>A notice of the expiry of a leasehold scheme or an application for termination of a strata titles scheme must —</w:t>
      </w:r>
    </w:p>
    <w:p>
      <w:pPr>
        <w:pStyle w:val="nzIndenta"/>
      </w:pPr>
      <w:r>
        <w:tab/>
        <w:t>(a)</w:t>
      </w:r>
      <w:r>
        <w:tab/>
        <w:t>be made to the Registrar of Titles; and</w:t>
      </w:r>
    </w:p>
    <w:p>
      <w:pPr>
        <w:pStyle w:val="nzIndenta"/>
      </w:pPr>
      <w:r>
        <w:tab/>
        <w:t>(b)</w:t>
      </w:r>
      <w:r>
        <w:tab/>
        <w:t>be in the approved form; and</w:t>
      </w:r>
    </w:p>
    <w:p>
      <w:pPr>
        <w:pStyle w:val="nz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nzIndenta"/>
      </w:pPr>
      <w:r>
        <w:tab/>
        <w:t>(d)</w:t>
      </w:r>
      <w:r>
        <w:tab/>
        <w:t>be accompanied by evidence in the approved form that the requirements of this Act for the termination of the scheme have been complied with; and</w:t>
      </w:r>
    </w:p>
    <w:p>
      <w:pPr>
        <w:pStyle w:val="nzIndenta"/>
      </w:pPr>
      <w:r>
        <w:tab/>
        <w:t>(e)</w:t>
      </w:r>
      <w:r>
        <w:tab/>
        <w:t>be accompanied, if applicable, by —</w:t>
      </w:r>
    </w:p>
    <w:p>
      <w:pPr>
        <w:pStyle w:val="nzIndenti"/>
      </w:pPr>
      <w:r>
        <w:tab/>
        <w:t>(i)</w:t>
      </w:r>
      <w:r>
        <w:tab/>
        <w:t>a statement (in the approved form) of how each item registered or recorded for the scheme in the Register is to be dealt with; and</w:t>
      </w:r>
    </w:p>
    <w:p>
      <w:pPr>
        <w:pStyle w:val="nzIndenti"/>
      </w:pPr>
      <w:r>
        <w:tab/>
        <w:t>(ii)</w:t>
      </w:r>
      <w:r>
        <w:tab/>
        <w:t>disposition statements, instruments or documents necessary for that purpose;</w:t>
      </w:r>
    </w:p>
    <w:p>
      <w:pPr>
        <w:pStyle w:val="nzIndenta"/>
      </w:pPr>
      <w:r>
        <w:tab/>
      </w:r>
      <w:r>
        <w:tab/>
        <w:t>and</w:t>
      </w:r>
    </w:p>
    <w:p>
      <w:pPr>
        <w:pStyle w:val="nzIndenta"/>
      </w:pPr>
      <w:r>
        <w:tab/>
        <w:t>(f)</w:t>
      </w:r>
      <w:r>
        <w:tab/>
        <w:t>be accompanied by the fee fixed by the regulations.</w:t>
      </w:r>
    </w:p>
    <w:p>
      <w:pPr>
        <w:pStyle w:val="nz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nzHeading5"/>
      </w:pPr>
      <w:bookmarkStart w:id="1825" w:name="_Toc530474559"/>
      <w:bookmarkStart w:id="1826" w:name="_Toc530475154"/>
      <w:r>
        <w:t>194.</w:t>
      </w:r>
      <w:r>
        <w:tab/>
        <w:t>Registration process for termination of scheme</w:t>
      </w:r>
      <w:bookmarkEnd w:id="1825"/>
      <w:bookmarkEnd w:id="1826"/>
    </w:p>
    <w:p>
      <w:pPr>
        <w:pStyle w:val="nz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nzIndenta"/>
      </w:pPr>
      <w:r>
        <w:tab/>
        <w:t>(a)</w:t>
      </w:r>
      <w:r>
        <w:tab/>
        <w:t>cancel the registration of the strata titles scheme; and</w:t>
      </w:r>
    </w:p>
    <w:p>
      <w:pPr>
        <w:pStyle w:val="nzIndenta"/>
      </w:pPr>
      <w:r>
        <w:tab/>
        <w:t>(b)</w:t>
      </w:r>
      <w:r>
        <w:tab/>
        <w:t>cancel the certificates of title for the lots in the strata titles scheme; and</w:t>
      </w:r>
    </w:p>
    <w:p>
      <w:pPr>
        <w:pStyle w:val="nzIndenta"/>
      </w:pPr>
      <w:r>
        <w:tab/>
        <w:t>(c)</w:t>
      </w:r>
      <w:r>
        <w:tab/>
        <w:t>for a leasehold scheme, record on or in connection with the certificate of title for the parcel the fact that the scheme is terminated.</w:t>
      </w:r>
    </w:p>
    <w:p>
      <w:pPr>
        <w:pStyle w:val="nz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nzIndenta"/>
      </w:pPr>
      <w:r>
        <w:tab/>
        <w:t>(a)</w:t>
      </w:r>
      <w:r>
        <w:tab/>
        <w:t>cancel the registration of the strata titles scheme; and</w:t>
      </w:r>
    </w:p>
    <w:p>
      <w:pPr>
        <w:pStyle w:val="nzIndenta"/>
      </w:pPr>
      <w:r>
        <w:tab/>
        <w:t>(b)</w:t>
      </w:r>
      <w:r>
        <w:tab/>
        <w:t>cancel the certificates of title for the lots in the strata titles scheme; and</w:t>
      </w:r>
    </w:p>
    <w:p>
      <w:pPr>
        <w:pStyle w:val="nzIndenta"/>
      </w:pPr>
      <w:r>
        <w:tab/>
        <w:t>(c)</w:t>
      </w:r>
      <w:r>
        <w:tab/>
        <w:t>record on or in connection with the certificate of title for the parcel the fact that the scheme is terminated.</w:t>
      </w:r>
    </w:p>
    <w:p>
      <w:pPr>
        <w:pStyle w:val="nz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nzHeading5"/>
      </w:pPr>
      <w:bookmarkStart w:id="1827" w:name="_Toc530474560"/>
      <w:bookmarkStart w:id="1828" w:name="_Toc530475155"/>
      <w:r>
        <w:t>195.</w:t>
      </w:r>
      <w:r>
        <w:tab/>
        <w:t>Effect of termination of scheme</w:t>
      </w:r>
      <w:bookmarkEnd w:id="1827"/>
      <w:bookmarkEnd w:id="1828"/>
    </w:p>
    <w:p>
      <w:pPr>
        <w:pStyle w:val="nzSubsection"/>
      </w:pPr>
      <w:r>
        <w:tab/>
        <w:t>(1)</w:t>
      </w:r>
      <w:r>
        <w:tab/>
        <w:t>A strata titles scheme is terminated —</w:t>
      </w:r>
    </w:p>
    <w:p>
      <w:pPr>
        <w:pStyle w:val="nzIndenta"/>
      </w:pPr>
      <w:r>
        <w:tab/>
        <w:t>(a)</w:t>
      </w:r>
      <w:r>
        <w:tab/>
        <w:t>for a leasehold scheme —</w:t>
      </w:r>
    </w:p>
    <w:p>
      <w:pPr>
        <w:pStyle w:val="nzIndenti"/>
      </w:pPr>
      <w:r>
        <w:tab/>
        <w:t>(i)</w:t>
      </w:r>
      <w:r>
        <w:tab/>
        <w:t>at the end of the expiry day for the scheme; or</w:t>
      </w:r>
    </w:p>
    <w:p>
      <w:pPr>
        <w:pStyle w:val="nzIndenti"/>
      </w:pPr>
      <w:r>
        <w:tab/>
        <w:t>(ii)</w:t>
      </w:r>
      <w:r>
        <w:tab/>
        <w:t>if the registration of the scheme is cancelled before that day, when the cancellation of the registration of the scheme is registered or recorded by the Registrar of Titles;</w:t>
      </w:r>
    </w:p>
    <w:p>
      <w:pPr>
        <w:pStyle w:val="nzIndenta"/>
      </w:pPr>
      <w:r>
        <w:tab/>
      </w:r>
      <w:r>
        <w:tab/>
        <w:t>or</w:t>
      </w:r>
    </w:p>
    <w:p>
      <w:pPr>
        <w:pStyle w:val="nzIndenta"/>
      </w:pPr>
      <w:r>
        <w:tab/>
        <w:t>(b)</w:t>
      </w:r>
      <w:r>
        <w:tab/>
        <w:t>for a freehold scheme, when cancellation of the registration of the scheme is registered or recorded by the Registrar of Titles.</w:t>
      </w:r>
    </w:p>
    <w:p>
      <w:pPr>
        <w:pStyle w:val="nzSubsection"/>
      </w:pPr>
      <w:r>
        <w:tab/>
        <w:t>(2)</w:t>
      </w:r>
      <w:r>
        <w:tab/>
        <w:t>On termination of a strata titles scheme, the following occur —</w:t>
      </w:r>
    </w:p>
    <w:p>
      <w:pPr>
        <w:pStyle w:val="nzIndenta"/>
      </w:pPr>
      <w:r>
        <w:tab/>
        <w:t>(a)</w:t>
      </w:r>
      <w:r>
        <w:tab/>
        <w:t>the scheme documents cease to have any effect;</w:t>
      </w:r>
    </w:p>
    <w:p>
      <w:pPr>
        <w:pStyle w:val="nzIndenta"/>
      </w:pPr>
      <w:r>
        <w:tab/>
        <w:t>(b)</w:t>
      </w:r>
      <w:r>
        <w:tab/>
        <w:t>the lots and common property cease to exist;</w:t>
      </w:r>
    </w:p>
    <w:p>
      <w:pPr>
        <w:pStyle w:val="nzIndenta"/>
      </w:pPr>
      <w:r>
        <w:tab/>
        <w:t>(c)</w:t>
      </w:r>
      <w:r>
        <w:tab/>
        <w:t>the land becomes a parcel of land that is not subdivided by a strata titles scheme;</w:t>
      </w:r>
    </w:p>
    <w:p>
      <w:pPr>
        <w:pStyle w:val="nzIndenta"/>
      </w:pPr>
      <w:r>
        <w:tab/>
        <w:t>(d)</w:t>
      </w:r>
      <w:r>
        <w:tab/>
        <w:t>for a leasehold scheme —</w:t>
      </w:r>
    </w:p>
    <w:p>
      <w:pPr>
        <w:pStyle w:val="nzIndenti"/>
      </w:pPr>
      <w:r>
        <w:tab/>
        <w:t>(i)</w:t>
      </w:r>
      <w:r>
        <w:tab/>
        <w:t>the person who was the owner of the leasehold scheme immediately before termination becomes the owner of the parcel of land and is entitled to vacant possession of the land; and</w:t>
      </w:r>
    </w:p>
    <w:p>
      <w:pPr>
        <w:pStyle w:val="nz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nz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nzIndenta"/>
      </w:pPr>
      <w:r>
        <w:tab/>
        <w:t>(f)</w:t>
      </w:r>
      <w:r>
        <w:tab/>
        <w:t>the strata company ceases to exist;</w:t>
      </w:r>
    </w:p>
    <w:p>
      <w:pPr>
        <w:pStyle w:val="nzIndenta"/>
      </w:pPr>
      <w:r>
        <w:tab/>
        <w:t>(g)</w:t>
      </w:r>
      <w:r>
        <w:tab/>
        <w:t>all rights vested in the strata company immediately before it ceased to exist are vested in the persons who become the owners of the parcel of land on termination of the scheme;</w:t>
      </w:r>
    </w:p>
    <w:p>
      <w:pPr>
        <w:pStyle w:val="nz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nzIndenta"/>
      </w:pPr>
      <w:r>
        <w:tab/>
        <w:t>(i)</w:t>
      </w:r>
      <w:r>
        <w:tab/>
        <w:t>legal proceedings begun by or against the strata company may be completed by or against the persons who were owners of lots in the scheme immediately before its termination.</w:t>
      </w:r>
    </w:p>
    <w:p>
      <w:pPr>
        <w:pStyle w:val="nz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nzHeading3"/>
      </w:pPr>
      <w:bookmarkStart w:id="1829" w:name="_Toc517437762"/>
      <w:bookmarkStart w:id="1830" w:name="_Toc517438304"/>
      <w:bookmarkStart w:id="1831" w:name="_Toc517440641"/>
      <w:bookmarkStart w:id="1832" w:name="_Toc517447678"/>
      <w:bookmarkStart w:id="1833" w:name="_Toc517450156"/>
      <w:bookmarkStart w:id="1834" w:name="_Toc517450698"/>
      <w:bookmarkStart w:id="1835" w:name="_Toc517857154"/>
      <w:bookmarkStart w:id="1836" w:name="_Toc518293281"/>
      <w:bookmarkStart w:id="1837" w:name="_Toc522744509"/>
      <w:bookmarkStart w:id="1838" w:name="_Toc522747632"/>
      <w:bookmarkStart w:id="1839" w:name="_Toc529183470"/>
      <w:bookmarkStart w:id="1840" w:name="_Toc529188233"/>
      <w:bookmarkStart w:id="1841" w:name="_Toc529434746"/>
      <w:bookmarkStart w:id="1842" w:name="_Toc529524637"/>
      <w:bookmarkStart w:id="1843" w:name="_Toc530474561"/>
      <w:bookmarkStart w:id="1844" w:name="_Toc530475156"/>
      <w:r>
        <w:t>Division 7 — Termination on compulsory acquisition</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nzHeading2"/>
      </w:pPr>
      <w:bookmarkStart w:id="1845" w:name="_Toc517437763"/>
      <w:bookmarkStart w:id="1846" w:name="_Toc517438305"/>
      <w:bookmarkStart w:id="1847" w:name="_Toc517440642"/>
      <w:bookmarkStart w:id="1848" w:name="_Toc517447679"/>
      <w:bookmarkStart w:id="1849" w:name="_Toc517450157"/>
      <w:bookmarkStart w:id="1850" w:name="_Toc517450699"/>
      <w:bookmarkStart w:id="1851" w:name="_Toc517857155"/>
      <w:bookmarkStart w:id="1852" w:name="_Toc518293282"/>
      <w:bookmarkStart w:id="1853" w:name="_Toc522744510"/>
      <w:bookmarkStart w:id="1854" w:name="_Toc522747633"/>
      <w:bookmarkStart w:id="1855" w:name="_Toc529183471"/>
      <w:bookmarkStart w:id="1856" w:name="_Toc529188234"/>
      <w:bookmarkStart w:id="1857" w:name="_Toc529434747"/>
      <w:bookmarkStart w:id="1858" w:name="_Toc529524638"/>
      <w:bookmarkStart w:id="1859" w:name="_Toc530474562"/>
      <w:bookmarkStart w:id="1860" w:name="_Toc530475157"/>
      <w:r>
        <w:t>Part 13</w:t>
      </w:r>
      <w:r>
        <w:rPr>
          <w:b w:val="0"/>
        </w:rPr>
        <w:t> </w:t>
      </w:r>
      <w:r>
        <w:t>—</w:t>
      </w:r>
      <w:r>
        <w:rPr>
          <w:b w:val="0"/>
        </w:rPr>
        <w:t> </w:t>
      </w:r>
      <w:r>
        <w:t>Tribunal proceedings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nzHeading5"/>
      </w:pPr>
      <w:bookmarkStart w:id="1861" w:name="_Toc530474563"/>
      <w:bookmarkStart w:id="1862" w:name="_Toc530475158"/>
      <w:r>
        <w:t>197.</w:t>
      </w:r>
      <w:r>
        <w:tab/>
        <w:t>Scheme disputes</w:t>
      </w:r>
      <w:bookmarkEnd w:id="1861"/>
      <w:bookmarkEnd w:id="1862"/>
    </w:p>
    <w:p>
      <w:pPr>
        <w:pStyle w:val="nzSubsection"/>
      </w:pPr>
      <w:r>
        <w:tab/>
        <w:t>(1)</w:t>
      </w:r>
      <w:r>
        <w:tab/>
        <w:t>This Part provides for resolution by the Tribunal of the following disputes (</w:t>
      </w:r>
      <w:r>
        <w:rPr>
          <w:rStyle w:val="CharDefText"/>
        </w:rPr>
        <w:t>scheme disputes</w:t>
      </w:r>
      <w:r>
        <w:t>) —</w:t>
      </w:r>
    </w:p>
    <w:p>
      <w:pPr>
        <w:pStyle w:val="nzIndenta"/>
      </w:pPr>
      <w:r>
        <w:tab/>
        <w:t>(a)</w:t>
      </w:r>
      <w:r>
        <w:tab/>
        <w:t>a dispute between scheme participants about —</w:t>
      </w:r>
    </w:p>
    <w:p>
      <w:pPr>
        <w:pStyle w:val="nzIndenti"/>
      </w:pPr>
      <w:r>
        <w:tab/>
        <w:t>(i)</w:t>
      </w:r>
      <w:r>
        <w:tab/>
        <w:t>the scheme documents, including the validity of scheme by</w:t>
      </w:r>
      <w:r>
        <w:noBreakHyphen/>
        <w:t>laws; or</w:t>
      </w:r>
    </w:p>
    <w:p>
      <w:pPr>
        <w:pStyle w:val="nzIndenti"/>
      </w:pPr>
      <w:r>
        <w:tab/>
        <w:t>(ii)</w:t>
      </w:r>
      <w:r>
        <w:tab/>
        <w:t>the performance of, or the failure to perform, a function conferred or imposed on a person by this Act or the scheme by</w:t>
      </w:r>
      <w:r>
        <w:noBreakHyphen/>
        <w:t>laws; or</w:t>
      </w:r>
    </w:p>
    <w:p>
      <w:pPr>
        <w:pStyle w:val="nzIndenti"/>
      </w:pPr>
      <w:r>
        <w:tab/>
        <w:t>(iii)</w:t>
      </w:r>
      <w:r>
        <w:tab/>
        <w:t>an alleged contravention of this Act (other than an offence); or</w:t>
      </w:r>
    </w:p>
    <w:p>
      <w:pPr>
        <w:pStyle w:val="nzIndenti"/>
      </w:pPr>
      <w:r>
        <w:tab/>
        <w:t>(iv)</w:t>
      </w:r>
      <w:r>
        <w:tab/>
        <w:t>a resolution or decision of a strata company or the council of a strata company, including its validity; or</w:t>
      </w:r>
    </w:p>
    <w:p>
      <w:pPr>
        <w:pStyle w:val="nzIndenti"/>
      </w:pPr>
      <w:r>
        <w:tab/>
        <w:t>(v)</w:t>
      </w:r>
      <w:r>
        <w:tab/>
        <w:t>the appointment or election of a member of the council or an officer of a strata company, including its validity; or</w:t>
      </w:r>
    </w:p>
    <w:p>
      <w:pPr>
        <w:pStyle w:val="nzIndenti"/>
      </w:pPr>
      <w:r>
        <w:tab/>
        <w:t>(vi)</w:t>
      </w:r>
      <w:r>
        <w:tab/>
        <w:t>any other matter arising under this Act or the scheme by</w:t>
      </w:r>
      <w:r>
        <w:noBreakHyphen/>
        <w:t>laws;</w:t>
      </w:r>
    </w:p>
    <w:p>
      <w:pPr>
        <w:pStyle w:val="nz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nz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nzIndenta"/>
      </w:pPr>
      <w:r>
        <w:tab/>
        <w:t>(d)</w:t>
      </w:r>
      <w:r>
        <w:tab/>
        <w:t>a dispute between an infrastructure owner and a strata company about a matter connected with a common property (</w:t>
      </w:r>
      <w:r>
        <w:rPr>
          <w:rStyle w:val="CharDefText"/>
        </w:rPr>
        <w:t>utility and sustainability infrastructure</w:t>
      </w:r>
      <w:r>
        <w:t>) easement;</w:t>
      </w:r>
    </w:p>
    <w:p>
      <w:pPr>
        <w:pStyle w:val="nzIndenta"/>
      </w:pPr>
      <w:r>
        <w:tab/>
        <w:t>(e)</w:t>
      </w:r>
      <w:r>
        <w:tab/>
        <w:t>a dispute between the scheme developer of a subdivision of land by a strata titles scheme and a strata company about a matter arising under Part 6;</w:t>
      </w:r>
    </w:p>
    <w:p>
      <w:pPr>
        <w:pStyle w:val="nzIndenta"/>
      </w:pPr>
      <w:r>
        <w:tab/>
        <w:t>(f)</w:t>
      </w:r>
      <w:r>
        <w:tab/>
        <w:t>a dispute between an applicant under section 107 and the strata company about a matter arising under Part 8 Division 1 Subdivision 6;</w:t>
      </w:r>
    </w:p>
    <w:p>
      <w:pPr>
        <w:pStyle w:val="nzIndenta"/>
      </w:pPr>
      <w:r>
        <w:tab/>
        <w:t>(g)</w:t>
      </w:r>
      <w:r>
        <w:tab/>
        <w:t>a dispute between a strata manager, or former strata manager, of a strata company and the strata company about —</w:t>
      </w:r>
    </w:p>
    <w:p>
      <w:pPr>
        <w:pStyle w:val="nzIndenti"/>
      </w:pPr>
      <w:r>
        <w:tab/>
        <w:t>(i)</w:t>
      </w:r>
      <w:r>
        <w:tab/>
        <w:t>a matter arising under Part 9; or</w:t>
      </w:r>
    </w:p>
    <w:p>
      <w:pPr>
        <w:pStyle w:val="nzIndenti"/>
      </w:pPr>
      <w:r>
        <w:tab/>
        <w:t>(ii)</w:t>
      </w:r>
      <w:r>
        <w:tab/>
        <w:t>the strata management contract; or</w:t>
      </w:r>
    </w:p>
    <w:p>
      <w:pPr>
        <w:pStyle w:val="nzIndenti"/>
      </w:pPr>
      <w:r>
        <w:tab/>
        <w:t>(iii)</w:t>
      </w:r>
      <w:r>
        <w:tab/>
        <w:t>the performance of, or the failure to perform, a function conferred or imposed on the strata manager;</w:t>
      </w:r>
    </w:p>
    <w:p>
      <w:pPr>
        <w:pStyle w:val="nzIndenta"/>
      </w:pPr>
      <w:r>
        <w:tab/>
        <w:t>(h)</w:t>
      </w:r>
      <w:r>
        <w:tab/>
        <w:t>a dispute between a buyer or prospective buyer of a lot in a strata titles scheme and the seller of the lot about a matter arising under Part 10;</w:t>
      </w:r>
    </w:p>
    <w:p>
      <w:pPr>
        <w:pStyle w:val="nzIndenta"/>
      </w:pPr>
      <w:r>
        <w:tab/>
        <w:t>(i)</w:t>
      </w:r>
      <w:r>
        <w:tab/>
        <w:t>a dispute of a class specified in the regulations.</w:t>
      </w:r>
    </w:p>
    <w:p>
      <w:pPr>
        <w:pStyle w:val="nzSubsection"/>
      </w:pPr>
      <w:r>
        <w:tab/>
        <w:t>(2)</w:t>
      </w:r>
      <w:r>
        <w:tab/>
        <w:t xml:space="preserve">The following are </w:t>
      </w:r>
      <w:r>
        <w:rPr>
          <w:rStyle w:val="CharDefText"/>
        </w:rPr>
        <w:t>scheme participants</w:t>
      </w:r>
      <w:r>
        <w:t> —</w:t>
      </w:r>
    </w:p>
    <w:p>
      <w:pPr>
        <w:pStyle w:val="nzIndenta"/>
      </w:pPr>
      <w:r>
        <w:tab/>
        <w:t>(a)</w:t>
      </w:r>
      <w:r>
        <w:tab/>
        <w:t>the strata company for the strata titles scheme;</w:t>
      </w:r>
    </w:p>
    <w:p>
      <w:pPr>
        <w:pStyle w:val="nzIndenta"/>
      </w:pPr>
      <w:r>
        <w:tab/>
        <w:t>(b)</w:t>
      </w:r>
      <w:r>
        <w:tab/>
        <w:t>for a leasehold scheme, the owner of the leasehold scheme;</w:t>
      </w:r>
    </w:p>
    <w:p>
      <w:pPr>
        <w:pStyle w:val="nzIndenta"/>
      </w:pPr>
      <w:r>
        <w:tab/>
        <w:t>(c)</w:t>
      </w:r>
      <w:r>
        <w:tab/>
        <w:t>a person who is appointed as an administrator of a strata company for the strata titles scheme;</w:t>
      </w:r>
    </w:p>
    <w:p>
      <w:pPr>
        <w:pStyle w:val="nzIndenta"/>
      </w:pPr>
      <w:r>
        <w:tab/>
        <w:t>(d)</w:t>
      </w:r>
      <w:r>
        <w:tab/>
        <w:t>a member of the strata company for the strata titles scheme;</w:t>
      </w:r>
    </w:p>
    <w:p>
      <w:pPr>
        <w:pStyle w:val="nzIndenta"/>
      </w:pPr>
      <w:r>
        <w:tab/>
        <w:t>(e)</w:t>
      </w:r>
      <w:r>
        <w:tab/>
        <w:t>the occupier of a lot in the strata titles scheme;</w:t>
      </w:r>
    </w:p>
    <w:p>
      <w:pPr>
        <w:pStyle w:val="nzIndenta"/>
      </w:pPr>
      <w:r>
        <w:tab/>
        <w:t>(f)</w:t>
      </w:r>
      <w:r>
        <w:tab/>
        <w:t>the registered mortgagee of a lot in the strata titles scheme;</w:t>
      </w:r>
    </w:p>
    <w:p>
      <w:pPr>
        <w:pStyle w:val="nzIndenta"/>
      </w:pPr>
      <w:r>
        <w:tab/>
        <w:t>(g)</w:t>
      </w:r>
      <w:r>
        <w:tab/>
        <w:t>a member of the council of a strata company, or an officer of the strata company, for the strata titles scheme, who is not a member of the strata company.</w:t>
      </w:r>
    </w:p>
    <w:p>
      <w:pPr>
        <w:pStyle w:val="nzSubsection"/>
      </w:pPr>
      <w:r>
        <w:tab/>
        <w:t>(3)</w:t>
      </w:r>
      <w:r>
        <w:tab/>
        <w:t xml:space="preserve">The following are not </w:t>
      </w:r>
      <w:r>
        <w:rPr>
          <w:rStyle w:val="CharDefText"/>
        </w:rPr>
        <w:t>scheme disputes</w:t>
      </w:r>
      <w:r>
        <w:t> —</w:t>
      </w:r>
    </w:p>
    <w:p>
      <w:pPr>
        <w:pStyle w:val="nz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nzIndenta"/>
      </w:pPr>
      <w:r>
        <w:tab/>
        <w:t>(b)</w:t>
      </w:r>
      <w:r>
        <w:tab/>
        <w:t>a dispute with the Registrar of Titles;</w:t>
      </w:r>
    </w:p>
    <w:p>
      <w:pPr>
        <w:pStyle w:val="nzIndenta"/>
      </w:pPr>
      <w:r>
        <w:tab/>
        <w:t>(c)</w:t>
      </w:r>
      <w:r>
        <w:tab/>
        <w:t>a dispute with the Valuer</w:t>
      </w:r>
      <w:r>
        <w:noBreakHyphen/>
        <w:t>General or a rating or taxing authority;</w:t>
      </w:r>
    </w:p>
    <w:p>
      <w:pPr>
        <w:pStyle w:val="nzIndenta"/>
      </w:pPr>
      <w:r>
        <w:tab/>
        <w:t>(d)</w:t>
      </w:r>
      <w:r>
        <w:tab/>
        <w:t>a dispute about a contract of mortgage insurance under section 84;</w:t>
      </w:r>
    </w:p>
    <w:p>
      <w:pPr>
        <w:pStyle w:val="nzIndenta"/>
      </w:pPr>
      <w:r>
        <w:tab/>
        <w:t>(e)</w:t>
      </w:r>
      <w:r>
        <w:tab/>
        <w:t>a contractual dispute, or a dispute about an estate or interest in land, between —</w:t>
      </w:r>
    </w:p>
    <w:p>
      <w:pPr>
        <w:pStyle w:val="nzIndenti"/>
      </w:pPr>
      <w:r>
        <w:tab/>
        <w:t>(i)</w:t>
      </w:r>
      <w:r>
        <w:tab/>
        <w:t>a scheme participant and a person who is not a scheme participant (other than a dispute arising out of termination of a contract under section 115); or</w:t>
      </w:r>
    </w:p>
    <w:p>
      <w:pPr>
        <w:pStyle w:val="nzIndenti"/>
      </w:pPr>
      <w:r>
        <w:tab/>
        <w:t>(ii)</w:t>
      </w:r>
      <w:r>
        <w:tab/>
        <w:t>the owner of a lot and a buyer, mortgagee or prospective buyer or mortgagee of the lot (other than a dispute of a kind referred to in subsection (1)(f) or (h));</w:t>
      </w:r>
    </w:p>
    <w:p>
      <w:pPr>
        <w:pStyle w:val="nzIndenta"/>
      </w:pPr>
      <w:r>
        <w:tab/>
        <w:t>(f)</w:t>
      </w:r>
      <w:r>
        <w:tab/>
        <w:t>a dispute about an amount owed as a debt (other than a debt owed under section 99(2) or clause 53E);</w:t>
      </w:r>
    </w:p>
    <w:p>
      <w:pPr>
        <w:pStyle w:val="nzIndenta"/>
      </w:pPr>
      <w:r>
        <w:tab/>
        <w:t>(g)</w:t>
      </w:r>
      <w:r>
        <w:tab/>
        <w:t>a dispute of a kind declared by the regulations not to be a scheme dispute.</w:t>
      </w:r>
    </w:p>
    <w:p>
      <w:pPr>
        <w:pStyle w:val="nzSubsection"/>
      </w:pPr>
      <w:r>
        <w:tab/>
        <w:t>(4)</w:t>
      </w:r>
      <w:r>
        <w:tab/>
        <w:t>An application for resolution of a scheme dispute can be made to the Tribunal by a party to the dispute.</w:t>
      </w:r>
    </w:p>
    <w:p>
      <w:pPr>
        <w:pStyle w:val="nzSubsection"/>
      </w:pPr>
      <w:r>
        <w:tab/>
        <w:t>(5)</w:t>
      </w:r>
      <w:r>
        <w:tab/>
        <w:t>However, the occupier of a lot in a strata titles scheme can only apply for resolution of a scheme dispute under subsection (1)(a) if the dispute is about —</w:t>
      </w:r>
    </w:p>
    <w:p>
      <w:pPr>
        <w:pStyle w:val="nzIndenta"/>
      </w:pPr>
      <w:r>
        <w:tab/>
        <w:t>(a)</w:t>
      </w:r>
      <w:r>
        <w:tab/>
        <w:t>the scheme by</w:t>
      </w:r>
      <w:r>
        <w:noBreakHyphen/>
        <w:t>laws; or</w:t>
      </w:r>
    </w:p>
    <w:p>
      <w:pPr>
        <w:pStyle w:val="nzIndenta"/>
      </w:pPr>
      <w:r>
        <w:tab/>
        <w:t>(b)</w:t>
      </w:r>
      <w:r>
        <w:tab/>
        <w:t>a resolution or decision of the strata company that directly affects the occupier; or</w:t>
      </w:r>
    </w:p>
    <w:p>
      <w:pPr>
        <w:pStyle w:val="nzIndenta"/>
      </w:pPr>
      <w:r>
        <w:tab/>
        <w:t>(c)</w:t>
      </w:r>
      <w:r>
        <w:tab/>
        <w:t>an obligation or right of the occupier under this Act or the scheme by</w:t>
      </w:r>
      <w:r>
        <w:noBreakHyphen/>
        <w:t>laws.</w:t>
      </w:r>
    </w:p>
    <w:p>
      <w:pPr>
        <w:pStyle w:val="nzHeading5"/>
      </w:pPr>
      <w:bookmarkStart w:id="1863" w:name="_Toc530474564"/>
      <w:bookmarkStart w:id="1864" w:name="_Toc530475159"/>
      <w:r>
        <w:t>198.</w:t>
      </w:r>
      <w:r>
        <w:tab/>
        <w:t>Procedure</w:t>
      </w:r>
      <w:bookmarkEnd w:id="1863"/>
      <w:bookmarkEnd w:id="1864"/>
    </w:p>
    <w:p>
      <w:pPr>
        <w:pStyle w:val="nzSubsection"/>
      </w:pPr>
      <w:r>
        <w:tab/>
        <w:t>(1)</w:t>
      </w:r>
      <w:r>
        <w:tab/>
        <w:t>The Tribunal may, on application by a member of a strata company, if it is satisfied that a strata company has unreasonably refused to make an application to the Tribunal under this Act —</w:t>
      </w:r>
    </w:p>
    <w:p>
      <w:pPr>
        <w:pStyle w:val="nzIndenta"/>
      </w:pPr>
      <w:r>
        <w:tab/>
        <w:t>(a)</w:t>
      </w:r>
      <w:r>
        <w:tab/>
        <w:t>authorise the member to make the application on behalf of the strata company; and</w:t>
      </w:r>
    </w:p>
    <w:p>
      <w:pPr>
        <w:pStyle w:val="nzIndenta"/>
      </w:pPr>
      <w:r>
        <w:tab/>
        <w:t>(b)</w:t>
      </w:r>
      <w:r>
        <w:tab/>
        <w:t>authorise expenditure up to a specified amount from a fund of the strata company for legal advice and legal action for the proceeding.</w:t>
      </w:r>
    </w:p>
    <w:p>
      <w:pPr>
        <w:pStyle w:val="nz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nzIndenta"/>
      </w:pPr>
      <w:r>
        <w:tab/>
        <w:t>(a)</w:t>
      </w:r>
      <w:r>
        <w:tab/>
        <w:t>each member of the strata company;</w:t>
      </w:r>
    </w:p>
    <w:p>
      <w:pPr>
        <w:pStyle w:val="nzIndenta"/>
      </w:pPr>
      <w:r>
        <w:tab/>
        <w:t>(b)</w:t>
      </w:r>
      <w:r>
        <w:tab/>
        <w:t>each mortgagee of a lot who has given written notice of the mortgagee’s interest to the strata company;</w:t>
      </w:r>
    </w:p>
    <w:p>
      <w:pPr>
        <w:pStyle w:val="nzIndenta"/>
      </w:pPr>
      <w:r>
        <w:tab/>
        <w:t>(c)</w:t>
      </w:r>
      <w:r>
        <w:tab/>
        <w:t>the occupier of each lot in the strata titles scheme that would be affected if the order sought were made.</w:t>
      </w:r>
    </w:p>
    <w:p>
      <w:pPr>
        <w:pStyle w:val="nz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nzSubsection"/>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nzIndenta"/>
      </w:pPr>
      <w:r>
        <w:tab/>
        <w:t>(a)</w:t>
      </w:r>
      <w:r>
        <w:tab/>
        <w:t>the entitlement is to a copy of the application unless there is an approved form for the purpose, in which case, the entitlement is to notice in the approved form; and</w:t>
      </w:r>
    </w:p>
    <w:p>
      <w:pPr>
        <w:pStyle w:val="nzIndenta"/>
      </w:pPr>
      <w:r>
        <w:tab/>
        <w:t>(b)</w:t>
      </w:r>
      <w:r>
        <w:tab/>
        <w:t>if the applicant is not the strata company —</w:t>
      </w:r>
    </w:p>
    <w:p>
      <w:pPr>
        <w:pStyle w:val="nzIndenti"/>
      </w:pPr>
      <w:r>
        <w:tab/>
        <w:t>(i)</w:t>
      </w:r>
      <w:r>
        <w:tab/>
        <w:t>the obligation to give a copy of, or notice of, the application to the persons entitled under subsection (2) falls on the strata company rather than on the applicant; and</w:t>
      </w:r>
    </w:p>
    <w:p>
      <w:pPr>
        <w:pStyle w:val="nzIndenti"/>
      </w:pPr>
      <w:r>
        <w:tab/>
        <w:t>(ii)</w:t>
      </w:r>
      <w:r>
        <w:tab/>
        <w:t>section 45(3) of that Act applies as if the strata company were the applicant.</w:t>
      </w:r>
    </w:p>
    <w:p>
      <w:pPr>
        <w:pStyle w:val="nz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nzIndenta"/>
      </w:pPr>
      <w:r>
        <w:tab/>
        <w:t>(a)</w:t>
      </w:r>
      <w:r>
        <w:tab/>
        <w:t>is not satisfied that the nature of the dispute is more than trivial; or</w:t>
      </w:r>
    </w:p>
    <w:p>
      <w:pPr>
        <w:pStyle w:val="nzIndenta"/>
      </w:pPr>
      <w:r>
        <w:tab/>
        <w:t>(b)</w:t>
      </w:r>
      <w:r>
        <w:tab/>
        <w:t>is not satisfied that the applicant has an interest in the matter that is more than trivial and warrants recourse by the applicant to the Tribunal; or</w:t>
      </w:r>
    </w:p>
    <w:p>
      <w:pPr>
        <w:pStyle w:val="nzIndenta"/>
      </w:pPr>
      <w:r>
        <w:tab/>
        <w:t>(c)</w:t>
      </w:r>
      <w:r>
        <w:tab/>
        <w:t>is satisfied that the purpose of the application is to harass or annoy, or to cause delay or detriment, or is otherwise wrongful; or</w:t>
      </w:r>
    </w:p>
    <w:p>
      <w:pPr>
        <w:pStyle w:val="nzIndenta"/>
      </w:pPr>
      <w:r>
        <w:tab/>
        <w:t>(d)</w:t>
      </w:r>
      <w:r>
        <w:tab/>
        <w:t>is satisfied that the nature and gravity of the dispute is such that it is reasonable to expect the parties to resolve the dispute without recourse to the Tribunal.</w:t>
      </w:r>
    </w:p>
    <w:p>
      <w:pPr>
        <w:pStyle w:val="nzSubsection"/>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nzPermNoteHeading"/>
      </w:pPr>
      <w:r>
        <w:tab/>
        <w:t>Note for this section:</w:t>
      </w:r>
    </w:p>
    <w:p>
      <w:pPr>
        <w:pStyle w:val="nzPermNoteText"/>
      </w:pPr>
      <w:r>
        <w:tab/>
      </w:r>
      <w:r>
        <w:tab/>
        <w:t xml:space="preserve">Under the </w:t>
      </w:r>
      <w:r>
        <w:rPr>
          <w:i/>
        </w:rPr>
        <w:t>State Administrative Tribunal Act 2004</w:t>
      </w:r>
      <w:r>
        <w:t xml:space="preserve"> Part 4 Division 2 the Tribunal may, amongst other things —</w:t>
      </w:r>
    </w:p>
    <w:p>
      <w:pPr>
        <w:pStyle w:val="nzPermNoteText"/>
      </w:pPr>
      <w:r>
        <w:tab/>
      </w:r>
      <w:r>
        <w:tab/>
        <w:t>strike out all, or any part, of a proceeding if it considers that the matter, or any aspect of it, would be more appropriately dealt with by another tribunal, a court or any other person; or</w:t>
      </w:r>
    </w:p>
    <w:p>
      <w:pPr>
        <w:pStyle w:val="nzPermNoteText"/>
      </w:pPr>
      <w:r>
        <w:tab/>
      </w:r>
      <w:r>
        <w:tab/>
        <w:t>dismiss or strike out a proceeding if it believes that it is frivolous, vexatious, misconceived or lacking in substance, is being used for an improper purpose or is otherwise an abuse of process; or</w:t>
      </w:r>
    </w:p>
    <w:p>
      <w:pPr>
        <w:pStyle w:val="nzPermNoteText"/>
      </w:pPr>
      <w:r>
        <w:tab/>
      </w:r>
      <w:r>
        <w:tab/>
        <w:t>direct that proceedings be consolidated or split.</w:t>
      </w:r>
    </w:p>
    <w:p>
      <w:pPr>
        <w:pStyle w:val="nzPermNoteText"/>
      </w:pPr>
      <w:r>
        <w:tab/>
      </w:r>
      <w:r>
        <w:tab/>
        <w:t>Under section 38 of that Act, the Tribunal may order that a person be joined as a party to a proceeding.</w:t>
      </w:r>
    </w:p>
    <w:p>
      <w:pPr>
        <w:pStyle w:val="nzHeading5"/>
      </w:pPr>
      <w:bookmarkStart w:id="1865" w:name="_Toc530474565"/>
      <w:bookmarkStart w:id="1866" w:name="_Toc530475160"/>
      <w:r>
        <w:t>199.</w:t>
      </w:r>
      <w:r>
        <w:tab/>
        <w:t>Declarations</w:t>
      </w:r>
      <w:bookmarkEnd w:id="1865"/>
      <w:bookmarkEnd w:id="1866"/>
    </w:p>
    <w:p>
      <w:pPr>
        <w:pStyle w:val="nz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nzSubsection"/>
      </w:pPr>
      <w:r>
        <w:tab/>
        <w:t>(2)</w:t>
      </w:r>
      <w:r>
        <w:tab/>
        <w:t>The Tribunal’s power to make a declaration is exercisable only by a legally qualified member (or by the Tribunal constituted of a legally qualified member and other members).</w:t>
      </w:r>
    </w:p>
    <w:p>
      <w:pPr>
        <w:pStyle w:val="nzSubsection"/>
      </w:pPr>
      <w:r>
        <w:tab/>
        <w:t>(3)</w:t>
      </w:r>
      <w:r>
        <w:tab/>
        <w:t>Without limitation, a declaration may be made that —</w:t>
      </w:r>
    </w:p>
    <w:p>
      <w:pPr>
        <w:pStyle w:val="nzIndenta"/>
      </w:pPr>
      <w:r>
        <w:tab/>
        <w:t>(a)</w:t>
      </w:r>
      <w:r>
        <w:tab/>
        <w:t>a specified person has or has not contravened a specified provision of this Act, the scheme by</w:t>
      </w:r>
      <w:r>
        <w:noBreakHyphen/>
        <w:t>laws or a strata lease; or</w:t>
      </w:r>
    </w:p>
    <w:p>
      <w:pPr>
        <w:pStyle w:val="nzIndenta"/>
      </w:pPr>
      <w:r>
        <w:tab/>
        <w:t>(b)</w:t>
      </w:r>
      <w:r>
        <w:tab/>
        <w:t>a specified clause of a strata lease is or is not invalid; or</w:t>
      </w:r>
    </w:p>
    <w:p>
      <w:pPr>
        <w:pStyle w:val="nzIndenta"/>
      </w:pPr>
      <w:r>
        <w:tab/>
        <w:t>(c)</w:t>
      </w:r>
      <w:r>
        <w:tab/>
        <w:t>a specified scheme by</w:t>
      </w:r>
      <w:r>
        <w:noBreakHyphen/>
        <w:t>law is or is not invalid; or</w:t>
      </w:r>
    </w:p>
    <w:p>
      <w:pPr>
        <w:pStyle w:val="nzIndenta"/>
      </w:pPr>
      <w:r>
        <w:tab/>
        <w:t>(d)</w:t>
      </w:r>
      <w:r>
        <w:tab/>
        <w:t>a specified decision or resolution of a strata company is or is not invalid; or</w:t>
      </w:r>
    </w:p>
    <w:p>
      <w:pPr>
        <w:pStyle w:val="nzIndenta"/>
      </w:pPr>
      <w:r>
        <w:tab/>
        <w:t>(e)</w:t>
      </w:r>
      <w:r>
        <w:tab/>
        <w:t>a specified appointment or election of a member of a council of a strata company or an officer of a strata company is or is not invalid; or</w:t>
      </w:r>
    </w:p>
    <w:p>
      <w:pPr>
        <w:pStyle w:val="nzIndenta"/>
      </w:pPr>
      <w:r>
        <w:tab/>
        <w:t>(f)</w:t>
      </w:r>
      <w:r>
        <w:tab/>
        <w:t>a settlement date for a contract for the sale and purchase of a lot was or was not validly postponed under this Act; or</w:t>
      </w:r>
    </w:p>
    <w:p>
      <w:pPr>
        <w:pStyle w:val="nzIndenta"/>
        <w:rPr>
          <w:snapToGrid w:val="0"/>
        </w:rPr>
      </w:pPr>
      <w:r>
        <w:tab/>
        <w:t>(g)</w:t>
      </w:r>
      <w:r>
        <w:tab/>
        <w:t>a contract for the sale and purchase of a lot was or was not validly avoided under this Act.</w:t>
      </w:r>
    </w:p>
    <w:p>
      <w:pPr>
        <w:pStyle w:val="nzHeading5"/>
      </w:pPr>
      <w:bookmarkStart w:id="1867" w:name="_Toc530474566"/>
      <w:bookmarkStart w:id="1868" w:name="_Toc530475161"/>
      <w:r>
        <w:t>200.</w:t>
      </w:r>
      <w:r>
        <w:tab/>
        <w:t>Orders</w:t>
      </w:r>
      <w:bookmarkEnd w:id="1867"/>
      <w:bookmarkEnd w:id="1868"/>
    </w:p>
    <w:p>
      <w:pPr>
        <w:pStyle w:val="nzSubsection"/>
      </w:pPr>
      <w:r>
        <w:tab/>
        <w:t>(1)</w:t>
      </w:r>
      <w:r>
        <w:tab/>
        <w:t>In a proceeding under this Act, the Tribunal may make any order it considers appropriate to resolve the dispute or proceeding.</w:t>
      </w:r>
    </w:p>
    <w:p>
      <w:pPr>
        <w:pStyle w:val="nzSubsection"/>
      </w:pPr>
      <w:r>
        <w:tab/>
        <w:t>(2)</w:t>
      </w:r>
      <w:r>
        <w:tab/>
        <w:t>Without limitation, the orders that may be made by the Tribunal on an application under this Act include the following —</w:t>
      </w:r>
    </w:p>
    <w:p>
      <w:pPr>
        <w:pStyle w:val="nzIndenta"/>
      </w:pPr>
      <w:r>
        <w:tab/>
        <w:t>(a)</w:t>
      </w:r>
      <w:r>
        <w:tab/>
        <w:t>an order requiring a scheme document to be amended in a specified manner (including in a manner that effects a subdivision);</w:t>
      </w:r>
    </w:p>
    <w:p>
      <w:pPr>
        <w:pStyle w:val="nzIndenta"/>
      </w:pPr>
      <w:r>
        <w:tab/>
        <w:t>(b)</w:t>
      </w:r>
      <w:r>
        <w:tab/>
        <w:t>an order requiring a structural element by reference to which a lot in a strata scheme is defined to be reinstated following its damage, destruction or removal;</w:t>
      </w:r>
    </w:p>
    <w:p>
      <w:pPr>
        <w:pStyle w:val="nzIndenta"/>
      </w:pPr>
      <w:r>
        <w:tab/>
        <w:t>(c)</w:t>
      </w:r>
      <w:r>
        <w:tab/>
        <w:t>an order determining the form and location of utility conduits to provide specified utility services subject to a utility service easement;</w:t>
      </w:r>
    </w:p>
    <w:p>
      <w:pPr>
        <w:pStyle w:val="nz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nzIndenta"/>
      </w:pPr>
      <w:r>
        <w:tab/>
        <w:t>(e)</w:t>
      </w:r>
      <w:r>
        <w:tab/>
        <w:t>an order determining action that must be taken or refrained from being taken by a member of a strata company under section 98;</w:t>
      </w:r>
    </w:p>
    <w:p>
      <w:pPr>
        <w:pStyle w:val="nzIndenta"/>
      </w:pPr>
      <w:r>
        <w:tab/>
        <w:t>(f)</w:t>
      </w:r>
      <w:r>
        <w:tab/>
        <w:t>an order authorising a specified person to convene and preside at a general meeting of a strata company —</w:t>
      </w:r>
    </w:p>
    <w:p>
      <w:pPr>
        <w:pStyle w:val="nzIndenti"/>
      </w:pPr>
      <w:r>
        <w:tab/>
        <w:t>(i)</w:t>
      </w:r>
      <w:r>
        <w:tab/>
        <w:t>as the first annual general meeting; or</w:t>
      </w:r>
    </w:p>
    <w:p>
      <w:pPr>
        <w:pStyle w:val="nzIndenti"/>
      </w:pPr>
      <w:r>
        <w:tab/>
        <w:t>(ii)</w:t>
      </w:r>
      <w:r>
        <w:tab/>
        <w:t>to appoint or elect members of the council or officers of the strata company; or</w:t>
      </w:r>
    </w:p>
    <w:p>
      <w:pPr>
        <w:pStyle w:val="nzIndenti"/>
      </w:pPr>
      <w:r>
        <w:tab/>
        <w:t>(iii)</w:t>
      </w:r>
      <w:r>
        <w:tab/>
        <w:t>for some other specified purpose;</w:t>
      </w:r>
    </w:p>
    <w:p>
      <w:pPr>
        <w:pStyle w:val="nzIndenta"/>
      </w:pPr>
      <w:r>
        <w:tab/>
        <w:t>(g)</w:t>
      </w:r>
      <w:r>
        <w:tab/>
        <w:t>an order authorising a specified person to convene and preside at a meeting of the council of a strata company —</w:t>
      </w:r>
    </w:p>
    <w:p>
      <w:pPr>
        <w:pStyle w:val="nzIndenti"/>
      </w:pPr>
      <w:r>
        <w:tab/>
        <w:t>(i)</w:t>
      </w:r>
      <w:r>
        <w:tab/>
        <w:t>to appoint or elect officers of the strata company; or</w:t>
      </w:r>
    </w:p>
    <w:p>
      <w:pPr>
        <w:pStyle w:val="nzIndenti"/>
      </w:pPr>
      <w:r>
        <w:tab/>
        <w:t>(ii)</w:t>
      </w:r>
      <w:r>
        <w:tab/>
        <w:t>for some other specified purpose;</w:t>
      </w:r>
    </w:p>
    <w:p>
      <w:pPr>
        <w:pStyle w:val="nzPermNoteHeading"/>
      </w:pPr>
      <w:r>
        <w:tab/>
        <w:t>Note for paragraphs (f) and (g):</w:t>
      </w:r>
    </w:p>
    <w:p>
      <w:pPr>
        <w:pStyle w:val="nzPermNoteText"/>
      </w:pPr>
      <w:r>
        <w:tab/>
      </w:r>
      <w:r>
        <w:tab/>
        <w:t>The order may require the meeting to be held within a specified period or require notice of the meeting to be given in a specified manner.</w:t>
      </w:r>
    </w:p>
    <w:p>
      <w:pPr>
        <w:pStyle w:val="nzIndenta"/>
      </w:pPr>
      <w:r>
        <w:tab/>
        <w:t>(h)</w:t>
      </w:r>
      <w:r>
        <w:tab/>
        <w:t>an order removing a specified person from office as a member of the council of a strata company or as an officer of a strata company;</w:t>
      </w:r>
    </w:p>
    <w:p>
      <w:pPr>
        <w:pStyle w:val="nzIndenta"/>
      </w:pPr>
      <w:r>
        <w:tab/>
        <w:t>(i)</w:t>
      </w:r>
      <w:r>
        <w:tab/>
        <w:t>an order appointing a specified person as a member of the council of a strata company or as an officer of a strata company to replace a person removed from office;</w:t>
      </w:r>
    </w:p>
    <w:p>
      <w:pPr>
        <w:pStyle w:val="nzIndenta"/>
      </w:pPr>
      <w:r>
        <w:tab/>
        <w:t>(j)</w:t>
      </w:r>
      <w:r>
        <w:tab/>
        <w:t>an order varying or terminating a strata management contract;</w:t>
      </w:r>
    </w:p>
    <w:p>
      <w:pPr>
        <w:pStyle w:val="nz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nzIndenta"/>
      </w:pPr>
      <w:r>
        <w:tab/>
        <w:t>(l)</w:t>
      </w:r>
      <w:r>
        <w:tab/>
        <w:t>an order requiring a strata company to take specified action or to refrain from taking specified action in the performance or exercise of its functions, including the following —</w:t>
      </w:r>
    </w:p>
    <w:p>
      <w:pPr>
        <w:pStyle w:val="nzIndenti"/>
      </w:pPr>
      <w:r>
        <w:tab/>
        <w:t>(i)</w:t>
      </w:r>
      <w:r>
        <w:tab/>
        <w:t>an order to sell or acquire real or personal property;</w:t>
      </w:r>
    </w:p>
    <w:p>
      <w:pPr>
        <w:pStyle w:val="nzIndenti"/>
      </w:pPr>
      <w:r>
        <w:tab/>
        <w:t>(ii)</w:t>
      </w:r>
      <w:r>
        <w:tab/>
        <w:t>an order to enter into, vary or terminate a contract, including a contract for services or amenities to the strata company or the members of the strata company;</w:t>
      </w:r>
    </w:p>
    <w:p>
      <w:pPr>
        <w:pStyle w:val="nzIndenti"/>
      </w:pPr>
      <w:r>
        <w:tab/>
        <w:t>(iii)</w:t>
      </w:r>
      <w:r>
        <w:tab/>
        <w:t>an order that a particular insurance claim be pursued;</w:t>
      </w:r>
    </w:p>
    <w:p>
      <w:pPr>
        <w:pStyle w:val="nzIndenti"/>
      </w:pPr>
      <w:r>
        <w:tab/>
        <w:t>(iv)</w:t>
      </w:r>
      <w:r>
        <w:tab/>
        <w:t>an order that the amount of insurance cover be varied;</w:t>
      </w:r>
    </w:p>
    <w:p>
      <w:pPr>
        <w:pStyle w:val="nzIndenti"/>
      </w:pPr>
      <w:r>
        <w:tab/>
        <w:t>(v)</w:t>
      </w:r>
      <w:r>
        <w:tab/>
        <w:t>an order to allow the keeping of an animal on specified conditions or prohibit the keeping of an animal on a lot or common property;</w:t>
      </w:r>
    </w:p>
    <w:p>
      <w:pPr>
        <w:pStyle w:val="nz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nz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nzIndenta"/>
      </w:pPr>
      <w:r>
        <w:tab/>
        <w:t>(o)</w:t>
      </w:r>
      <w:r>
        <w:tab/>
        <w:t>an order requiring a party to the proceeding before it to pay money to —</w:t>
      </w:r>
    </w:p>
    <w:p>
      <w:pPr>
        <w:pStyle w:val="nzIndenti"/>
      </w:pPr>
      <w:r>
        <w:tab/>
        <w:t>(i)</w:t>
      </w:r>
      <w:r>
        <w:tab/>
        <w:t>a person specified in the order by way of compensation for any pecuniary loss or damage suffered; or</w:t>
      </w:r>
    </w:p>
    <w:p>
      <w:pPr>
        <w:pStyle w:val="nzIndenti"/>
      </w:pPr>
      <w:r>
        <w:tab/>
        <w:t>(ii)</w:t>
      </w:r>
      <w:r>
        <w:tab/>
        <w:t>another party to a contract for the purpose of adjusting the position or rights of the parties consequentially on the termination or variation of the contract under the order;</w:t>
      </w:r>
    </w:p>
    <w:p>
      <w:pPr>
        <w:pStyle w:val="nz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nzIndenta"/>
      </w:pPr>
      <w:r>
        <w:tab/>
        <w:t>(q)</w:t>
      </w:r>
      <w:r>
        <w:tab/>
        <w:t>an order appointing an administrator of a strata company (being a person who has given written consent to the appointment) to perform some or all scheme functions.</w:t>
      </w:r>
    </w:p>
    <w:p>
      <w:pPr>
        <w:pStyle w:val="nz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nzSubsection"/>
      </w:pPr>
      <w:r>
        <w:tab/>
        <w:t>(4)</w:t>
      </w:r>
      <w:r>
        <w:tab/>
        <w:t>An order may specify that it is to be taken to have come into effect on a date earlier than the date of the order.</w:t>
      </w:r>
    </w:p>
    <w:p>
      <w:pPr>
        <w:pStyle w:val="nzSubsection"/>
      </w:pPr>
      <w:r>
        <w:tab/>
        <w:t>(5)</w:t>
      </w:r>
      <w:r>
        <w:tab/>
        <w:t>An order may be made to take effect on default being made in complying with some other order made by it.</w:t>
      </w:r>
    </w:p>
    <w:p>
      <w:pPr>
        <w:pStyle w:val="nzSubsection"/>
      </w:pPr>
      <w:r>
        <w:tab/>
        <w:t>(6)</w:t>
      </w:r>
      <w:r>
        <w:tab/>
        <w:t>An order requiring amendment of a scheme document —</w:t>
      </w:r>
    </w:p>
    <w:p>
      <w:pPr>
        <w:pStyle w:val="nzIndenta"/>
      </w:pPr>
      <w:r>
        <w:tab/>
        <w:t>(a)</w:t>
      </w:r>
      <w:r>
        <w:tab/>
        <w:t>must specify the extent to which the amendment is subject to the obtaining of the approvals and consents that would otherwise be required under this Act; and</w:t>
      </w:r>
    </w:p>
    <w:p>
      <w:pPr>
        <w:pStyle w:val="nzIndenta"/>
      </w:pPr>
      <w:r>
        <w:tab/>
        <w:t>(b)</w:t>
      </w:r>
      <w:r>
        <w:tab/>
        <w:t>does not take effect until the Registrar of Titles registers the amendment of the scheme document.</w:t>
      </w:r>
    </w:p>
    <w:p>
      <w:pPr>
        <w:pStyle w:val="nzSubsection"/>
      </w:pPr>
      <w:r>
        <w:tab/>
        <w:t>(7)</w:t>
      </w:r>
      <w:r>
        <w:tab/>
        <w:t>An order may be expressed to remain in force for a specified period, until a specified event or until further order.</w:t>
      </w:r>
    </w:p>
    <w:p>
      <w:pPr>
        <w:pStyle w:val="nzHeading5"/>
      </w:pPr>
      <w:bookmarkStart w:id="1869" w:name="_Toc530474567"/>
      <w:bookmarkStart w:id="1870" w:name="_Toc530475162"/>
      <w:r>
        <w:t>201.</w:t>
      </w:r>
      <w:r>
        <w:tab/>
        <w:t>Interim orders</w:t>
      </w:r>
      <w:bookmarkEnd w:id="1869"/>
      <w:bookmarkEnd w:id="1870"/>
    </w:p>
    <w:p>
      <w:pPr>
        <w:pStyle w:val="nz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nzSubsection"/>
      </w:pPr>
      <w:r>
        <w:tab/>
        <w:t>(2)</w:t>
      </w:r>
      <w:r>
        <w:tab/>
        <w:t>An interim order remains in force for the period (not exceeding 3 months) specified in the order and may be renewed by further order of the Tribunal for subsequent periods (not exceeding, in any case, 3 months).</w:t>
      </w:r>
    </w:p>
    <w:p>
      <w:pPr>
        <w:pStyle w:val="nzSubsection"/>
      </w:pPr>
      <w:r>
        <w:tab/>
        <w:t>(3)</w:t>
      </w:r>
      <w:r>
        <w:tab/>
        <w:t>An interim order may be made or renewed even if the period for parties to make written submissions has not expired.</w:t>
      </w:r>
    </w:p>
    <w:p>
      <w:pPr>
        <w:pStyle w:val="nzSubsection"/>
      </w:pPr>
      <w:r>
        <w:tab/>
        <w:t>(4)</w:t>
      </w:r>
      <w:r>
        <w:tab/>
        <w:t>An interim order is subject to variation or revocation by further order of the Tribunal.</w:t>
      </w:r>
    </w:p>
    <w:p>
      <w:pPr>
        <w:pStyle w:val="nzHeading5"/>
      </w:pPr>
      <w:bookmarkStart w:id="1871" w:name="_Toc530474568"/>
      <w:bookmarkStart w:id="1872" w:name="_Toc530475163"/>
      <w:r>
        <w:t>202.</w:t>
      </w:r>
      <w:r>
        <w:tab/>
        <w:t>Decision not to make order or declaration</w:t>
      </w:r>
      <w:bookmarkEnd w:id="1871"/>
      <w:bookmarkEnd w:id="1872"/>
    </w:p>
    <w:p>
      <w:pPr>
        <w:pStyle w:val="nzSubsection"/>
      </w:pPr>
      <w:r>
        <w:tab/>
      </w:r>
      <w:r>
        <w:tab/>
        <w:t>In a proceeding under this Act, the Tribunal may make a decision not to make an order or declaration.</w:t>
      </w:r>
    </w:p>
    <w:p>
      <w:pPr>
        <w:pStyle w:val="nzHeading5"/>
      </w:pPr>
      <w:bookmarkStart w:id="1873" w:name="_Toc530474569"/>
      <w:bookmarkStart w:id="1874" w:name="_Toc530475164"/>
      <w:r>
        <w:t>203.</w:t>
      </w:r>
      <w:r>
        <w:tab/>
        <w:t>Certain powers only exercisable by judicial member or legally qualified member</w:t>
      </w:r>
      <w:bookmarkEnd w:id="1873"/>
      <w:bookmarkEnd w:id="1874"/>
    </w:p>
    <w:p>
      <w:pPr>
        <w:pStyle w:val="nzSubsection"/>
      </w:pPr>
      <w:r>
        <w:tab/>
        <w:t>(1)</w:t>
      </w:r>
      <w:r>
        <w:tab/>
        <w:t>The Tribunal’s power to make an order under this Act is exercisable only by a judicial member (or by the Tribunal constituted of a judicial member and other members) if —</w:t>
      </w:r>
    </w:p>
    <w:p>
      <w:pPr>
        <w:pStyle w:val="nzIndenta"/>
      </w:pPr>
      <w:r>
        <w:tab/>
        <w:t>(a)</w:t>
      </w:r>
      <w:r>
        <w:tab/>
        <w:t>the order affects a title to land (including through re</w:t>
      </w:r>
      <w:r>
        <w:noBreakHyphen/>
        <w:t>entry of a strata lease); or</w:t>
      </w:r>
    </w:p>
    <w:p>
      <w:pPr>
        <w:pStyle w:val="nzIndenta"/>
      </w:pPr>
      <w:r>
        <w:tab/>
        <w:t>(b)</w:t>
      </w:r>
      <w:r>
        <w:tab/>
        <w:t>the order is an order confirming a termination resolution (as set out in section 183(18)); or</w:t>
      </w:r>
    </w:p>
    <w:p>
      <w:pPr>
        <w:pStyle w:val="nzIndenta"/>
      </w:pPr>
      <w:r>
        <w:tab/>
        <w:t>(c)</w:t>
      </w:r>
      <w:r>
        <w:tab/>
        <w:t>the order is of a class required by the regulations to be made by a judicial member.</w:t>
      </w:r>
    </w:p>
    <w:p>
      <w:pPr>
        <w:pStyle w:val="nz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nzHeading5"/>
      </w:pPr>
      <w:bookmarkStart w:id="1875" w:name="_Toc530474570"/>
      <w:bookmarkStart w:id="1876" w:name="_Toc530475165"/>
      <w:r>
        <w:t>204.</w:t>
      </w:r>
      <w:r>
        <w:tab/>
        <w:t>Limitations on orders</w:t>
      </w:r>
      <w:bookmarkEnd w:id="1875"/>
      <w:bookmarkEnd w:id="1876"/>
    </w:p>
    <w:p>
      <w:pPr>
        <w:pStyle w:val="nzSubsection"/>
        <w:rPr>
          <w:snapToGrid w:val="0"/>
        </w:rPr>
      </w:pPr>
      <w:r>
        <w:tab/>
      </w:r>
      <w:r>
        <w:tab/>
        <w:t>In a proceeding under this Act,</w:t>
      </w:r>
      <w:r>
        <w:rPr>
          <w:snapToGrid w:val="0"/>
        </w:rPr>
        <w:t xml:space="preserve"> the Tribunal cannot —</w:t>
      </w:r>
    </w:p>
    <w:p>
      <w:pPr>
        <w:pStyle w:val="nz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nzIndenta"/>
      </w:pPr>
      <w:r>
        <w:tab/>
        <w:t>(b)</w:t>
      </w:r>
      <w:r>
        <w:tab/>
        <w:t>make an order that the strata company is to be taken to have passed —</w:t>
      </w:r>
    </w:p>
    <w:p>
      <w:pPr>
        <w:pStyle w:val="nzIndenti"/>
      </w:pPr>
      <w:r>
        <w:tab/>
        <w:t>(i)</w:t>
      </w:r>
      <w:r>
        <w:tab/>
        <w:t>a termination resolution; or</w:t>
      </w:r>
    </w:p>
    <w:p>
      <w:pPr>
        <w:pStyle w:val="nzIndenti"/>
      </w:pPr>
      <w:r>
        <w:tab/>
        <w:t>(ii)</w:t>
      </w:r>
      <w:r>
        <w:tab/>
        <w:t>a resolution required for postponement of the expiry day for a leasehold scheme; or</w:t>
      </w:r>
    </w:p>
    <w:p>
      <w:pPr>
        <w:pStyle w:val="nzIndenti"/>
      </w:pPr>
      <w:r>
        <w:tab/>
        <w:t>(iii)</w:t>
      </w:r>
      <w:r>
        <w:tab/>
        <w:t>a resolution fixing or varying contributions unless the Tribunal is satisfied that the contributions fixed by the strata company are inadequate or excessive; or</w:t>
      </w:r>
    </w:p>
    <w:p>
      <w:pPr>
        <w:pStyle w:val="nzIndenti"/>
      </w:pPr>
      <w:r>
        <w:tab/>
        <w:t>(iv)</w:t>
      </w:r>
      <w:r>
        <w:tab/>
        <w:t>a resolution fixing or varying the interest rate applicable to contributions unless the Tribunal is satisfied that the interest rate fixed by the strata company is unreasonable; or</w:t>
      </w:r>
    </w:p>
    <w:p>
      <w:pPr>
        <w:pStyle w:val="nzIndenti"/>
      </w:pPr>
      <w:r>
        <w:tab/>
        <w:t>(v)</w:t>
      </w:r>
      <w:r>
        <w:tab/>
        <w:t>a resolution determining arrangements for payment of contributions in instalments unless the Tribunal is satisfied that the arrangements allowed by the strata company are unreasonable;</w:t>
      </w:r>
    </w:p>
    <w:p>
      <w:pPr>
        <w:pStyle w:val="nzIndenta"/>
      </w:pPr>
      <w:r>
        <w:tab/>
      </w:r>
      <w:r>
        <w:tab/>
        <w:t>or</w:t>
      </w:r>
    </w:p>
    <w:p>
      <w:pPr>
        <w:pStyle w:val="nzIndenta"/>
      </w:pPr>
      <w:r>
        <w:tab/>
        <w:t>(c)</w:t>
      </w:r>
      <w:r>
        <w:tab/>
        <w:t>make an order that the amount of insurance cover be varied unless satisfied that the amount for which the strata company has insurance as required by this Act is inadequate or excessive; or</w:t>
      </w:r>
    </w:p>
    <w:p>
      <w:pPr>
        <w:pStyle w:val="nzIndenta"/>
      </w:pPr>
      <w:r>
        <w:tab/>
        <w:t>(d)</w:t>
      </w:r>
      <w:r>
        <w:tab/>
        <w:t>make an order to allow the keeping of an animal on specified conditions or prohibit the keeping of an animal on a lot or common property unless satisfied that the strata company has acted unreasonably; or</w:t>
      </w:r>
    </w:p>
    <w:p>
      <w:pPr>
        <w:pStyle w:val="nzIndenta"/>
      </w:pPr>
      <w:r>
        <w:tab/>
        <w:t>(e)</w:t>
      </w:r>
      <w:r>
        <w:tab/>
        <w:t>make an order by way of compensation for personal injury or death; or</w:t>
      </w:r>
    </w:p>
    <w:p>
      <w:pPr>
        <w:pStyle w:val="nz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nzIndenta"/>
      </w:pPr>
      <w:r>
        <w:tab/>
        <w:t>(g)</w:t>
      </w:r>
      <w:r>
        <w:tab/>
        <w:t>make an order in circumstances prohibited under the regulations.</w:t>
      </w:r>
    </w:p>
    <w:p>
      <w:pPr>
        <w:pStyle w:val="nzHeading5"/>
      </w:pPr>
      <w:bookmarkStart w:id="1877" w:name="_Toc530474571"/>
      <w:bookmarkStart w:id="1878" w:name="_Toc530475166"/>
      <w:r>
        <w:t>205.</w:t>
      </w:r>
      <w:r>
        <w:tab/>
        <w:t>Administrator of strata company</w:t>
      </w:r>
      <w:bookmarkEnd w:id="1877"/>
      <w:bookmarkEnd w:id="1878"/>
    </w:p>
    <w:p>
      <w:pPr>
        <w:pStyle w:val="nzSubsection"/>
      </w:pPr>
      <w:r>
        <w:tab/>
        <w:t>(1)</w:t>
      </w:r>
      <w:r>
        <w:tab/>
        <w:t>An order of the Tribunal appointing an administrator of a strata company may specify conditions of appointment of the administrator.</w:t>
      </w:r>
    </w:p>
    <w:p>
      <w:pPr>
        <w:pStyle w:val="nzSubsection"/>
      </w:pPr>
      <w:r>
        <w:tab/>
        <w:t>(2)</w:t>
      </w:r>
      <w:r>
        <w:tab/>
        <w:t>If the Tribunal makes an order appointing an administrator of a strata company —</w:t>
      </w:r>
    </w:p>
    <w:p>
      <w:pPr>
        <w:pStyle w:val="nzIndenta"/>
      </w:pPr>
      <w:r>
        <w:tab/>
        <w:t>(a)</w:t>
      </w:r>
      <w:r>
        <w:tab/>
        <w:t>no person other than the administrator may, while the order remains in force, perform a function that the administrator is authorised to perform under the order; and</w:t>
      </w:r>
    </w:p>
    <w:p>
      <w:pPr>
        <w:pStyle w:val="nz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nzIndenta"/>
      </w:pPr>
      <w:r>
        <w:tab/>
        <w:t>(c)</w:t>
      </w:r>
      <w:r>
        <w:tab/>
        <w:t>the Tribunal may, by further order, vary or revoke the appointment.</w:t>
      </w:r>
    </w:p>
    <w:p>
      <w:pPr>
        <w:pStyle w:val="nzSubsection"/>
        <w:rPr>
          <w:snapToGrid w:val="0"/>
        </w:rPr>
      </w:pPr>
      <w:r>
        <w:tab/>
        <w:t>(3)</w:t>
      </w:r>
      <w:r>
        <w:tab/>
      </w:r>
      <w:r>
        <w:rPr>
          <w:snapToGrid w:val="0"/>
        </w:rPr>
        <w:t>An administrator of a strata company appointed by the Tribunal must, after performing a function under the order —</w:t>
      </w:r>
    </w:p>
    <w:p>
      <w:pPr>
        <w:pStyle w:val="nzIndenta"/>
      </w:pPr>
      <w:r>
        <w:tab/>
        <w:t>(a)</w:t>
      </w:r>
      <w:r>
        <w:tab/>
        <w:t>make a written record specifying the function and the manner of its performance; and</w:t>
      </w:r>
    </w:p>
    <w:p>
      <w:pPr>
        <w:pStyle w:val="nzIndenta"/>
      </w:pPr>
      <w:r>
        <w:tab/>
        <w:t>(b)</w:t>
      </w:r>
      <w:r>
        <w:tab/>
        <w:t>serve the record on the strata company.</w:t>
      </w:r>
    </w:p>
    <w:p>
      <w:pPr>
        <w:pStyle w:val="nzHeading5"/>
      </w:pPr>
      <w:bookmarkStart w:id="1879" w:name="_Toc530474572"/>
      <w:bookmarkStart w:id="1880" w:name="_Toc530475167"/>
      <w:r>
        <w:t>206.</w:t>
      </w:r>
      <w:r>
        <w:tab/>
        <w:t>Contributions for money payable by strata company</w:t>
      </w:r>
      <w:bookmarkEnd w:id="1879"/>
      <w:bookmarkEnd w:id="1880"/>
    </w:p>
    <w:p>
      <w:pPr>
        <w:pStyle w:val="nz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nz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nzIndenta"/>
      </w:pPr>
      <w:r>
        <w:tab/>
        <w:t>(b)</w:t>
      </w:r>
      <w:r>
        <w:tab/>
        <w:t>direct the strata company to levy contributions in accordance with the order; and</w:t>
      </w:r>
    </w:p>
    <w:p>
      <w:pPr>
        <w:pStyle w:val="nzIndenta"/>
      </w:pPr>
      <w:r>
        <w:tab/>
        <w:t>(c)</w:t>
      </w:r>
      <w:r>
        <w:tab/>
        <w:t>prohibit the strata company from levying a contribution that would be payable by another party to the dispute.</w:t>
      </w:r>
    </w:p>
    <w:p>
      <w:pPr>
        <w:pStyle w:val="nzHeading5"/>
      </w:pPr>
      <w:bookmarkStart w:id="1881" w:name="_Toc530474573"/>
      <w:bookmarkStart w:id="1882" w:name="_Toc530475168"/>
      <w:r>
        <w:t>207.</w:t>
      </w:r>
      <w:r>
        <w:tab/>
        <w:t>Enforcement of order to act</w:t>
      </w:r>
      <w:bookmarkEnd w:id="1881"/>
      <w:bookmarkEnd w:id="1882"/>
    </w:p>
    <w:p>
      <w:pPr>
        <w:pStyle w:val="nzSubsection"/>
      </w:pPr>
      <w:r>
        <w:tab/>
        <w:t>(1)</w:t>
      </w:r>
      <w:r>
        <w:tab/>
        <w:t>An application for an order under this section can be made by a person who was the applicant in a proceeding under this Act in which an order to act was made.</w:t>
      </w:r>
    </w:p>
    <w:p>
      <w:pPr>
        <w:pStyle w:val="nzSubsection"/>
      </w:pPr>
      <w:r>
        <w:tab/>
        <w:t>(2)</w:t>
      </w:r>
      <w:r>
        <w:tab/>
        <w:t>If the Tribunal is satisfied that an order to act has not been complied with, or has been complied with in part only, by the person to whom it was given, the Tribunal may —</w:t>
      </w:r>
    </w:p>
    <w:p>
      <w:pPr>
        <w:pStyle w:val="nzIndenta"/>
      </w:pPr>
      <w:r>
        <w:tab/>
        <w:t>(a)</w:t>
      </w:r>
      <w:r>
        <w:tab/>
        <w:t>vary, revoke or substitute the order to act; and</w:t>
      </w:r>
    </w:p>
    <w:p>
      <w:pPr>
        <w:pStyle w:val="nzIndenta"/>
      </w:pPr>
      <w:r>
        <w:tab/>
        <w:t>(b)</w:t>
      </w:r>
      <w:r>
        <w:tab/>
        <w:t>make an order that the person to whom the order to act was given pay to the applicant a specified amount by way of compensation for the failure to act or to refrain from acting.</w:t>
      </w:r>
    </w:p>
    <w:p>
      <w:pPr>
        <w:pStyle w:val="nz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nzSubsection"/>
      </w:pPr>
      <w:r>
        <w:tab/>
        <w:t>(4)</w:t>
      </w:r>
      <w:r>
        <w:tab/>
        <w:t>The variation, revocation or substitution of an order does not affect —</w:t>
      </w:r>
    </w:p>
    <w:p>
      <w:pPr>
        <w:pStyle w:val="nzIndenta"/>
      </w:pPr>
      <w:r>
        <w:tab/>
        <w:t>(a)</w:t>
      </w:r>
      <w:r>
        <w:tab/>
        <w:t>anything done under the order before the revocation; or</w:t>
      </w:r>
    </w:p>
    <w:p>
      <w:pPr>
        <w:pStyle w:val="nz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nzHeading5"/>
      </w:pPr>
      <w:bookmarkStart w:id="1883" w:name="_Toc530474574"/>
      <w:bookmarkStart w:id="1884" w:name="_Toc530475169"/>
      <w:r>
        <w:t>208.</w:t>
      </w:r>
      <w:r>
        <w:tab/>
        <w:t>Order overrides existing scheme by</w:t>
      </w:r>
      <w:r>
        <w:noBreakHyphen/>
        <w:t>laws</w:t>
      </w:r>
      <w:bookmarkEnd w:id="1883"/>
      <w:bookmarkEnd w:id="1884"/>
    </w:p>
    <w:p>
      <w:pPr>
        <w:pStyle w:val="nz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nzPermNoteHeading"/>
      </w:pPr>
      <w:r>
        <w:tab/>
        <w:t>Note for this section:</w:t>
      </w:r>
    </w:p>
    <w:p>
      <w:pPr>
        <w:pStyle w:val="nzPermNoteText"/>
      </w:pPr>
      <w:r>
        <w:tab/>
      </w:r>
      <w:r>
        <w:tab/>
        <w:t>If scheme by</w:t>
      </w:r>
      <w:r>
        <w:noBreakHyphen/>
        <w:t>laws are inconsistent, the Tribunal may make an order requiring by</w:t>
      </w:r>
      <w:r>
        <w:noBreakHyphen/>
        <w:t>laws to be amended in a specified manner.</w:t>
      </w:r>
    </w:p>
    <w:p>
      <w:pPr>
        <w:pStyle w:val="nzHeading5"/>
      </w:pPr>
      <w:bookmarkStart w:id="1885" w:name="_Toc530474575"/>
      <w:bookmarkStart w:id="1886" w:name="_Toc530475170"/>
      <w:r>
        <w:t>209.</w:t>
      </w:r>
      <w:r>
        <w:tab/>
        <w:t>Original jurisdiction</w:t>
      </w:r>
      <w:bookmarkEnd w:id="1885"/>
      <w:bookmarkEnd w:id="1886"/>
    </w:p>
    <w:p>
      <w:pPr>
        <w:pStyle w:val="nzSubsection"/>
      </w:pPr>
      <w:r>
        <w:tab/>
      </w:r>
      <w:r>
        <w:tab/>
        <w:t>Unless otherwise provided in this Act, a proceeding before the Tribunal under this Act comes within the Tribunal’s original jurisdiction.</w:t>
      </w:r>
    </w:p>
    <w:p>
      <w:pPr>
        <w:pStyle w:val="nzHeading5"/>
      </w:pPr>
      <w:bookmarkStart w:id="1887" w:name="_Toc530474576"/>
      <w:bookmarkStart w:id="1888" w:name="_Toc530475171"/>
      <w:r>
        <w:t>210.</w:t>
      </w:r>
      <w:r>
        <w:tab/>
        <w:t>Internal review of order or declaration</w:t>
      </w:r>
      <w:bookmarkEnd w:id="1887"/>
      <w:bookmarkEnd w:id="1888"/>
    </w:p>
    <w:p>
      <w:pPr>
        <w:pStyle w:val="nz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nzSubsection"/>
      </w:pPr>
      <w:r>
        <w:tab/>
        <w:t>(2)</w:t>
      </w:r>
      <w:r>
        <w:tab/>
        <w:t>However, an application for internal review of an order or declaration can be made only if —</w:t>
      </w:r>
    </w:p>
    <w:p>
      <w:pPr>
        <w:pStyle w:val="nzIndenta"/>
      </w:pPr>
      <w:r>
        <w:tab/>
        <w:t>(a)</w:t>
      </w:r>
      <w:r>
        <w:tab/>
        <w:t>leave is given by the Tribunal (constituted as required for an internal review under this section); and</w:t>
      </w:r>
    </w:p>
    <w:p>
      <w:pPr>
        <w:pStyle w:val="nzIndenta"/>
      </w:pPr>
      <w:r>
        <w:tab/>
        <w:t>(b)</w:t>
      </w:r>
      <w:r>
        <w:tab/>
        <w:t>the application is made within 28 days after the order or declaration is made or within an extension of that period given by the President.</w:t>
      </w:r>
    </w:p>
    <w:p>
      <w:pPr>
        <w:pStyle w:val="nzSubsection"/>
      </w:pPr>
      <w:r>
        <w:tab/>
        <w:t>(3)</w:t>
      </w:r>
      <w:r>
        <w:tab/>
        <w:t>For an internal review of an order or declaration, the Tribunal must be constituted of —</w:t>
      </w:r>
    </w:p>
    <w:p>
      <w:pPr>
        <w:pStyle w:val="nzIndenta"/>
      </w:pPr>
      <w:r>
        <w:tab/>
        <w:t>(a)</w:t>
      </w:r>
      <w:r>
        <w:tab/>
        <w:t>a judicial member or a senior member who is a legally qualified member; and</w:t>
      </w:r>
    </w:p>
    <w:p>
      <w:pPr>
        <w:pStyle w:val="nzIndenta"/>
      </w:pPr>
      <w:r>
        <w:tab/>
        <w:t>(b)</w:t>
      </w:r>
      <w:r>
        <w:tab/>
        <w:t>such other members, if any, as the President considers appropriate.</w:t>
      </w:r>
    </w:p>
    <w:p>
      <w:pPr>
        <w:pStyle w:val="nzSubsection"/>
      </w:pPr>
      <w:r>
        <w:tab/>
        <w:t>(4)</w:t>
      </w:r>
      <w:r>
        <w:tab/>
        <w:t>On an internal review of an order or declaration, the Tribunal may —</w:t>
      </w:r>
    </w:p>
    <w:p>
      <w:pPr>
        <w:pStyle w:val="nzIndenta"/>
      </w:pPr>
      <w:r>
        <w:tab/>
        <w:t>(a)</w:t>
      </w:r>
      <w:r>
        <w:tab/>
        <w:t>affirm the order or declaration; or</w:t>
      </w:r>
    </w:p>
    <w:p>
      <w:pPr>
        <w:pStyle w:val="nzIndenta"/>
      </w:pPr>
      <w:r>
        <w:tab/>
        <w:t>(b)</w:t>
      </w:r>
      <w:r>
        <w:tab/>
        <w:t>vary the order or declaration; or</w:t>
      </w:r>
    </w:p>
    <w:p>
      <w:pPr>
        <w:pStyle w:val="nzIndenta"/>
      </w:pPr>
      <w:r>
        <w:tab/>
        <w:t>(c)</w:t>
      </w:r>
      <w:r>
        <w:tab/>
        <w:t>set aside the order or declaration and substitute another order or declaration.</w:t>
      </w:r>
    </w:p>
    <w:p>
      <w:pPr>
        <w:pStyle w:val="nz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nzSubsection"/>
      </w:pPr>
      <w:r>
        <w:tab/>
        <w:t>(6)</w:t>
      </w:r>
      <w:r>
        <w:tab/>
        <w:t xml:space="preserve">The regulations may modify the operation of the </w:t>
      </w:r>
      <w:r>
        <w:rPr>
          <w:i/>
        </w:rPr>
        <w:t>State Administrative Tribunal Act 2004</w:t>
      </w:r>
      <w:r>
        <w:t xml:space="preserve"> for an internal review of an order or declaration.</w:t>
      </w:r>
    </w:p>
    <w:p>
      <w:pPr>
        <w:pStyle w:val="nzHeading2"/>
      </w:pPr>
      <w:bookmarkStart w:id="1889" w:name="_Toc517437778"/>
      <w:bookmarkStart w:id="1890" w:name="_Toc517438320"/>
      <w:bookmarkStart w:id="1891" w:name="_Toc517440657"/>
      <w:bookmarkStart w:id="1892" w:name="_Toc517447694"/>
      <w:bookmarkStart w:id="1893" w:name="_Toc517450172"/>
      <w:bookmarkStart w:id="1894" w:name="_Toc517450714"/>
      <w:bookmarkStart w:id="1895" w:name="_Toc517857170"/>
      <w:bookmarkStart w:id="1896" w:name="_Toc518293297"/>
      <w:bookmarkStart w:id="1897" w:name="_Toc522744525"/>
      <w:bookmarkStart w:id="1898" w:name="_Toc522747648"/>
      <w:bookmarkStart w:id="1899" w:name="_Toc529183486"/>
      <w:bookmarkStart w:id="1900" w:name="_Toc529188249"/>
      <w:bookmarkStart w:id="1901" w:name="_Toc529434762"/>
      <w:bookmarkStart w:id="1902" w:name="_Toc529524653"/>
      <w:bookmarkStart w:id="1903" w:name="_Toc530474577"/>
      <w:bookmarkStart w:id="1904" w:name="_Toc530475172"/>
      <w:r>
        <w:t>Part 14</w:t>
      </w:r>
      <w:r>
        <w:rPr>
          <w:b w:val="0"/>
        </w:rPr>
        <w:t> </w:t>
      </w:r>
      <w:r>
        <w:t>—</w:t>
      </w:r>
      <w:r>
        <w:rPr>
          <w:b w:val="0"/>
        </w:rPr>
        <w:t> </w:t>
      </w:r>
      <w:r>
        <w:t>Miscellaneous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nzHeading5"/>
      </w:pPr>
      <w:bookmarkStart w:id="1905" w:name="_Toc530474578"/>
      <w:bookmarkStart w:id="1906" w:name="_Toc530475173"/>
      <w:r>
        <w:t>215.</w:t>
      </w:r>
      <w:r>
        <w:tab/>
        <w:t>Address for service</w:t>
      </w:r>
      <w:bookmarkEnd w:id="1905"/>
      <w:bookmarkEnd w:id="1906"/>
    </w:p>
    <w:p>
      <w:pPr>
        <w:pStyle w:val="nzSubsection"/>
      </w:pPr>
      <w:r>
        <w:tab/>
        <w:t>(1)</w:t>
      </w:r>
      <w:r>
        <w:tab/>
        <w:t>An address for service provided under this Act must be an address of a place within Australia.</w:t>
      </w:r>
    </w:p>
    <w:p>
      <w:pPr>
        <w:pStyle w:val="nzSubsection"/>
      </w:pPr>
      <w:r>
        <w:tab/>
        <w:t>(2)</w:t>
      </w:r>
      <w:r>
        <w:tab/>
        <w:t>An electronic address may be provided as an additional address for service under this Act.</w:t>
      </w:r>
    </w:p>
    <w:p>
      <w:pPr>
        <w:pStyle w:val="nzHeading5"/>
      </w:pPr>
      <w:bookmarkStart w:id="1907" w:name="_Toc530474579"/>
      <w:bookmarkStart w:id="1908" w:name="_Toc530475174"/>
      <w:r>
        <w:t>216.</w:t>
      </w:r>
      <w:r>
        <w:tab/>
        <w:t>Service of documents on strata company, owners and others</w:t>
      </w:r>
      <w:bookmarkEnd w:id="1907"/>
      <w:bookmarkEnd w:id="1908"/>
    </w:p>
    <w:p>
      <w:pPr>
        <w:pStyle w:val="nzSubsection"/>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nzIndenta"/>
      </w:pPr>
      <w:r>
        <w:tab/>
        <w:t>(a)</w:t>
      </w:r>
      <w:r>
        <w:tab/>
        <w:t>by serving it on a member of the council of the strata company; or</w:t>
      </w:r>
    </w:p>
    <w:p>
      <w:pPr>
        <w:pStyle w:val="nzIndenta"/>
      </w:pPr>
      <w:r>
        <w:tab/>
        <w:t>(b)</w:t>
      </w:r>
      <w:r>
        <w:tab/>
        <w:t>by sending it to the strata company’s address for service (by post if it is a postal address or by electronic transmission if it is an electronic address); or</w:t>
      </w:r>
    </w:p>
    <w:p>
      <w:pPr>
        <w:pStyle w:val="nzIndenta"/>
      </w:pPr>
      <w:r>
        <w:tab/>
        <w:t>(c)</w:t>
      </w:r>
      <w:r>
        <w:tab/>
        <w:t>by leaving it in the letterbox provided by the strata company under section 104(3)(a).</w:t>
      </w:r>
    </w:p>
    <w:p>
      <w:pPr>
        <w:pStyle w:val="nzSubsection"/>
      </w:pPr>
      <w:r>
        <w:tab/>
        <w:t>(2)</w:t>
      </w:r>
      <w:r>
        <w:tab/>
        <w:t>Subsection (1) applies even if the document is required to be served personally on a strata company.</w:t>
      </w:r>
    </w:p>
    <w:p>
      <w:pPr>
        <w:pStyle w:val="nzSubsection"/>
      </w:pPr>
      <w:r>
        <w:tab/>
        <w:t>(3)</w:t>
      </w:r>
      <w:r>
        <w:tab/>
        <w:t>A document required or authorised by this Act or scheme by</w:t>
      </w:r>
      <w:r>
        <w:noBreakHyphen/>
        <w:t>laws to be served on the owner of a leasehold scheme may be served —</w:t>
      </w:r>
    </w:p>
    <w:p>
      <w:pPr>
        <w:pStyle w:val="nzIndenta"/>
      </w:pPr>
      <w:r>
        <w:tab/>
        <w:t>(a)</w:t>
      </w:r>
      <w:r>
        <w:tab/>
        <w:t>by serving it on the owner personally; or</w:t>
      </w:r>
    </w:p>
    <w:p>
      <w:pPr>
        <w:pStyle w:val="nzIndenta"/>
      </w:pPr>
      <w:r>
        <w:tab/>
        <w:t>(b)</w:t>
      </w:r>
      <w:r>
        <w:tab/>
        <w:t>by sending it to the owner’s address for service as appearing on the roll maintained under section 105 (by post if it is a postal address or by electronic transmission if it is an electronic address).</w:t>
      </w:r>
    </w:p>
    <w:p>
      <w:pPr>
        <w:pStyle w:val="nz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nzIndenta"/>
      </w:pPr>
      <w:r>
        <w:tab/>
        <w:t>(a)</w:t>
      </w:r>
      <w:r>
        <w:tab/>
        <w:t>by serving it on the owner personally; or</w:t>
      </w:r>
    </w:p>
    <w:p>
      <w:pPr>
        <w:pStyle w:val="nz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nzIndenta"/>
      </w:pPr>
      <w:r>
        <w:tab/>
        <w:t>(c)</w:t>
      </w:r>
      <w:r>
        <w:tab/>
        <w:t>if there is no such address for service, by sending it by post to the owner to the address of the lot; or</w:t>
      </w:r>
    </w:p>
    <w:p>
      <w:pPr>
        <w:pStyle w:val="nzIndenta"/>
      </w:pPr>
      <w:r>
        <w:tab/>
        <w:t>(d)</w:t>
      </w:r>
      <w:r>
        <w:tab/>
        <w:t>by serving it in a manner authorised for service on the owner of a lot by the scheme by</w:t>
      </w:r>
      <w:r>
        <w:noBreakHyphen/>
        <w:t>laws.</w:t>
      </w:r>
    </w:p>
    <w:p>
      <w:pPr>
        <w:pStyle w:val="nzSubsection"/>
      </w:pPr>
      <w:r>
        <w:tab/>
        <w:t>(5)</w:t>
      </w:r>
      <w:r>
        <w:tab/>
        <w:t>If there are 2 or more persons who are co</w:t>
      </w:r>
      <w:r>
        <w:noBreakHyphen/>
        <w:t>owners of a lot, a document will be taken to be served on the owner of the lot when it has been served on each of those persons.</w:t>
      </w:r>
    </w:p>
    <w:p>
      <w:pPr>
        <w:pStyle w:val="nzSubsection"/>
      </w:pPr>
      <w:r>
        <w:tab/>
        <w:t>(6)</w:t>
      </w:r>
      <w:r>
        <w:tab/>
        <w:t>A document required or authorised by this Act or scheme by</w:t>
      </w:r>
      <w:r>
        <w:noBreakHyphen/>
        <w:t>laws to be served on the occupier of a lot may be served —</w:t>
      </w:r>
    </w:p>
    <w:p>
      <w:pPr>
        <w:pStyle w:val="nzIndenta"/>
      </w:pPr>
      <w:r>
        <w:tab/>
        <w:t>(a)</w:t>
      </w:r>
      <w:r>
        <w:tab/>
        <w:t>by serving it on the occupier personally; or</w:t>
      </w:r>
    </w:p>
    <w:p>
      <w:pPr>
        <w:pStyle w:val="nzIndenta"/>
      </w:pPr>
      <w:r>
        <w:tab/>
        <w:t>(b)</w:t>
      </w:r>
      <w:r>
        <w:tab/>
        <w:t>by leaving it with some person apparently of or over the age of 16 years at the address of the lot; or</w:t>
      </w:r>
    </w:p>
    <w:p>
      <w:pPr>
        <w:pStyle w:val="nzIndenta"/>
      </w:pPr>
      <w:r>
        <w:tab/>
        <w:t>(c)</w:t>
      </w:r>
      <w:r>
        <w:tab/>
        <w:t>by sending it by post to the occupier at the address of the lot; or</w:t>
      </w:r>
    </w:p>
    <w:p>
      <w:pPr>
        <w:pStyle w:val="nzIndenta"/>
      </w:pPr>
      <w:r>
        <w:tab/>
        <w:t>(d)</w:t>
      </w:r>
      <w:r>
        <w:tab/>
        <w:t>by serving it in a manner authorised for service on an occupier of a lot by the by</w:t>
      </w:r>
      <w:r>
        <w:noBreakHyphen/>
        <w:t>laws of the strata company.</w:t>
      </w:r>
    </w:p>
    <w:p>
      <w:pPr>
        <w:pStyle w:val="nz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nzIndenta"/>
      </w:pPr>
      <w:r>
        <w:tab/>
        <w:t>(a)</w:t>
      </w:r>
      <w:r>
        <w:tab/>
        <w:t>by serving it on the person personally or by post; or</w:t>
      </w:r>
    </w:p>
    <w:p>
      <w:pPr>
        <w:pStyle w:val="nzIndenta"/>
      </w:pPr>
      <w:r>
        <w:tab/>
        <w:t>(b)</w:t>
      </w:r>
      <w:r>
        <w:tab/>
        <w:t>by leaving it with a person apparently of or over the age of 16 years at the place of residence or place of business of the first</w:t>
      </w:r>
      <w:r>
        <w:noBreakHyphen/>
        <w:t>mentioned person; or</w:t>
      </w:r>
    </w:p>
    <w:p>
      <w:pPr>
        <w:pStyle w:val="nz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nzIndenta"/>
      </w:pPr>
      <w:r>
        <w:tab/>
        <w:t>(d)</w:t>
      </w:r>
      <w:r>
        <w:tab/>
        <w:t>if the person has an interest in the parcel that is registered or recorded in the Register, by sending it by post to the person’s address as it appears in the Register; or</w:t>
      </w:r>
    </w:p>
    <w:p>
      <w:pPr>
        <w:pStyle w:val="nzIndenta"/>
      </w:pPr>
      <w:r>
        <w:tab/>
        <w:t>(e)</w:t>
      </w:r>
      <w:r>
        <w:tab/>
        <w:t>by sending it to an electronic address notified to the sender by the first</w:t>
      </w:r>
      <w:r>
        <w:noBreakHyphen/>
        <w:t>mentioned person as an address at which service of such notices will be accepted.</w:t>
      </w:r>
    </w:p>
    <w:p>
      <w:pPr>
        <w:pStyle w:val="nzSubsection"/>
      </w:pPr>
      <w:r>
        <w:tab/>
        <w:t>(8)</w:t>
      </w:r>
      <w:r>
        <w:tab/>
        <w:t>For the purposes of this section, service by post must be by pre</w:t>
      </w:r>
      <w:r>
        <w:noBreakHyphen/>
      </w:r>
      <w:r>
        <w:rPr>
          <w:snapToGrid w:val="0"/>
        </w:rPr>
        <w:t>paid</w:t>
      </w:r>
      <w:r>
        <w:t xml:space="preserve"> post.</w:t>
      </w:r>
    </w:p>
    <w:p>
      <w:pPr>
        <w:pStyle w:val="nzSubsection"/>
      </w:pPr>
      <w:r>
        <w:tab/>
        <w:t>(9)</w:t>
      </w:r>
      <w:r>
        <w:tab/>
        <w:t xml:space="preserve">This section is in addition to the </w:t>
      </w:r>
      <w:r>
        <w:rPr>
          <w:i/>
        </w:rPr>
        <w:t>Interpretation Act 1984</w:t>
      </w:r>
      <w:r>
        <w:t xml:space="preserve"> sections 75 and 76.</w:t>
      </w:r>
    </w:p>
    <w:p>
      <w:pPr>
        <w:pStyle w:val="nzHeading5"/>
        <w:rPr>
          <w:snapToGrid w:val="0"/>
        </w:rPr>
      </w:pPr>
      <w:bookmarkStart w:id="1909" w:name="_Toc530474580"/>
      <w:bookmarkStart w:id="1910" w:name="_Toc530475175"/>
      <w:r>
        <w:t>218</w:t>
      </w:r>
      <w:r>
        <w:rPr>
          <w:snapToGrid w:val="0"/>
        </w:rPr>
        <w:t>.</w:t>
      </w:r>
      <w:r>
        <w:rPr>
          <w:snapToGrid w:val="0"/>
        </w:rPr>
        <w:tab/>
        <w:t>Correction of errors by Registrar of Titles</w:t>
      </w:r>
      <w:bookmarkEnd w:id="1909"/>
      <w:bookmarkEnd w:id="1910"/>
    </w:p>
    <w:p>
      <w:pPr>
        <w:pStyle w:val="nzSubsection"/>
        <w:rPr>
          <w:snapToGrid w:val="0"/>
        </w:rPr>
      </w:pPr>
      <w:r>
        <w:rPr>
          <w:snapToGrid w:val="0"/>
        </w:rPr>
        <w:tab/>
        <w:t>(1)</w:t>
      </w:r>
      <w:r>
        <w:rPr>
          <w:snapToGrid w:val="0"/>
        </w:rPr>
        <w:tab/>
        <w:t>The Commissioner of Titles may direct the Registrar of Titles to correct errors in the Register.</w:t>
      </w:r>
    </w:p>
    <w:p>
      <w:pPr>
        <w:pStyle w:val="nzSubsection"/>
        <w:rPr>
          <w:snapToGrid w:val="0"/>
        </w:rPr>
      </w:pPr>
      <w:r>
        <w:rPr>
          <w:snapToGrid w:val="0"/>
        </w:rPr>
        <w:tab/>
        <w:t>(2)</w:t>
      </w:r>
      <w:r>
        <w:rPr>
          <w:snapToGrid w:val="0"/>
        </w:rPr>
        <w:tab/>
        <w:t>The Registrar of Titles may correct errors in a scheme document or other document lodged for registration or approval.</w:t>
      </w:r>
    </w:p>
    <w:p>
      <w:pPr>
        <w:pStyle w:val="nzSubsection"/>
        <w:rPr>
          <w:snapToGrid w:val="0"/>
        </w:rPr>
      </w:pPr>
      <w:r>
        <w:rPr>
          <w:snapToGrid w:val="0"/>
        </w:rPr>
        <w:tab/>
        <w:t>(3)</w:t>
      </w:r>
      <w:r>
        <w:rPr>
          <w:snapToGrid w:val="0"/>
        </w:rPr>
        <w:tab/>
        <w:t>A correction of an error under this section may require the deletion of material or the insertion of material.</w:t>
      </w:r>
    </w:p>
    <w:p>
      <w:pPr>
        <w:pStyle w:val="nzSubsection"/>
        <w:rPr>
          <w:snapToGrid w:val="0"/>
        </w:rPr>
      </w:pPr>
      <w:r>
        <w:rPr>
          <w:snapToGrid w:val="0"/>
        </w:rPr>
        <w:tab/>
        <w:t>(4)</w:t>
      </w:r>
      <w:r>
        <w:rPr>
          <w:snapToGrid w:val="0"/>
        </w:rPr>
        <w:tab/>
        <w:t>When correcting an error under this section, the Registrar of Titles must —</w:t>
      </w:r>
    </w:p>
    <w:p>
      <w:pPr>
        <w:pStyle w:val="nzIndenta"/>
      </w:pPr>
      <w:r>
        <w:tab/>
        <w:t>(a)</w:t>
      </w:r>
      <w:r>
        <w:tab/>
        <w:t>for a paper medium, not erase or render illegible the original writing and include the date on which the correction was made together with the Registrar’s initials; and</w:t>
      </w:r>
    </w:p>
    <w:p>
      <w:pPr>
        <w:pStyle w:val="nzIndenta"/>
      </w:pPr>
      <w:r>
        <w:tab/>
        <w:t>(b)</w:t>
      </w:r>
      <w:r>
        <w:tab/>
        <w:t>for a digital medium, keep a permanent record of any words or lines deleted and the date on which the correction was made.</w:t>
      </w:r>
    </w:p>
    <w:p>
      <w:pPr>
        <w:pStyle w:val="nz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nzHeading5"/>
        <w:rPr>
          <w:snapToGrid w:val="0"/>
        </w:rPr>
      </w:pPr>
      <w:bookmarkStart w:id="1911" w:name="_Toc530474581"/>
      <w:bookmarkStart w:id="1912" w:name="_Toc530475176"/>
      <w:r>
        <w:rPr>
          <w:snapToGrid w:val="0"/>
        </w:rPr>
        <w:t>222.</w:t>
      </w:r>
      <w:r>
        <w:rPr>
          <w:snapToGrid w:val="0"/>
        </w:rPr>
        <w:tab/>
        <w:t>Disposition statement</w:t>
      </w:r>
      <w:bookmarkEnd w:id="1911"/>
      <w:bookmarkEnd w:id="1912"/>
    </w:p>
    <w:p>
      <w:pPr>
        <w:pStyle w:val="nz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nz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nzIndenta"/>
        <w:rPr>
          <w:snapToGrid w:val="0"/>
        </w:rPr>
      </w:pPr>
      <w:r>
        <w:rPr>
          <w:snapToGrid w:val="0"/>
        </w:rPr>
        <w:tab/>
        <w:t>(b)</w:t>
      </w:r>
      <w:r>
        <w:rPr>
          <w:snapToGrid w:val="0"/>
        </w:rPr>
        <w:tab/>
        <w:t>evidence required under this Act is provided.</w:t>
      </w:r>
    </w:p>
    <w:p>
      <w:pPr>
        <w:pStyle w:val="nzHeading5"/>
      </w:pPr>
      <w:bookmarkStart w:id="1913" w:name="_Toc530474582"/>
      <w:bookmarkStart w:id="1914" w:name="_Toc530475177"/>
      <w:r>
        <w:t>223.</w:t>
      </w:r>
      <w:r>
        <w:tab/>
        <w:t>Requirements under Transfer of Land Act</w:t>
      </w:r>
      <w:bookmarkEnd w:id="1913"/>
      <w:bookmarkEnd w:id="1914"/>
    </w:p>
    <w:p>
      <w:pPr>
        <w:pStyle w:val="nzSubsection"/>
      </w:pPr>
      <w:r>
        <w:tab/>
      </w:r>
      <w:r>
        <w:tab/>
        <w:t xml:space="preserve">Requirements determined under the </w:t>
      </w:r>
      <w:r>
        <w:rPr>
          <w:i/>
        </w:rPr>
        <w:t>Transfer of Land Act 1893</w:t>
      </w:r>
      <w:r>
        <w:t xml:space="preserve"> section 182A may relate to matters arising under this Act.</w:t>
      </w:r>
    </w:p>
    <w:p>
      <w:pPr>
        <w:pStyle w:val="nzHeading5"/>
      </w:pPr>
      <w:bookmarkStart w:id="1915" w:name="_Toc530474583"/>
      <w:bookmarkStart w:id="1916" w:name="_Toc530475178"/>
      <w:r>
        <w:t>227.</w:t>
      </w:r>
      <w:r>
        <w:tab/>
        <w:t>Review of this Act</w:t>
      </w:r>
      <w:bookmarkEnd w:id="1915"/>
      <w:bookmarkEnd w:id="1916"/>
    </w:p>
    <w:p>
      <w:pPr>
        <w:pStyle w:val="nz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nzSubsection"/>
      </w:pPr>
      <w:r>
        <w:tab/>
        <w:t>(2)</w:t>
      </w:r>
      <w:r>
        <w:tab/>
        <w:t>The Minister must, as soon as practicable —</w:t>
      </w:r>
    </w:p>
    <w:p>
      <w:pPr>
        <w:pStyle w:val="nzIndenta"/>
      </w:pPr>
      <w:r>
        <w:tab/>
        <w:t>(a)</w:t>
      </w:r>
      <w:r>
        <w:tab/>
        <w:t>prepare a report about the outcome of the review; and</w:t>
      </w:r>
    </w:p>
    <w:p>
      <w:pPr>
        <w:pStyle w:val="nzIndenta"/>
      </w:pPr>
      <w:r>
        <w:tab/>
        <w:t>(b)</w:t>
      </w:r>
      <w:r>
        <w:tab/>
        <w:t>cause a copy of the report to be laid before each House of Parliament.</w:t>
      </w:r>
    </w:p>
    <w:p>
      <w:pPr>
        <w:pStyle w:val="nzHeading5"/>
      </w:pPr>
      <w:bookmarkStart w:id="1917" w:name="_Toc530474584"/>
      <w:bookmarkStart w:id="1918" w:name="_Toc530475179"/>
      <w:r>
        <w:t>228.</w:t>
      </w:r>
      <w:r>
        <w:tab/>
        <w:t>Transitionals and savings: Schedules 3, 4 and 5</w:t>
      </w:r>
      <w:bookmarkEnd w:id="1917"/>
      <w:bookmarkEnd w:id="1918"/>
    </w:p>
    <w:p>
      <w:pPr>
        <w:pStyle w:val="nz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nzSubsection"/>
      </w:pPr>
      <w:r>
        <w:tab/>
        <w:t>(2)</w:t>
      </w:r>
      <w:r>
        <w:tab/>
        <w:t xml:space="preserve">The </w:t>
      </w:r>
      <w:r>
        <w:rPr>
          <w:snapToGrid w:val="0"/>
        </w:rPr>
        <w:t>purpose</w:t>
      </w:r>
      <w:r>
        <w:t xml:space="preserve"> of — </w:t>
      </w:r>
    </w:p>
    <w:p>
      <w:pPr>
        <w:pStyle w:val="nzIndenta"/>
      </w:pPr>
      <w:r>
        <w:tab/>
        <w:t>(a)</w:t>
      </w:r>
      <w:r>
        <w:tab/>
        <w:t xml:space="preserve">Schedule 3 is to effect the transition from the </w:t>
      </w:r>
      <w:r>
        <w:rPr>
          <w:i/>
        </w:rPr>
        <w:t>Strata Titles Act 1966</w:t>
      </w:r>
      <w:r>
        <w:t xml:space="preserve"> to this Act as enacted in 1985; and</w:t>
      </w:r>
    </w:p>
    <w:p>
      <w:pPr>
        <w:pStyle w:val="nzIndenta"/>
      </w:pPr>
      <w:r>
        <w:tab/>
        <w:t>(b)</w:t>
      </w:r>
      <w:r>
        <w:tab/>
        <w:t>Schedule 4 is to effect the transition to the</w:t>
      </w:r>
      <w:r>
        <w:rPr>
          <w:i/>
        </w:rPr>
        <w:t xml:space="preserve"> Strata Titles Amendment Act 1995</w:t>
      </w:r>
      <w:r>
        <w:t>.</w:t>
      </w:r>
    </w:p>
    <w:p>
      <w:pPr>
        <w:pStyle w:val="nzSubsection"/>
      </w:pPr>
      <w:r>
        <w:tab/>
        <w:t>(3)</w:t>
      </w:r>
      <w:r>
        <w:tab/>
        <w:t xml:space="preserve">Except where the contrary intention appears, Schedules 3 and 4 are to be construed in accordance with the purpose set out in subsection (2) and in particular — </w:t>
      </w:r>
    </w:p>
    <w:p>
      <w:pPr>
        <w:pStyle w:val="nz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nz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BlankClose"/>
      </w:pPr>
    </w:p>
    <w:p>
      <w:pPr>
        <w:pStyle w:val="nzHeading3"/>
      </w:pPr>
      <w:bookmarkStart w:id="1919" w:name="_Toc517437786"/>
      <w:bookmarkStart w:id="1920" w:name="_Toc517438328"/>
      <w:bookmarkStart w:id="1921" w:name="_Toc517440665"/>
      <w:bookmarkStart w:id="1922" w:name="_Toc517447702"/>
      <w:bookmarkStart w:id="1923" w:name="_Toc517450180"/>
      <w:bookmarkStart w:id="1924" w:name="_Toc517450722"/>
      <w:bookmarkStart w:id="1925" w:name="_Toc517857178"/>
      <w:bookmarkStart w:id="1926" w:name="_Toc518293305"/>
      <w:bookmarkStart w:id="1927" w:name="_Toc522744533"/>
      <w:bookmarkStart w:id="1928" w:name="_Toc522747656"/>
      <w:bookmarkStart w:id="1929" w:name="_Toc529183494"/>
      <w:bookmarkStart w:id="1930" w:name="_Toc529188257"/>
      <w:bookmarkStart w:id="1931" w:name="_Toc529434770"/>
      <w:bookmarkStart w:id="1932" w:name="_Toc529524661"/>
      <w:bookmarkStart w:id="1933" w:name="_Toc530474585"/>
      <w:bookmarkStart w:id="1934" w:name="_Toc530475180"/>
      <w:r>
        <w:rPr>
          <w:rStyle w:val="CharDivNo"/>
        </w:rPr>
        <w:t>Division 4</w:t>
      </w:r>
      <w:r>
        <w:t> — </w:t>
      </w:r>
      <w:r>
        <w:rPr>
          <w:rStyle w:val="CharDivText"/>
        </w:rPr>
        <w:t>Sections relocated to Parts 2 to 14</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nzHeading5"/>
      </w:pPr>
      <w:bookmarkStart w:id="1935" w:name="_Toc530474586"/>
      <w:bookmarkStart w:id="1936" w:name="_Toc530475181"/>
      <w:r>
        <w:rPr>
          <w:rStyle w:val="CharSectno"/>
        </w:rPr>
        <w:t>84</w:t>
      </w:r>
      <w:r>
        <w:t>.</w:t>
      </w:r>
      <w:r>
        <w:tab/>
      </w:r>
      <w:r>
        <w:rPr>
          <w:rStyle w:val="CharDivText"/>
        </w:rPr>
        <w:t>Sections relocated to Parts 2 to 14</w:t>
      </w:r>
      <w:bookmarkEnd w:id="1935"/>
      <w:bookmarkEnd w:id="1936"/>
    </w:p>
    <w:p>
      <w:pPr>
        <w:pStyle w:val="nzSubsection"/>
      </w:pPr>
      <w:r>
        <w:tab/>
      </w:r>
      <w:r>
        <w:tab/>
        <w:t>The sections listed in column 1 of the Table below are, after their amendment as set out in Part 2 Division 2 of this Act, renumbered (if relevant) and relocated (in the order set out in the Table) to the Parts, Divisions and Subdivisions inserted by section 83 of this Act as set out in columns 2 and 4 of the Table.</w:t>
      </w:r>
    </w:p>
    <w:p>
      <w:pPr>
        <w:pStyle w:val="THeading"/>
      </w:pPr>
      <w:r>
        <w:t>Table</w:t>
      </w:r>
    </w:p>
    <w:tbl>
      <w:tblPr>
        <w:tblStyle w:val="TableGrid"/>
        <w:tblW w:w="0" w:type="auto"/>
        <w:tblInd w:w="392" w:type="dxa"/>
        <w:tblLayout w:type="fixed"/>
        <w:tblLook w:val="04A0" w:firstRow="1" w:lastRow="0" w:firstColumn="1" w:lastColumn="0" w:noHBand="0" w:noVBand="1"/>
      </w:tblPr>
      <w:tblGrid>
        <w:gridCol w:w="1134"/>
        <w:gridCol w:w="1559"/>
        <w:gridCol w:w="1985"/>
        <w:gridCol w:w="1984"/>
      </w:tblGrid>
      <w:tr>
        <w:trPr>
          <w:cantSplit/>
          <w:tblHeader/>
        </w:trPr>
        <w:tc>
          <w:tcPr>
            <w:tcW w:w="1134" w:type="dxa"/>
          </w:tcPr>
          <w:p>
            <w:pPr>
              <w:pStyle w:val="TableAm"/>
              <w:jc w:val="center"/>
              <w:rPr>
                <w:b/>
              </w:rPr>
            </w:pPr>
            <w:r>
              <w:rPr>
                <w:b/>
              </w:rPr>
              <w:t>Section number</w:t>
            </w:r>
          </w:p>
        </w:tc>
        <w:tc>
          <w:tcPr>
            <w:tcW w:w="1559" w:type="dxa"/>
          </w:tcPr>
          <w:p>
            <w:pPr>
              <w:pStyle w:val="TableAm"/>
              <w:jc w:val="center"/>
              <w:rPr>
                <w:b/>
              </w:rPr>
            </w:pPr>
            <w:r>
              <w:rPr>
                <w:b/>
              </w:rPr>
              <w:t>Renumbered section number</w:t>
            </w:r>
          </w:p>
        </w:tc>
        <w:tc>
          <w:tcPr>
            <w:tcW w:w="1985" w:type="dxa"/>
          </w:tcPr>
          <w:p>
            <w:pPr>
              <w:pStyle w:val="TableAm"/>
              <w:jc w:val="center"/>
              <w:rPr>
                <w:b/>
              </w:rPr>
            </w:pPr>
            <w:r>
              <w:rPr>
                <w:b/>
              </w:rPr>
              <w:t>Section heading</w:t>
            </w:r>
          </w:p>
        </w:tc>
        <w:tc>
          <w:tcPr>
            <w:tcW w:w="1984" w:type="dxa"/>
          </w:tcPr>
          <w:p>
            <w:pPr>
              <w:pStyle w:val="TableAm"/>
              <w:jc w:val="center"/>
              <w:rPr>
                <w:b/>
              </w:rPr>
            </w:pPr>
            <w:r>
              <w:rPr>
                <w:b/>
              </w:rPr>
              <w:t>Relocation of section</w:t>
            </w:r>
          </w:p>
        </w:tc>
      </w:tr>
      <w:tr>
        <w:trPr>
          <w:cantSplit/>
        </w:trPr>
        <w:tc>
          <w:tcPr>
            <w:tcW w:w="1134" w:type="dxa"/>
          </w:tcPr>
          <w:p>
            <w:pPr>
              <w:pStyle w:val="TableAm"/>
            </w:pPr>
            <w:r>
              <w:t>s. 7</w:t>
            </w:r>
          </w:p>
        </w:tc>
        <w:tc>
          <w:tcPr>
            <w:tcW w:w="1559" w:type="dxa"/>
          </w:tcPr>
          <w:p>
            <w:pPr>
              <w:pStyle w:val="TableAm"/>
            </w:pPr>
            <w:r>
              <w:t>s. 87</w:t>
            </w:r>
          </w:p>
        </w:tc>
        <w:tc>
          <w:tcPr>
            <w:tcW w:w="1985" w:type="dxa"/>
          </w:tcPr>
          <w:p>
            <w:pPr>
              <w:pStyle w:val="TableAm"/>
              <w:rPr>
                <w:b/>
                <w:sz w:val="20"/>
              </w:rPr>
            </w:pPr>
            <w:r>
              <w:rPr>
                <w:b/>
                <w:sz w:val="20"/>
              </w:rPr>
              <w:t>Structural alteration of lot in strata scheme</w:t>
            </w:r>
          </w:p>
        </w:tc>
        <w:tc>
          <w:tcPr>
            <w:tcW w:w="1984" w:type="dxa"/>
          </w:tcPr>
          <w:p>
            <w:pPr>
              <w:pStyle w:val="TableAm"/>
            </w:pPr>
            <w:r>
              <w:t>Part 7 Division 2</w:t>
            </w:r>
          </w:p>
        </w:tc>
      </w:tr>
      <w:tr>
        <w:trPr>
          <w:cantSplit/>
        </w:trPr>
        <w:tc>
          <w:tcPr>
            <w:tcW w:w="1134" w:type="dxa"/>
          </w:tcPr>
          <w:p>
            <w:pPr>
              <w:pStyle w:val="TableAm"/>
            </w:pPr>
            <w:r>
              <w:t>s. 7B</w:t>
            </w:r>
          </w:p>
        </w:tc>
        <w:tc>
          <w:tcPr>
            <w:tcW w:w="1559" w:type="dxa"/>
          </w:tcPr>
          <w:p>
            <w:pPr>
              <w:pStyle w:val="TableAm"/>
            </w:pPr>
            <w:r>
              <w:t>s. 89</w:t>
            </w:r>
          </w:p>
        </w:tc>
        <w:tc>
          <w:tcPr>
            <w:tcW w:w="1985" w:type="dxa"/>
          </w:tcPr>
          <w:p>
            <w:pPr>
              <w:pStyle w:val="TableAm"/>
              <w:rPr>
                <w:b/>
              </w:rPr>
            </w:pPr>
            <w:r>
              <w:rPr>
                <w:b/>
                <w:sz w:val="20"/>
              </w:rPr>
              <w:t>Approvals and objections to structural alterations</w:t>
            </w:r>
          </w:p>
        </w:tc>
        <w:tc>
          <w:tcPr>
            <w:tcW w:w="1984" w:type="dxa"/>
          </w:tcPr>
          <w:p>
            <w:pPr>
              <w:pStyle w:val="TableAm"/>
            </w:pPr>
            <w:r>
              <w:t>Part 7 Division 2</w:t>
            </w:r>
          </w:p>
        </w:tc>
      </w:tr>
      <w:tr>
        <w:trPr>
          <w:cantSplit/>
        </w:trPr>
        <w:tc>
          <w:tcPr>
            <w:tcW w:w="1134" w:type="dxa"/>
          </w:tcPr>
          <w:p>
            <w:pPr>
              <w:pStyle w:val="TableAm"/>
            </w:pPr>
            <w:r>
              <w:t>s. 24</w:t>
            </w:r>
          </w:p>
        </w:tc>
        <w:tc>
          <w:tcPr>
            <w:tcW w:w="1559" w:type="dxa"/>
          </w:tcPr>
          <w:p>
            <w:pPr>
              <w:pStyle w:val="TableAm"/>
            </w:pPr>
          </w:p>
        </w:tc>
        <w:tc>
          <w:tcPr>
            <w:tcW w:w="1985" w:type="dxa"/>
          </w:tcPr>
          <w:p>
            <w:pPr>
              <w:pStyle w:val="TableAm"/>
              <w:rPr>
                <w:b/>
                <w:sz w:val="20"/>
              </w:rPr>
            </w:pPr>
            <w:r>
              <w:rPr>
                <w:b/>
                <w:sz w:val="20"/>
              </w:rPr>
              <w:t>Preliminary determinations by local government</w:t>
            </w:r>
          </w:p>
        </w:tc>
        <w:tc>
          <w:tcPr>
            <w:tcW w:w="1984" w:type="dxa"/>
          </w:tcPr>
          <w:p>
            <w:pPr>
              <w:pStyle w:val="TableAm"/>
            </w:pPr>
            <w:r>
              <w:t>Part 3 Division 2</w:t>
            </w:r>
          </w:p>
        </w:tc>
      </w:tr>
      <w:tr>
        <w:trPr>
          <w:cantSplit/>
        </w:trPr>
        <w:tc>
          <w:tcPr>
            <w:tcW w:w="1134" w:type="dxa"/>
          </w:tcPr>
          <w:p>
            <w:pPr>
              <w:pStyle w:val="TableAm"/>
            </w:pPr>
            <w:r>
              <w:t>s. 26</w:t>
            </w:r>
          </w:p>
        </w:tc>
        <w:tc>
          <w:tcPr>
            <w:tcW w:w="1559" w:type="dxa"/>
          </w:tcPr>
          <w:p>
            <w:pPr>
              <w:pStyle w:val="TableAm"/>
            </w:pPr>
            <w:r>
              <w:t>s. 28</w:t>
            </w:r>
          </w:p>
        </w:tc>
        <w:tc>
          <w:tcPr>
            <w:tcW w:w="1985" w:type="dxa"/>
          </w:tcPr>
          <w:p>
            <w:pPr>
              <w:pStyle w:val="TableAm"/>
              <w:rPr>
                <w:b/>
              </w:rPr>
            </w:pPr>
            <w:r>
              <w:rPr>
                <w:b/>
                <w:sz w:val="20"/>
              </w:rPr>
              <w:t>Review of local government decision</w:t>
            </w:r>
          </w:p>
        </w:tc>
        <w:tc>
          <w:tcPr>
            <w:tcW w:w="1984" w:type="dxa"/>
          </w:tcPr>
          <w:p>
            <w:pPr>
              <w:pStyle w:val="TableAm"/>
            </w:pPr>
            <w:r>
              <w:t>Part 3 Division 4</w:t>
            </w:r>
          </w:p>
        </w:tc>
      </w:tr>
      <w:tr>
        <w:trPr>
          <w:cantSplit/>
        </w:trPr>
        <w:tc>
          <w:tcPr>
            <w:tcW w:w="1134" w:type="dxa"/>
          </w:tcPr>
          <w:p>
            <w:pPr>
              <w:pStyle w:val="TableAm"/>
            </w:pPr>
            <w:r>
              <w:t>s. 28</w:t>
            </w:r>
          </w:p>
        </w:tc>
        <w:tc>
          <w:tcPr>
            <w:tcW w:w="1559" w:type="dxa"/>
          </w:tcPr>
          <w:p>
            <w:pPr>
              <w:pStyle w:val="TableAm"/>
            </w:pPr>
            <w:r>
              <w:t>s. 166</w:t>
            </w:r>
          </w:p>
        </w:tc>
        <w:tc>
          <w:tcPr>
            <w:tcW w:w="1985" w:type="dxa"/>
          </w:tcPr>
          <w:p>
            <w:pPr>
              <w:pStyle w:val="TableAm"/>
              <w:rPr>
                <w:b/>
              </w:rPr>
            </w:pPr>
            <w:r>
              <w:rPr>
                <w:b/>
                <w:sz w:val="20"/>
              </w:rPr>
              <w:t>Variation of strata scheme on damage or destruction of building</w:t>
            </w:r>
          </w:p>
        </w:tc>
        <w:tc>
          <w:tcPr>
            <w:tcW w:w="1984" w:type="dxa"/>
          </w:tcPr>
          <w:p>
            <w:pPr>
              <w:pStyle w:val="TableAm"/>
            </w:pPr>
            <w:r>
              <w:t>Part 11 Division 1</w:t>
            </w:r>
          </w:p>
        </w:tc>
      </w:tr>
      <w:tr>
        <w:trPr>
          <w:cantSplit/>
        </w:trPr>
        <w:tc>
          <w:tcPr>
            <w:tcW w:w="1134" w:type="dxa"/>
          </w:tcPr>
          <w:p>
            <w:pPr>
              <w:pStyle w:val="TableAm"/>
            </w:pPr>
            <w:r>
              <w:t>s. 29</w:t>
            </w:r>
          </w:p>
        </w:tc>
        <w:tc>
          <w:tcPr>
            <w:tcW w:w="1559" w:type="dxa"/>
          </w:tcPr>
          <w:p>
            <w:pPr>
              <w:pStyle w:val="TableAm"/>
            </w:pPr>
            <w:r>
              <w:t>s. 167</w:t>
            </w:r>
          </w:p>
        </w:tc>
        <w:tc>
          <w:tcPr>
            <w:tcW w:w="1985" w:type="dxa"/>
          </w:tcPr>
          <w:p>
            <w:pPr>
              <w:pStyle w:val="TableAm"/>
              <w:rPr>
                <w:b/>
              </w:rPr>
            </w:pPr>
            <w:r>
              <w:rPr>
                <w:b/>
                <w:sz w:val="20"/>
              </w:rPr>
              <w:t>Variation of strata scheme on taking</w:t>
            </w:r>
          </w:p>
        </w:tc>
        <w:tc>
          <w:tcPr>
            <w:tcW w:w="1984" w:type="dxa"/>
          </w:tcPr>
          <w:p>
            <w:pPr>
              <w:pStyle w:val="TableAm"/>
            </w:pPr>
            <w:r>
              <w:t>Part 11 Division 2</w:t>
            </w:r>
          </w:p>
        </w:tc>
      </w:tr>
      <w:tr>
        <w:trPr>
          <w:cantSplit/>
        </w:trPr>
        <w:tc>
          <w:tcPr>
            <w:tcW w:w="1134" w:type="dxa"/>
          </w:tcPr>
          <w:p>
            <w:pPr>
              <w:pStyle w:val="TableAm"/>
            </w:pPr>
            <w:r>
              <w:t>s. 29A</w:t>
            </w:r>
          </w:p>
        </w:tc>
        <w:tc>
          <w:tcPr>
            <w:tcW w:w="1559" w:type="dxa"/>
          </w:tcPr>
          <w:p>
            <w:pPr>
              <w:pStyle w:val="TableAm"/>
            </w:pPr>
            <w:r>
              <w:t>s. 168</w:t>
            </w:r>
          </w:p>
        </w:tc>
        <w:tc>
          <w:tcPr>
            <w:tcW w:w="1985" w:type="dxa"/>
          </w:tcPr>
          <w:p>
            <w:pPr>
              <w:pStyle w:val="TableAm"/>
              <w:rPr>
                <w:b/>
              </w:rPr>
            </w:pPr>
            <w:r>
              <w:rPr>
                <w:b/>
                <w:sz w:val="20"/>
              </w:rPr>
              <w:t>Variation of survey</w:t>
            </w:r>
            <w:r>
              <w:rPr>
                <w:b/>
                <w:sz w:val="20"/>
              </w:rPr>
              <w:noBreakHyphen/>
              <w:t xml:space="preserve"> strata scheme on taking</w:t>
            </w:r>
          </w:p>
        </w:tc>
        <w:tc>
          <w:tcPr>
            <w:tcW w:w="1984" w:type="dxa"/>
          </w:tcPr>
          <w:p>
            <w:pPr>
              <w:pStyle w:val="TableAm"/>
            </w:pPr>
            <w:r>
              <w:t>Part 11 Division 2</w:t>
            </w:r>
          </w:p>
        </w:tc>
      </w:tr>
      <w:tr>
        <w:trPr>
          <w:cantSplit/>
        </w:trPr>
        <w:tc>
          <w:tcPr>
            <w:tcW w:w="1134" w:type="dxa"/>
          </w:tcPr>
          <w:p>
            <w:pPr>
              <w:pStyle w:val="TableAm"/>
            </w:pPr>
            <w:r>
              <w:t>s. 29B</w:t>
            </w:r>
          </w:p>
        </w:tc>
        <w:tc>
          <w:tcPr>
            <w:tcW w:w="1559" w:type="dxa"/>
          </w:tcPr>
          <w:p>
            <w:pPr>
              <w:pStyle w:val="TableAm"/>
            </w:pPr>
            <w:r>
              <w:t>s. 169</w:t>
            </w:r>
          </w:p>
        </w:tc>
        <w:tc>
          <w:tcPr>
            <w:tcW w:w="1985" w:type="dxa"/>
          </w:tcPr>
          <w:p>
            <w:pPr>
              <w:pStyle w:val="TableAm"/>
              <w:rPr>
                <w:b/>
              </w:rPr>
            </w:pPr>
            <w:r>
              <w:rPr>
                <w:b/>
                <w:sz w:val="20"/>
              </w:rPr>
              <w:t>Acquiring authority to lodge redefining plan after partial taking</w:t>
            </w:r>
          </w:p>
        </w:tc>
        <w:tc>
          <w:tcPr>
            <w:tcW w:w="1984" w:type="dxa"/>
          </w:tcPr>
          <w:p>
            <w:pPr>
              <w:pStyle w:val="TableAm"/>
            </w:pPr>
            <w:r>
              <w:t>Part 11 Division 2</w:t>
            </w:r>
          </w:p>
        </w:tc>
      </w:tr>
      <w:tr>
        <w:trPr>
          <w:cantSplit/>
        </w:trPr>
        <w:tc>
          <w:tcPr>
            <w:tcW w:w="1134" w:type="dxa"/>
          </w:tcPr>
          <w:p>
            <w:pPr>
              <w:pStyle w:val="TableAm"/>
            </w:pPr>
            <w:r>
              <w:t>s. 29C</w:t>
            </w:r>
          </w:p>
        </w:tc>
        <w:tc>
          <w:tcPr>
            <w:tcW w:w="1559" w:type="dxa"/>
          </w:tcPr>
          <w:p>
            <w:pPr>
              <w:pStyle w:val="TableAm"/>
            </w:pPr>
            <w:r>
              <w:t>s. 196</w:t>
            </w:r>
          </w:p>
        </w:tc>
        <w:tc>
          <w:tcPr>
            <w:tcW w:w="1985" w:type="dxa"/>
          </w:tcPr>
          <w:p>
            <w:pPr>
              <w:pStyle w:val="TableAm"/>
              <w:rPr>
                <w:b/>
                <w:sz w:val="20"/>
              </w:rPr>
            </w:pPr>
            <w:r>
              <w:rPr>
                <w:b/>
                <w:sz w:val="20"/>
              </w:rPr>
              <w:t>Termination on compulsory acquisition</w:t>
            </w:r>
          </w:p>
        </w:tc>
        <w:tc>
          <w:tcPr>
            <w:tcW w:w="1984" w:type="dxa"/>
          </w:tcPr>
          <w:p>
            <w:pPr>
              <w:pStyle w:val="TableAm"/>
            </w:pPr>
            <w:r>
              <w:t>Part 12 Division 7</w:t>
            </w:r>
          </w:p>
        </w:tc>
      </w:tr>
      <w:tr>
        <w:trPr>
          <w:cantSplit/>
        </w:trPr>
        <w:tc>
          <w:tcPr>
            <w:tcW w:w="1134" w:type="dxa"/>
          </w:tcPr>
          <w:p>
            <w:pPr>
              <w:pStyle w:val="TableAm"/>
            </w:pPr>
            <w:r>
              <w:t>s. 33</w:t>
            </w:r>
          </w:p>
        </w:tc>
        <w:tc>
          <w:tcPr>
            <w:tcW w:w="1559" w:type="dxa"/>
          </w:tcPr>
          <w:p>
            <w:pPr>
              <w:pStyle w:val="TableAm"/>
            </w:pPr>
            <w:r>
              <w:t>s. 103</w:t>
            </w:r>
          </w:p>
        </w:tc>
        <w:tc>
          <w:tcPr>
            <w:tcW w:w="1985" w:type="dxa"/>
          </w:tcPr>
          <w:p>
            <w:pPr>
              <w:pStyle w:val="TableAm"/>
              <w:rPr>
                <w:b/>
              </w:rPr>
            </w:pPr>
            <w:r>
              <w:rPr>
                <w:b/>
                <w:sz w:val="20"/>
              </w:rPr>
              <w:t>Strata company is representative of owners in proceedings</w:t>
            </w:r>
          </w:p>
        </w:tc>
        <w:tc>
          <w:tcPr>
            <w:tcW w:w="1984" w:type="dxa"/>
          </w:tcPr>
          <w:p>
            <w:pPr>
              <w:pStyle w:val="TableAm"/>
            </w:pPr>
            <w:r>
              <w:t>Part 8 Division 1 Subdivision 4</w:t>
            </w:r>
          </w:p>
        </w:tc>
      </w:tr>
      <w:tr>
        <w:trPr>
          <w:cantSplit/>
        </w:trPr>
        <w:tc>
          <w:tcPr>
            <w:tcW w:w="1134" w:type="dxa"/>
          </w:tcPr>
          <w:p>
            <w:pPr>
              <w:pStyle w:val="TableAm"/>
            </w:pPr>
            <w:r>
              <w:t>s. 34</w:t>
            </w:r>
          </w:p>
        </w:tc>
        <w:tc>
          <w:tcPr>
            <w:tcW w:w="1559" w:type="dxa"/>
          </w:tcPr>
          <w:p>
            <w:pPr>
              <w:pStyle w:val="TableAm"/>
            </w:pPr>
            <w:r>
              <w:t>s. 139</w:t>
            </w:r>
          </w:p>
        </w:tc>
        <w:tc>
          <w:tcPr>
            <w:tcW w:w="1985" w:type="dxa"/>
          </w:tcPr>
          <w:p>
            <w:pPr>
              <w:pStyle w:val="TableAm"/>
              <w:rPr>
                <w:b/>
              </w:rPr>
            </w:pPr>
            <w:r>
              <w:rPr>
                <w:b/>
                <w:sz w:val="20"/>
              </w:rPr>
              <w:t>Contract formalities</w:t>
            </w:r>
          </w:p>
        </w:tc>
        <w:tc>
          <w:tcPr>
            <w:tcW w:w="1984" w:type="dxa"/>
          </w:tcPr>
          <w:p>
            <w:pPr>
              <w:pStyle w:val="TableAm"/>
            </w:pPr>
            <w:r>
              <w:t>Part 8 Division 5</w:t>
            </w:r>
          </w:p>
        </w:tc>
      </w:tr>
      <w:tr>
        <w:trPr>
          <w:cantSplit/>
        </w:trPr>
        <w:tc>
          <w:tcPr>
            <w:tcW w:w="1134" w:type="dxa"/>
          </w:tcPr>
          <w:p>
            <w:pPr>
              <w:pStyle w:val="TableAm"/>
            </w:pPr>
            <w:r>
              <w:t>s. 35</w:t>
            </w:r>
          </w:p>
        </w:tc>
        <w:tc>
          <w:tcPr>
            <w:tcW w:w="1559" w:type="dxa"/>
          </w:tcPr>
          <w:p>
            <w:pPr>
              <w:pStyle w:val="TableAm"/>
            </w:pPr>
            <w:r>
              <w:t>s. 91</w:t>
            </w:r>
          </w:p>
        </w:tc>
        <w:tc>
          <w:tcPr>
            <w:tcW w:w="1985" w:type="dxa"/>
          </w:tcPr>
          <w:p>
            <w:pPr>
              <w:pStyle w:val="TableAm"/>
              <w:rPr>
                <w:b/>
              </w:rPr>
            </w:pPr>
            <w:r>
              <w:rPr>
                <w:b/>
                <w:sz w:val="20"/>
              </w:rPr>
              <w:t>General duty</w:t>
            </w:r>
          </w:p>
        </w:tc>
        <w:tc>
          <w:tcPr>
            <w:tcW w:w="1984" w:type="dxa"/>
          </w:tcPr>
          <w:p>
            <w:pPr>
              <w:pStyle w:val="TableAm"/>
            </w:pPr>
            <w:r>
              <w:t>Part 8 Division 1 Subdivision 1</w:t>
            </w:r>
          </w:p>
        </w:tc>
      </w:tr>
      <w:tr>
        <w:trPr>
          <w:cantSplit/>
        </w:trPr>
        <w:tc>
          <w:tcPr>
            <w:tcW w:w="1134" w:type="dxa"/>
          </w:tcPr>
          <w:p>
            <w:pPr>
              <w:pStyle w:val="TableAm"/>
            </w:pPr>
            <w:r>
              <w:t>s. 35A</w:t>
            </w:r>
          </w:p>
        </w:tc>
        <w:tc>
          <w:tcPr>
            <w:tcW w:w="1559" w:type="dxa"/>
          </w:tcPr>
          <w:p>
            <w:pPr>
              <w:pStyle w:val="TableAm"/>
            </w:pPr>
            <w:r>
              <w:t>s. 105</w:t>
            </w:r>
          </w:p>
        </w:tc>
        <w:tc>
          <w:tcPr>
            <w:tcW w:w="1985" w:type="dxa"/>
          </w:tcPr>
          <w:p>
            <w:pPr>
              <w:pStyle w:val="TableAm"/>
              <w:rPr>
                <w:b/>
              </w:rPr>
            </w:pPr>
            <w:r>
              <w:rPr>
                <w:b/>
                <w:sz w:val="20"/>
              </w:rPr>
              <w:t>Roll to be kept by strata company</w:t>
            </w:r>
          </w:p>
        </w:tc>
        <w:tc>
          <w:tcPr>
            <w:tcW w:w="1984" w:type="dxa"/>
          </w:tcPr>
          <w:p>
            <w:pPr>
              <w:pStyle w:val="TableAm"/>
            </w:pPr>
            <w:r>
              <w:t>Part 8 Division 1 Subdivision 5</w:t>
            </w:r>
          </w:p>
        </w:tc>
      </w:tr>
      <w:tr>
        <w:trPr>
          <w:cantSplit/>
        </w:trPr>
        <w:tc>
          <w:tcPr>
            <w:tcW w:w="1134" w:type="dxa"/>
          </w:tcPr>
          <w:p>
            <w:pPr>
              <w:pStyle w:val="TableAm"/>
            </w:pPr>
            <w:r>
              <w:t>s. 36</w:t>
            </w:r>
          </w:p>
        </w:tc>
        <w:tc>
          <w:tcPr>
            <w:tcW w:w="1559" w:type="dxa"/>
          </w:tcPr>
          <w:p>
            <w:pPr>
              <w:pStyle w:val="TableAm"/>
            </w:pPr>
            <w:r>
              <w:t>s. 100</w:t>
            </w:r>
          </w:p>
        </w:tc>
        <w:tc>
          <w:tcPr>
            <w:tcW w:w="1985" w:type="dxa"/>
          </w:tcPr>
          <w:p>
            <w:pPr>
              <w:pStyle w:val="TableAm"/>
              <w:rPr>
                <w:b/>
                <w:sz w:val="20"/>
              </w:rPr>
            </w:pPr>
            <w:r>
              <w:rPr>
                <w:b/>
                <w:sz w:val="20"/>
              </w:rPr>
              <w:t>Administrative and reserve funds and contributions</w:t>
            </w:r>
          </w:p>
        </w:tc>
        <w:tc>
          <w:tcPr>
            <w:tcW w:w="1984" w:type="dxa"/>
          </w:tcPr>
          <w:p>
            <w:pPr>
              <w:pStyle w:val="TableAm"/>
            </w:pPr>
            <w:r>
              <w:t>Part 8 Division 1 Subdivision 3</w:t>
            </w:r>
          </w:p>
        </w:tc>
      </w:tr>
      <w:tr>
        <w:trPr>
          <w:cantSplit/>
        </w:trPr>
        <w:tc>
          <w:tcPr>
            <w:tcW w:w="1134" w:type="dxa"/>
          </w:tcPr>
          <w:p>
            <w:pPr>
              <w:pStyle w:val="TableAm"/>
            </w:pPr>
            <w:r>
              <w:t>s. 37</w:t>
            </w:r>
          </w:p>
        </w:tc>
        <w:tc>
          <w:tcPr>
            <w:tcW w:w="1559" w:type="dxa"/>
          </w:tcPr>
          <w:p>
            <w:pPr>
              <w:pStyle w:val="TableAm"/>
            </w:pPr>
            <w:r>
              <w:t>s. 116</w:t>
            </w:r>
          </w:p>
        </w:tc>
        <w:tc>
          <w:tcPr>
            <w:tcW w:w="1985" w:type="dxa"/>
          </w:tcPr>
          <w:p>
            <w:pPr>
              <w:pStyle w:val="TableAm"/>
              <w:rPr>
                <w:b/>
              </w:rPr>
            </w:pPr>
            <w:r>
              <w:rPr>
                <w:b/>
                <w:sz w:val="20"/>
              </w:rPr>
              <w:t>Powers of strata company generally</w:t>
            </w:r>
          </w:p>
        </w:tc>
        <w:tc>
          <w:tcPr>
            <w:tcW w:w="1984" w:type="dxa"/>
          </w:tcPr>
          <w:p>
            <w:pPr>
              <w:pStyle w:val="TableAm"/>
            </w:pPr>
            <w:r>
              <w:t>Part 8 Division 1 Subdivision 7</w:t>
            </w:r>
          </w:p>
        </w:tc>
      </w:tr>
      <w:tr>
        <w:trPr>
          <w:cantSplit/>
        </w:trPr>
        <w:tc>
          <w:tcPr>
            <w:tcW w:w="1134" w:type="dxa"/>
          </w:tcPr>
          <w:p>
            <w:pPr>
              <w:pStyle w:val="TableAm"/>
            </w:pPr>
            <w:r>
              <w:t>s. 38</w:t>
            </w:r>
          </w:p>
        </w:tc>
        <w:tc>
          <w:tcPr>
            <w:tcW w:w="1559" w:type="dxa"/>
          </w:tcPr>
          <w:p>
            <w:pPr>
              <w:pStyle w:val="TableAm"/>
            </w:pPr>
            <w:r>
              <w:t>s. 94</w:t>
            </w:r>
          </w:p>
        </w:tc>
        <w:tc>
          <w:tcPr>
            <w:tcW w:w="1985" w:type="dxa"/>
          </w:tcPr>
          <w:p>
            <w:pPr>
              <w:pStyle w:val="TableAm"/>
              <w:rPr>
                <w:b/>
              </w:rPr>
            </w:pPr>
            <w:r>
              <w:rPr>
                <w:b/>
                <w:sz w:val="20"/>
              </w:rPr>
              <w:t>Power of strata company to carry out work</w:t>
            </w:r>
          </w:p>
        </w:tc>
        <w:tc>
          <w:tcPr>
            <w:tcW w:w="1984" w:type="dxa"/>
          </w:tcPr>
          <w:p>
            <w:pPr>
              <w:pStyle w:val="TableAm"/>
            </w:pPr>
            <w:r>
              <w:t>Part 8 Division 1 Subdivision 1</w:t>
            </w:r>
          </w:p>
        </w:tc>
      </w:tr>
      <w:tr>
        <w:trPr>
          <w:cantSplit/>
        </w:trPr>
        <w:tc>
          <w:tcPr>
            <w:tcW w:w="1134" w:type="dxa"/>
          </w:tcPr>
          <w:p>
            <w:pPr>
              <w:pStyle w:val="TableAm"/>
            </w:pPr>
            <w:r>
              <w:t>s. 39A</w:t>
            </w:r>
          </w:p>
        </w:tc>
        <w:tc>
          <w:tcPr>
            <w:tcW w:w="1559" w:type="dxa"/>
          </w:tcPr>
          <w:p>
            <w:pPr>
              <w:pStyle w:val="TableAm"/>
            </w:pPr>
            <w:r>
              <w:t>s. 115</w:t>
            </w:r>
          </w:p>
        </w:tc>
        <w:tc>
          <w:tcPr>
            <w:tcW w:w="1985" w:type="dxa"/>
          </w:tcPr>
          <w:p>
            <w:pPr>
              <w:pStyle w:val="TableAm"/>
              <w:rPr>
                <w:b/>
              </w:rPr>
            </w:pPr>
            <w:r>
              <w:rPr>
                <w:b/>
                <w:sz w:val="20"/>
              </w:rPr>
              <w:t>Power to terminate certain contracts for amenities or services</w:t>
            </w:r>
          </w:p>
        </w:tc>
        <w:tc>
          <w:tcPr>
            <w:tcW w:w="1984" w:type="dxa"/>
          </w:tcPr>
          <w:p>
            <w:pPr>
              <w:pStyle w:val="TableAm"/>
            </w:pPr>
            <w:r>
              <w:t>Part 8 Division 1 Subdivision 7</w:t>
            </w:r>
          </w:p>
        </w:tc>
      </w:tr>
      <w:tr>
        <w:trPr>
          <w:cantSplit/>
        </w:trPr>
        <w:tc>
          <w:tcPr>
            <w:tcW w:w="1134" w:type="dxa"/>
          </w:tcPr>
          <w:p>
            <w:pPr>
              <w:pStyle w:val="TableAm"/>
            </w:pPr>
            <w:r>
              <w:t>s. 44</w:t>
            </w:r>
          </w:p>
        </w:tc>
        <w:tc>
          <w:tcPr>
            <w:tcW w:w="1559" w:type="dxa"/>
          </w:tcPr>
          <w:p>
            <w:pPr>
              <w:pStyle w:val="TableAm"/>
            </w:pPr>
            <w:r>
              <w:t>s. 135</w:t>
            </w:r>
          </w:p>
        </w:tc>
        <w:tc>
          <w:tcPr>
            <w:tcW w:w="1985" w:type="dxa"/>
          </w:tcPr>
          <w:p>
            <w:pPr>
              <w:pStyle w:val="TableAm"/>
              <w:rPr>
                <w:b/>
              </w:rPr>
            </w:pPr>
            <w:r>
              <w:rPr>
                <w:b/>
                <w:sz w:val="20"/>
              </w:rPr>
              <w:t>Functions and constitution of councils</w:t>
            </w:r>
          </w:p>
        </w:tc>
        <w:tc>
          <w:tcPr>
            <w:tcW w:w="1984" w:type="dxa"/>
          </w:tcPr>
          <w:p>
            <w:pPr>
              <w:pStyle w:val="TableAm"/>
            </w:pPr>
            <w:r>
              <w:t xml:space="preserve">Part 8 Division 4 </w:t>
            </w:r>
          </w:p>
        </w:tc>
      </w:tr>
      <w:tr>
        <w:trPr>
          <w:cantSplit/>
        </w:trPr>
        <w:tc>
          <w:tcPr>
            <w:tcW w:w="1134" w:type="dxa"/>
          </w:tcPr>
          <w:p>
            <w:pPr>
              <w:pStyle w:val="TableAm"/>
            </w:pPr>
            <w:r>
              <w:t>s. 45</w:t>
            </w:r>
          </w:p>
        </w:tc>
        <w:tc>
          <w:tcPr>
            <w:tcW w:w="1559" w:type="dxa"/>
          </w:tcPr>
          <w:p>
            <w:pPr>
              <w:pStyle w:val="TableAm"/>
            </w:pPr>
            <w:r>
              <w:t xml:space="preserve">s. 136 </w:t>
            </w:r>
          </w:p>
        </w:tc>
        <w:tc>
          <w:tcPr>
            <w:tcW w:w="1985" w:type="dxa"/>
          </w:tcPr>
          <w:p>
            <w:pPr>
              <w:pStyle w:val="TableAm"/>
              <w:rPr>
                <w:b/>
              </w:rPr>
            </w:pPr>
            <w:r>
              <w:rPr>
                <w:b/>
                <w:sz w:val="20"/>
              </w:rPr>
              <w:t>Corporate body may be officer or council member</w:t>
            </w:r>
          </w:p>
        </w:tc>
        <w:tc>
          <w:tcPr>
            <w:tcW w:w="1984" w:type="dxa"/>
          </w:tcPr>
          <w:p>
            <w:pPr>
              <w:pStyle w:val="TableAm"/>
            </w:pPr>
            <w:r>
              <w:t>Part 8 Division 4</w:t>
            </w:r>
          </w:p>
        </w:tc>
      </w:tr>
      <w:tr>
        <w:trPr>
          <w:cantSplit/>
        </w:trPr>
        <w:tc>
          <w:tcPr>
            <w:tcW w:w="1134" w:type="dxa"/>
          </w:tcPr>
          <w:p>
            <w:pPr>
              <w:pStyle w:val="TableAm"/>
            </w:pPr>
            <w:r>
              <w:t>s. 57</w:t>
            </w:r>
          </w:p>
        </w:tc>
        <w:tc>
          <w:tcPr>
            <w:tcW w:w="1559" w:type="dxa"/>
          </w:tcPr>
          <w:p>
            <w:pPr>
              <w:pStyle w:val="TableAm"/>
            </w:pPr>
            <w:r>
              <w:t>s. 84</w:t>
            </w:r>
          </w:p>
        </w:tc>
        <w:tc>
          <w:tcPr>
            <w:tcW w:w="1985" w:type="dxa"/>
          </w:tcPr>
          <w:p>
            <w:pPr>
              <w:pStyle w:val="TableAm"/>
              <w:rPr>
                <w:b/>
              </w:rPr>
            </w:pPr>
            <w:r>
              <w:rPr>
                <w:b/>
                <w:sz w:val="20"/>
              </w:rPr>
              <w:t>Insurance for lot</w:t>
            </w:r>
          </w:p>
        </w:tc>
        <w:tc>
          <w:tcPr>
            <w:tcW w:w="1984" w:type="dxa"/>
          </w:tcPr>
          <w:p>
            <w:pPr>
              <w:pStyle w:val="TableAm"/>
            </w:pPr>
            <w:r>
              <w:t>Part 7 Division 1</w:t>
            </w:r>
          </w:p>
        </w:tc>
      </w:tr>
      <w:tr>
        <w:trPr>
          <w:cantSplit/>
        </w:trPr>
        <w:tc>
          <w:tcPr>
            <w:tcW w:w="1134" w:type="dxa"/>
          </w:tcPr>
          <w:p>
            <w:pPr>
              <w:pStyle w:val="TableAm"/>
            </w:pPr>
            <w:r>
              <w:t>s. 60</w:t>
            </w:r>
          </w:p>
        </w:tc>
        <w:tc>
          <w:tcPr>
            <w:tcW w:w="1559" w:type="dxa"/>
          </w:tcPr>
          <w:p>
            <w:pPr>
              <w:pStyle w:val="TableAm"/>
            </w:pPr>
            <w:r>
              <w:t>s. 67</w:t>
            </w:r>
          </w:p>
        </w:tc>
        <w:tc>
          <w:tcPr>
            <w:tcW w:w="1985" w:type="dxa"/>
          </w:tcPr>
          <w:p>
            <w:pPr>
              <w:pStyle w:val="TableAm"/>
              <w:rPr>
                <w:b/>
                <w:sz w:val="20"/>
              </w:rPr>
            </w:pPr>
            <w:r>
              <w:rPr>
                <w:b/>
                <w:sz w:val="20"/>
              </w:rPr>
              <w:t>Registrar of Titles to deliver copies of plans</w:t>
            </w:r>
          </w:p>
        </w:tc>
        <w:tc>
          <w:tcPr>
            <w:tcW w:w="1984" w:type="dxa"/>
          </w:tcPr>
          <w:p>
            <w:pPr>
              <w:pStyle w:val="TableAm"/>
            </w:pPr>
            <w:r>
              <w:t>Part 5 Division 4</w:t>
            </w:r>
          </w:p>
        </w:tc>
      </w:tr>
      <w:tr>
        <w:trPr>
          <w:cantSplit/>
        </w:trPr>
        <w:tc>
          <w:tcPr>
            <w:tcW w:w="1134" w:type="dxa"/>
          </w:tcPr>
          <w:p>
            <w:pPr>
              <w:pStyle w:val="TableAm"/>
            </w:pPr>
            <w:r>
              <w:t>s. 61</w:t>
            </w:r>
          </w:p>
        </w:tc>
        <w:tc>
          <w:tcPr>
            <w:tcW w:w="1559" w:type="dxa"/>
          </w:tcPr>
          <w:p>
            <w:pPr>
              <w:pStyle w:val="TableAm"/>
            </w:pPr>
            <w:r>
              <w:t>s. 68</w:t>
            </w:r>
          </w:p>
        </w:tc>
        <w:tc>
          <w:tcPr>
            <w:tcW w:w="1985" w:type="dxa"/>
          </w:tcPr>
          <w:p>
            <w:pPr>
              <w:pStyle w:val="TableAm"/>
              <w:rPr>
                <w:b/>
                <w:sz w:val="20"/>
              </w:rPr>
            </w:pPr>
            <w:r>
              <w:rPr>
                <w:b/>
                <w:sz w:val="20"/>
              </w:rPr>
              <w:t>Particulars on plan to be conclusive for rating and taxing purposes</w:t>
            </w:r>
          </w:p>
        </w:tc>
        <w:tc>
          <w:tcPr>
            <w:tcW w:w="1984" w:type="dxa"/>
          </w:tcPr>
          <w:p>
            <w:pPr>
              <w:pStyle w:val="TableAm"/>
            </w:pPr>
            <w:r>
              <w:t>Part 5 Division 4</w:t>
            </w:r>
          </w:p>
        </w:tc>
      </w:tr>
      <w:tr>
        <w:trPr>
          <w:cantSplit/>
        </w:trPr>
        <w:tc>
          <w:tcPr>
            <w:tcW w:w="1134" w:type="dxa"/>
          </w:tcPr>
          <w:p>
            <w:pPr>
              <w:pStyle w:val="TableAm"/>
            </w:pPr>
            <w:r>
              <w:t>s. 62</w:t>
            </w:r>
          </w:p>
        </w:tc>
        <w:tc>
          <w:tcPr>
            <w:tcW w:w="1559" w:type="dxa"/>
          </w:tcPr>
          <w:p>
            <w:pPr>
              <w:pStyle w:val="TableAm"/>
            </w:pPr>
            <w:r>
              <w:t>s. 69</w:t>
            </w:r>
          </w:p>
        </w:tc>
        <w:tc>
          <w:tcPr>
            <w:tcW w:w="1985" w:type="dxa"/>
          </w:tcPr>
          <w:p>
            <w:pPr>
              <w:pStyle w:val="TableAm"/>
              <w:rPr>
                <w:b/>
              </w:rPr>
            </w:pPr>
            <w:r>
              <w:rPr>
                <w:b/>
                <w:sz w:val="20"/>
              </w:rPr>
              <w:t>Rating for strata schemes</w:t>
            </w:r>
          </w:p>
        </w:tc>
        <w:tc>
          <w:tcPr>
            <w:tcW w:w="1984" w:type="dxa"/>
          </w:tcPr>
          <w:p>
            <w:pPr>
              <w:pStyle w:val="TableAm"/>
            </w:pPr>
            <w:r>
              <w:t>Part 5 Division 4</w:t>
            </w:r>
          </w:p>
        </w:tc>
      </w:tr>
      <w:tr>
        <w:trPr>
          <w:cantSplit/>
        </w:trPr>
        <w:tc>
          <w:tcPr>
            <w:tcW w:w="1134" w:type="dxa"/>
          </w:tcPr>
          <w:p>
            <w:pPr>
              <w:pStyle w:val="TableAm"/>
            </w:pPr>
            <w:r>
              <w:t>s. 62A</w:t>
            </w:r>
          </w:p>
        </w:tc>
        <w:tc>
          <w:tcPr>
            <w:tcW w:w="1559" w:type="dxa"/>
          </w:tcPr>
          <w:p>
            <w:pPr>
              <w:pStyle w:val="TableAm"/>
            </w:pPr>
            <w:r>
              <w:t>s. 70</w:t>
            </w:r>
          </w:p>
        </w:tc>
        <w:tc>
          <w:tcPr>
            <w:tcW w:w="1985" w:type="dxa"/>
          </w:tcPr>
          <w:p>
            <w:pPr>
              <w:pStyle w:val="TableAm"/>
              <w:rPr>
                <w:b/>
              </w:rPr>
            </w:pPr>
            <w:r>
              <w:rPr>
                <w:b/>
                <w:sz w:val="20"/>
              </w:rPr>
              <w:t>Rating for survey</w:t>
            </w:r>
            <w:r>
              <w:rPr>
                <w:b/>
                <w:sz w:val="20"/>
              </w:rPr>
              <w:noBreakHyphen/>
              <w:t>strata schemes</w:t>
            </w:r>
          </w:p>
        </w:tc>
        <w:tc>
          <w:tcPr>
            <w:tcW w:w="1984" w:type="dxa"/>
          </w:tcPr>
          <w:p>
            <w:pPr>
              <w:pStyle w:val="TableAm"/>
            </w:pPr>
            <w:r>
              <w:t>Part 5 Division 4</w:t>
            </w:r>
          </w:p>
        </w:tc>
      </w:tr>
      <w:tr>
        <w:trPr>
          <w:cantSplit/>
        </w:trPr>
        <w:tc>
          <w:tcPr>
            <w:tcW w:w="1134" w:type="dxa"/>
          </w:tcPr>
          <w:p>
            <w:pPr>
              <w:pStyle w:val="TableAm"/>
            </w:pPr>
            <w:r>
              <w:t>s. 63</w:t>
            </w:r>
          </w:p>
        </w:tc>
        <w:tc>
          <w:tcPr>
            <w:tcW w:w="1559" w:type="dxa"/>
          </w:tcPr>
          <w:p>
            <w:pPr>
              <w:pStyle w:val="TableAm"/>
            </w:pPr>
            <w:r>
              <w:t>s. 71</w:t>
            </w:r>
          </w:p>
        </w:tc>
        <w:tc>
          <w:tcPr>
            <w:tcW w:w="1985" w:type="dxa"/>
          </w:tcPr>
          <w:p>
            <w:pPr>
              <w:pStyle w:val="TableAm"/>
              <w:rPr>
                <w:b/>
              </w:rPr>
            </w:pPr>
            <w:r>
              <w:rPr>
                <w:b/>
                <w:sz w:val="20"/>
              </w:rPr>
              <w:t>Rating on gross rental value</w:t>
            </w:r>
          </w:p>
        </w:tc>
        <w:tc>
          <w:tcPr>
            <w:tcW w:w="1984" w:type="dxa"/>
          </w:tcPr>
          <w:p>
            <w:pPr>
              <w:pStyle w:val="TableAm"/>
            </w:pPr>
            <w:r>
              <w:t>Part 5 Division 4</w:t>
            </w:r>
          </w:p>
        </w:tc>
      </w:tr>
      <w:tr>
        <w:trPr>
          <w:cantSplit/>
        </w:trPr>
        <w:tc>
          <w:tcPr>
            <w:tcW w:w="1134" w:type="dxa"/>
          </w:tcPr>
          <w:p>
            <w:pPr>
              <w:pStyle w:val="TableAm"/>
            </w:pPr>
            <w:r>
              <w:t>s. 64</w:t>
            </w:r>
          </w:p>
        </w:tc>
        <w:tc>
          <w:tcPr>
            <w:tcW w:w="1559" w:type="dxa"/>
          </w:tcPr>
          <w:p>
            <w:pPr>
              <w:pStyle w:val="TableAm"/>
            </w:pPr>
            <w:r>
              <w:t>s. 72</w:t>
            </w:r>
          </w:p>
        </w:tc>
        <w:tc>
          <w:tcPr>
            <w:tcW w:w="1985" w:type="dxa"/>
          </w:tcPr>
          <w:p>
            <w:pPr>
              <w:pStyle w:val="TableAm"/>
              <w:rPr>
                <w:b/>
              </w:rPr>
            </w:pPr>
            <w:r>
              <w:rPr>
                <w:b/>
                <w:sz w:val="20"/>
              </w:rPr>
              <w:t>Owner may seek a review of unimproved value of parcel</w:t>
            </w:r>
          </w:p>
        </w:tc>
        <w:tc>
          <w:tcPr>
            <w:tcW w:w="1984" w:type="dxa"/>
          </w:tcPr>
          <w:p>
            <w:pPr>
              <w:pStyle w:val="TableAm"/>
            </w:pPr>
            <w:r>
              <w:t>Part 5 Division 4</w:t>
            </w:r>
          </w:p>
        </w:tc>
      </w:tr>
      <w:tr>
        <w:trPr>
          <w:cantSplit/>
        </w:trPr>
        <w:tc>
          <w:tcPr>
            <w:tcW w:w="1134" w:type="dxa"/>
          </w:tcPr>
          <w:p>
            <w:pPr>
              <w:pStyle w:val="TableAm"/>
            </w:pPr>
            <w:r>
              <w:t>s. 65</w:t>
            </w:r>
          </w:p>
        </w:tc>
        <w:tc>
          <w:tcPr>
            <w:tcW w:w="1559" w:type="dxa"/>
          </w:tcPr>
          <w:p>
            <w:pPr>
              <w:pStyle w:val="TableAm"/>
            </w:pPr>
            <w:r>
              <w:t>s. 73</w:t>
            </w:r>
          </w:p>
        </w:tc>
        <w:tc>
          <w:tcPr>
            <w:tcW w:w="1985" w:type="dxa"/>
          </w:tcPr>
          <w:p>
            <w:pPr>
              <w:pStyle w:val="TableAm"/>
              <w:rPr>
                <w:b/>
              </w:rPr>
            </w:pPr>
            <w:r>
              <w:rPr>
                <w:b/>
                <w:sz w:val="20"/>
              </w:rPr>
              <w:t>Land tax and metropolitan region improvement tax: strata schemes</w:t>
            </w:r>
          </w:p>
        </w:tc>
        <w:tc>
          <w:tcPr>
            <w:tcW w:w="1984" w:type="dxa"/>
          </w:tcPr>
          <w:p>
            <w:pPr>
              <w:pStyle w:val="TableAm"/>
            </w:pPr>
            <w:r>
              <w:t>Part 5 Division 4</w:t>
            </w:r>
          </w:p>
        </w:tc>
      </w:tr>
      <w:tr>
        <w:trPr>
          <w:cantSplit/>
        </w:trPr>
        <w:tc>
          <w:tcPr>
            <w:tcW w:w="1134" w:type="dxa"/>
          </w:tcPr>
          <w:p>
            <w:pPr>
              <w:pStyle w:val="TableAm"/>
            </w:pPr>
            <w:r>
              <w:t>s. 65A</w:t>
            </w:r>
          </w:p>
        </w:tc>
        <w:tc>
          <w:tcPr>
            <w:tcW w:w="1559" w:type="dxa"/>
          </w:tcPr>
          <w:p>
            <w:pPr>
              <w:pStyle w:val="TableAm"/>
            </w:pPr>
            <w:r>
              <w:t>s. 74</w:t>
            </w:r>
          </w:p>
        </w:tc>
        <w:tc>
          <w:tcPr>
            <w:tcW w:w="1985" w:type="dxa"/>
          </w:tcPr>
          <w:p>
            <w:pPr>
              <w:pStyle w:val="TableAm"/>
              <w:rPr>
                <w:b/>
              </w:rPr>
            </w:pPr>
            <w:r>
              <w:rPr>
                <w:b/>
                <w:sz w:val="20"/>
              </w:rPr>
              <w:t>Land tax and metropolitan region improvement tax: survey</w:t>
            </w:r>
            <w:r>
              <w:rPr>
                <w:b/>
                <w:sz w:val="20"/>
              </w:rPr>
              <w:noBreakHyphen/>
              <w:t>strata schemes</w:t>
            </w:r>
          </w:p>
        </w:tc>
        <w:tc>
          <w:tcPr>
            <w:tcW w:w="1984" w:type="dxa"/>
          </w:tcPr>
          <w:p>
            <w:pPr>
              <w:pStyle w:val="TableAm"/>
            </w:pPr>
            <w:r>
              <w:t>Part 5 Division 4</w:t>
            </w:r>
          </w:p>
        </w:tc>
      </w:tr>
      <w:tr>
        <w:trPr>
          <w:cantSplit/>
        </w:trPr>
        <w:tc>
          <w:tcPr>
            <w:tcW w:w="1134" w:type="dxa"/>
          </w:tcPr>
          <w:p>
            <w:pPr>
              <w:pStyle w:val="TableAm"/>
            </w:pPr>
            <w:r>
              <w:t>s. 66</w:t>
            </w:r>
          </w:p>
        </w:tc>
        <w:tc>
          <w:tcPr>
            <w:tcW w:w="1559" w:type="dxa"/>
          </w:tcPr>
          <w:p>
            <w:pPr>
              <w:pStyle w:val="TableAm"/>
            </w:pPr>
            <w:r>
              <w:t>s. 75</w:t>
            </w:r>
          </w:p>
        </w:tc>
        <w:tc>
          <w:tcPr>
            <w:tcW w:w="1985" w:type="dxa"/>
          </w:tcPr>
          <w:p>
            <w:pPr>
              <w:pStyle w:val="TableAm"/>
              <w:rPr>
                <w:b/>
              </w:rPr>
            </w:pPr>
            <w:r>
              <w:rPr>
                <w:b/>
                <w:sz w:val="20"/>
              </w:rPr>
              <w:t>Charges for water supplied</w:t>
            </w:r>
          </w:p>
        </w:tc>
        <w:tc>
          <w:tcPr>
            <w:tcW w:w="1984" w:type="dxa"/>
          </w:tcPr>
          <w:p>
            <w:pPr>
              <w:pStyle w:val="TableAm"/>
            </w:pPr>
            <w:r>
              <w:t>Part 5 Division 4</w:t>
            </w:r>
          </w:p>
        </w:tc>
      </w:tr>
      <w:tr>
        <w:trPr>
          <w:cantSplit/>
        </w:trPr>
        <w:tc>
          <w:tcPr>
            <w:tcW w:w="1134" w:type="dxa"/>
          </w:tcPr>
          <w:p>
            <w:pPr>
              <w:pStyle w:val="TableAm"/>
              <w:spacing w:before="100"/>
            </w:pPr>
            <w:r>
              <w:t>s. 67</w:t>
            </w:r>
          </w:p>
        </w:tc>
        <w:tc>
          <w:tcPr>
            <w:tcW w:w="1559" w:type="dxa"/>
          </w:tcPr>
          <w:p>
            <w:pPr>
              <w:pStyle w:val="TableAm"/>
              <w:spacing w:before="100"/>
            </w:pPr>
            <w:r>
              <w:t>s. 76</w:t>
            </w:r>
          </w:p>
        </w:tc>
        <w:tc>
          <w:tcPr>
            <w:tcW w:w="1985" w:type="dxa"/>
          </w:tcPr>
          <w:p>
            <w:pPr>
              <w:pStyle w:val="TableAm"/>
              <w:spacing w:before="100"/>
              <w:rPr>
                <w:b/>
              </w:rPr>
            </w:pPr>
            <w:r>
              <w:rPr>
                <w:b/>
                <w:sz w:val="20"/>
              </w:rPr>
              <w:t xml:space="preserve">Water service charges under the </w:t>
            </w:r>
            <w:r>
              <w:rPr>
                <w:b/>
                <w:i/>
                <w:sz w:val="20"/>
              </w:rPr>
              <w:t>Water Services Act 2012</w:t>
            </w:r>
          </w:p>
        </w:tc>
        <w:tc>
          <w:tcPr>
            <w:tcW w:w="1984" w:type="dxa"/>
          </w:tcPr>
          <w:p>
            <w:pPr>
              <w:pStyle w:val="TableAm"/>
              <w:spacing w:before="100"/>
            </w:pPr>
            <w:r>
              <w:t>Part 5 Division 4</w:t>
            </w:r>
          </w:p>
        </w:tc>
      </w:tr>
      <w:tr>
        <w:trPr>
          <w:cantSplit/>
        </w:trPr>
        <w:tc>
          <w:tcPr>
            <w:tcW w:w="1134" w:type="dxa"/>
          </w:tcPr>
          <w:p>
            <w:pPr>
              <w:pStyle w:val="TableAm"/>
              <w:spacing w:before="100"/>
            </w:pPr>
            <w:r>
              <w:t>s. 122</w:t>
            </w:r>
          </w:p>
        </w:tc>
        <w:tc>
          <w:tcPr>
            <w:tcW w:w="1559" w:type="dxa"/>
          </w:tcPr>
          <w:p>
            <w:pPr>
              <w:pStyle w:val="TableAm"/>
              <w:spacing w:before="100"/>
            </w:pPr>
            <w:r>
              <w:t>s. 211</w:t>
            </w:r>
          </w:p>
        </w:tc>
        <w:tc>
          <w:tcPr>
            <w:tcW w:w="1985" w:type="dxa"/>
          </w:tcPr>
          <w:p>
            <w:pPr>
              <w:pStyle w:val="TableAm"/>
              <w:spacing w:before="100"/>
              <w:rPr>
                <w:b/>
              </w:rPr>
            </w:pPr>
            <w:r>
              <w:rPr>
                <w:b/>
                <w:sz w:val="20"/>
              </w:rPr>
              <w:t>Other rights and remedies not affected by this Act</w:t>
            </w:r>
          </w:p>
        </w:tc>
        <w:tc>
          <w:tcPr>
            <w:tcW w:w="1984" w:type="dxa"/>
          </w:tcPr>
          <w:p>
            <w:pPr>
              <w:pStyle w:val="TableAm"/>
              <w:spacing w:before="100"/>
            </w:pPr>
            <w:r>
              <w:t>Part 14</w:t>
            </w:r>
          </w:p>
        </w:tc>
      </w:tr>
      <w:tr>
        <w:trPr>
          <w:cantSplit/>
        </w:trPr>
        <w:tc>
          <w:tcPr>
            <w:tcW w:w="1134" w:type="dxa"/>
          </w:tcPr>
          <w:p>
            <w:pPr>
              <w:pStyle w:val="TableAm"/>
              <w:spacing w:before="100"/>
            </w:pPr>
            <w:r>
              <w:t>s. 122A</w:t>
            </w:r>
          </w:p>
        </w:tc>
        <w:tc>
          <w:tcPr>
            <w:tcW w:w="1559" w:type="dxa"/>
          </w:tcPr>
          <w:p>
            <w:pPr>
              <w:pStyle w:val="TableAm"/>
              <w:spacing w:before="100"/>
            </w:pPr>
            <w:r>
              <w:t>s. 212</w:t>
            </w:r>
          </w:p>
        </w:tc>
        <w:tc>
          <w:tcPr>
            <w:tcW w:w="1985" w:type="dxa"/>
          </w:tcPr>
          <w:p>
            <w:pPr>
              <w:pStyle w:val="TableAm"/>
              <w:spacing w:before="100"/>
              <w:rPr>
                <w:b/>
              </w:rPr>
            </w:pPr>
            <w:r>
              <w:rPr>
                <w:b/>
                <w:sz w:val="20"/>
              </w:rPr>
              <w:t>Caravan and camping areas not to be subdivided</w:t>
            </w:r>
          </w:p>
        </w:tc>
        <w:tc>
          <w:tcPr>
            <w:tcW w:w="1984" w:type="dxa"/>
          </w:tcPr>
          <w:p>
            <w:pPr>
              <w:pStyle w:val="TableAm"/>
              <w:spacing w:before="100"/>
            </w:pPr>
            <w:r>
              <w:t>Part 14</w:t>
            </w:r>
          </w:p>
        </w:tc>
      </w:tr>
      <w:tr>
        <w:trPr>
          <w:cantSplit/>
        </w:trPr>
        <w:tc>
          <w:tcPr>
            <w:tcW w:w="1134" w:type="dxa"/>
          </w:tcPr>
          <w:p>
            <w:pPr>
              <w:pStyle w:val="TableAm"/>
              <w:spacing w:before="100"/>
            </w:pPr>
            <w:r>
              <w:t>s. 123</w:t>
            </w:r>
          </w:p>
        </w:tc>
        <w:tc>
          <w:tcPr>
            <w:tcW w:w="1559" w:type="dxa"/>
          </w:tcPr>
          <w:p>
            <w:pPr>
              <w:pStyle w:val="TableAm"/>
              <w:spacing w:before="100"/>
            </w:pPr>
            <w:r>
              <w:t>s. 213</w:t>
            </w:r>
          </w:p>
        </w:tc>
        <w:tc>
          <w:tcPr>
            <w:tcW w:w="1985" w:type="dxa"/>
          </w:tcPr>
          <w:p>
            <w:pPr>
              <w:pStyle w:val="TableAm"/>
              <w:spacing w:before="100"/>
              <w:rPr>
                <w:b/>
              </w:rPr>
            </w:pPr>
            <w:r>
              <w:rPr>
                <w:b/>
                <w:sz w:val="20"/>
              </w:rPr>
              <w:t>Dividing fences</w:t>
            </w:r>
          </w:p>
        </w:tc>
        <w:tc>
          <w:tcPr>
            <w:tcW w:w="1984" w:type="dxa"/>
          </w:tcPr>
          <w:p>
            <w:pPr>
              <w:pStyle w:val="TableAm"/>
              <w:spacing w:before="100"/>
            </w:pPr>
            <w:r>
              <w:t>Part 14</w:t>
            </w:r>
          </w:p>
        </w:tc>
      </w:tr>
      <w:tr>
        <w:trPr>
          <w:cantSplit/>
        </w:trPr>
        <w:tc>
          <w:tcPr>
            <w:tcW w:w="1134" w:type="dxa"/>
          </w:tcPr>
          <w:p>
            <w:pPr>
              <w:pStyle w:val="TableAm"/>
              <w:spacing w:before="100"/>
            </w:pPr>
            <w:r>
              <w:t>s. 123B</w:t>
            </w:r>
          </w:p>
        </w:tc>
        <w:tc>
          <w:tcPr>
            <w:tcW w:w="1559" w:type="dxa"/>
          </w:tcPr>
          <w:p>
            <w:pPr>
              <w:pStyle w:val="TableAm"/>
              <w:spacing w:before="100"/>
            </w:pPr>
            <w:r>
              <w:t>s. 214</w:t>
            </w:r>
          </w:p>
        </w:tc>
        <w:tc>
          <w:tcPr>
            <w:tcW w:w="1985" w:type="dxa"/>
          </w:tcPr>
          <w:p>
            <w:pPr>
              <w:pStyle w:val="TableAm"/>
              <w:spacing w:before="100"/>
              <w:rPr>
                <w:b/>
              </w:rPr>
            </w:pPr>
            <w:r>
              <w:rPr>
                <w:b/>
                <w:sz w:val="20"/>
              </w:rPr>
              <w:t>Internal fencing</w:t>
            </w:r>
          </w:p>
        </w:tc>
        <w:tc>
          <w:tcPr>
            <w:tcW w:w="1984" w:type="dxa"/>
          </w:tcPr>
          <w:p>
            <w:pPr>
              <w:pStyle w:val="TableAm"/>
              <w:spacing w:before="100"/>
            </w:pPr>
            <w:r>
              <w:t>Part 14</w:t>
            </w:r>
          </w:p>
        </w:tc>
      </w:tr>
      <w:tr>
        <w:trPr>
          <w:cantSplit/>
        </w:trPr>
        <w:tc>
          <w:tcPr>
            <w:tcW w:w="1134" w:type="dxa"/>
          </w:tcPr>
          <w:p>
            <w:pPr>
              <w:pStyle w:val="TableAm"/>
              <w:spacing w:before="100"/>
            </w:pPr>
            <w:r>
              <w:t>s. 124</w:t>
            </w:r>
          </w:p>
        </w:tc>
        <w:tc>
          <w:tcPr>
            <w:tcW w:w="1559" w:type="dxa"/>
          </w:tcPr>
          <w:p>
            <w:pPr>
              <w:pStyle w:val="TableAm"/>
              <w:spacing w:before="100"/>
            </w:pPr>
            <w:r>
              <w:t>s. 170</w:t>
            </w:r>
          </w:p>
        </w:tc>
        <w:tc>
          <w:tcPr>
            <w:tcW w:w="1985" w:type="dxa"/>
          </w:tcPr>
          <w:p>
            <w:pPr>
              <w:pStyle w:val="TableAm"/>
              <w:spacing w:before="100"/>
              <w:rPr>
                <w:b/>
              </w:rPr>
            </w:pPr>
            <w:r>
              <w:rPr>
                <w:b/>
                <w:sz w:val="20"/>
              </w:rPr>
              <w:t>Notice of application for order under section 166, 167 or 168</w:t>
            </w:r>
          </w:p>
        </w:tc>
        <w:tc>
          <w:tcPr>
            <w:tcW w:w="1984" w:type="dxa"/>
          </w:tcPr>
          <w:p>
            <w:pPr>
              <w:pStyle w:val="TableAm"/>
              <w:spacing w:before="100"/>
            </w:pPr>
            <w:r>
              <w:t>Part 11 Division 3</w:t>
            </w:r>
          </w:p>
        </w:tc>
      </w:tr>
      <w:tr>
        <w:trPr>
          <w:cantSplit/>
        </w:trPr>
        <w:tc>
          <w:tcPr>
            <w:tcW w:w="1134" w:type="dxa"/>
          </w:tcPr>
          <w:p>
            <w:pPr>
              <w:pStyle w:val="TableAm"/>
              <w:spacing w:before="100"/>
            </w:pPr>
            <w:r>
              <w:t>s. 126</w:t>
            </w:r>
          </w:p>
        </w:tc>
        <w:tc>
          <w:tcPr>
            <w:tcW w:w="1559" w:type="dxa"/>
          </w:tcPr>
          <w:p>
            <w:pPr>
              <w:pStyle w:val="TableAm"/>
              <w:spacing w:before="100"/>
            </w:pPr>
            <w:r>
              <w:t>s. 217</w:t>
            </w:r>
          </w:p>
        </w:tc>
        <w:tc>
          <w:tcPr>
            <w:tcW w:w="1985" w:type="dxa"/>
          </w:tcPr>
          <w:p>
            <w:pPr>
              <w:pStyle w:val="TableAm"/>
              <w:spacing w:before="100"/>
              <w:rPr>
                <w:b/>
              </w:rPr>
            </w:pPr>
            <w:r>
              <w:rPr>
                <w:b/>
                <w:sz w:val="20"/>
              </w:rPr>
              <w:t>Powers of entry under written laws</w:t>
            </w:r>
          </w:p>
        </w:tc>
        <w:tc>
          <w:tcPr>
            <w:tcW w:w="1984" w:type="dxa"/>
          </w:tcPr>
          <w:p>
            <w:pPr>
              <w:pStyle w:val="TableAm"/>
              <w:spacing w:before="100"/>
            </w:pPr>
            <w:r>
              <w:t>Part 14</w:t>
            </w:r>
          </w:p>
        </w:tc>
      </w:tr>
      <w:tr>
        <w:trPr>
          <w:cantSplit/>
        </w:trPr>
        <w:tc>
          <w:tcPr>
            <w:tcW w:w="1134" w:type="dxa"/>
          </w:tcPr>
          <w:p>
            <w:pPr>
              <w:pStyle w:val="TableAm"/>
              <w:spacing w:before="100"/>
            </w:pPr>
            <w:r>
              <w:t>s. 129B</w:t>
            </w:r>
          </w:p>
        </w:tc>
        <w:tc>
          <w:tcPr>
            <w:tcW w:w="1559" w:type="dxa"/>
          </w:tcPr>
          <w:p>
            <w:pPr>
              <w:pStyle w:val="TableAm"/>
              <w:spacing w:before="100"/>
            </w:pPr>
            <w:r>
              <w:t>s. 219</w:t>
            </w:r>
          </w:p>
        </w:tc>
        <w:tc>
          <w:tcPr>
            <w:tcW w:w="1985" w:type="dxa"/>
          </w:tcPr>
          <w:p>
            <w:pPr>
              <w:pStyle w:val="TableAm"/>
              <w:spacing w:before="100"/>
              <w:rPr>
                <w:b/>
              </w:rPr>
            </w:pPr>
            <w:r>
              <w:rPr>
                <w:b/>
                <w:sz w:val="20"/>
              </w:rPr>
              <w:t>Delegation by Commissioner of Titles</w:t>
            </w:r>
          </w:p>
        </w:tc>
        <w:tc>
          <w:tcPr>
            <w:tcW w:w="1984" w:type="dxa"/>
          </w:tcPr>
          <w:p>
            <w:pPr>
              <w:pStyle w:val="TableAm"/>
              <w:spacing w:before="100"/>
            </w:pPr>
            <w:r>
              <w:t>Part 14</w:t>
            </w:r>
          </w:p>
        </w:tc>
      </w:tr>
      <w:tr>
        <w:trPr>
          <w:cantSplit/>
        </w:trPr>
        <w:tc>
          <w:tcPr>
            <w:tcW w:w="1134" w:type="dxa"/>
          </w:tcPr>
          <w:p>
            <w:pPr>
              <w:pStyle w:val="TableAm"/>
              <w:spacing w:before="100"/>
            </w:pPr>
            <w:r>
              <w:t>s. 129C</w:t>
            </w:r>
          </w:p>
        </w:tc>
        <w:tc>
          <w:tcPr>
            <w:tcW w:w="1559" w:type="dxa"/>
          </w:tcPr>
          <w:p>
            <w:pPr>
              <w:pStyle w:val="TableAm"/>
              <w:spacing w:before="100"/>
            </w:pPr>
            <w:r>
              <w:t>s. 220</w:t>
            </w:r>
          </w:p>
        </w:tc>
        <w:tc>
          <w:tcPr>
            <w:tcW w:w="1985" w:type="dxa"/>
          </w:tcPr>
          <w:p>
            <w:pPr>
              <w:pStyle w:val="TableAm"/>
              <w:spacing w:before="100"/>
              <w:rPr>
                <w:b/>
              </w:rPr>
            </w:pPr>
            <w:r>
              <w:rPr>
                <w:b/>
                <w:sz w:val="20"/>
              </w:rPr>
              <w:t>Delegation by Registrar of Titles</w:t>
            </w:r>
          </w:p>
        </w:tc>
        <w:tc>
          <w:tcPr>
            <w:tcW w:w="1984" w:type="dxa"/>
          </w:tcPr>
          <w:p>
            <w:pPr>
              <w:pStyle w:val="TableAm"/>
              <w:spacing w:before="100"/>
            </w:pPr>
            <w:r>
              <w:t>Part 14</w:t>
            </w:r>
          </w:p>
        </w:tc>
      </w:tr>
      <w:tr>
        <w:trPr>
          <w:cantSplit/>
        </w:trPr>
        <w:tc>
          <w:tcPr>
            <w:tcW w:w="1134" w:type="dxa"/>
          </w:tcPr>
          <w:p>
            <w:pPr>
              <w:pStyle w:val="TableAm"/>
              <w:spacing w:before="100"/>
            </w:pPr>
            <w:r>
              <w:t>s. 129D</w:t>
            </w:r>
          </w:p>
        </w:tc>
        <w:tc>
          <w:tcPr>
            <w:tcW w:w="1559" w:type="dxa"/>
          </w:tcPr>
          <w:p>
            <w:pPr>
              <w:pStyle w:val="TableAm"/>
              <w:spacing w:before="100"/>
            </w:pPr>
            <w:r>
              <w:t>s. 221</w:t>
            </w:r>
          </w:p>
        </w:tc>
        <w:tc>
          <w:tcPr>
            <w:tcW w:w="1985" w:type="dxa"/>
          </w:tcPr>
          <w:p>
            <w:pPr>
              <w:pStyle w:val="TableAm"/>
              <w:spacing w:before="100"/>
              <w:rPr>
                <w:b/>
              </w:rPr>
            </w:pPr>
            <w:r>
              <w:rPr>
                <w:b/>
                <w:sz w:val="20"/>
              </w:rPr>
              <w:t>Money received by Registrar of Titles</w:t>
            </w:r>
          </w:p>
        </w:tc>
        <w:tc>
          <w:tcPr>
            <w:tcW w:w="1984" w:type="dxa"/>
          </w:tcPr>
          <w:p>
            <w:pPr>
              <w:pStyle w:val="TableAm"/>
              <w:spacing w:before="100"/>
            </w:pPr>
            <w:r>
              <w:t>Part 14</w:t>
            </w:r>
          </w:p>
        </w:tc>
      </w:tr>
      <w:tr>
        <w:trPr>
          <w:cantSplit/>
        </w:trPr>
        <w:tc>
          <w:tcPr>
            <w:tcW w:w="1134" w:type="dxa"/>
          </w:tcPr>
          <w:p>
            <w:pPr>
              <w:pStyle w:val="TableAm"/>
              <w:spacing w:before="100"/>
            </w:pPr>
            <w:r>
              <w:t>s. 130</w:t>
            </w:r>
          </w:p>
        </w:tc>
        <w:tc>
          <w:tcPr>
            <w:tcW w:w="1559" w:type="dxa"/>
          </w:tcPr>
          <w:p>
            <w:pPr>
              <w:pStyle w:val="TableAm"/>
              <w:spacing w:before="100"/>
            </w:pPr>
            <w:r>
              <w:t>s. 224</w:t>
            </w:r>
          </w:p>
        </w:tc>
        <w:tc>
          <w:tcPr>
            <w:tcW w:w="1985" w:type="dxa"/>
          </w:tcPr>
          <w:p>
            <w:pPr>
              <w:pStyle w:val="TableAm"/>
              <w:spacing w:before="100"/>
              <w:rPr>
                <w:b/>
              </w:rPr>
            </w:pPr>
            <w:r>
              <w:rPr>
                <w:b/>
                <w:sz w:val="20"/>
              </w:rPr>
              <w:t>Regulations</w:t>
            </w:r>
          </w:p>
        </w:tc>
        <w:tc>
          <w:tcPr>
            <w:tcW w:w="1984" w:type="dxa"/>
          </w:tcPr>
          <w:p>
            <w:pPr>
              <w:pStyle w:val="TableAm"/>
              <w:spacing w:before="100"/>
            </w:pPr>
            <w:r>
              <w:t>Part 14</w:t>
            </w:r>
          </w:p>
        </w:tc>
      </w:tr>
      <w:tr>
        <w:trPr>
          <w:cantSplit/>
        </w:trPr>
        <w:tc>
          <w:tcPr>
            <w:tcW w:w="1134" w:type="dxa"/>
          </w:tcPr>
          <w:p>
            <w:pPr>
              <w:pStyle w:val="TableAm"/>
              <w:spacing w:before="100"/>
            </w:pPr>
            <w:r>
              <w:t>s. 131A</w:t>
            </w:r>
          </w:p>
        </w:tc>
        <w:tc>
          <w:tcPr>
            <w:tcW w:w="1559" w:type="dxa"/>
          </w:tcPr>
          <w:p>
            <w:pPr>
              <w:pStyle w:val="TableAm"/>
              <w:spacing w:before="100"/>
            </w:pPr>
            <w:r>
              <w:t>s. 225</w:t>
            </w:r>
          </w:p>
        </w:tc>
        <w:tc>
          <w:tcPr>
            <w:tcW w:w="1985" w:type="dxa"/>
          </w:tcPr>
          <w:p>
            <w:pPr>
              <w:pStyle w:val="TableAm"/>
              <w:spacing w:before="100"/>
              <w:rPr>
                <w:b/>
              </w:rPr>
            </w:pPr>
            <w:r>
              <w:rPr>
                <w:b/>
                <w:sz w:val="20"/>
              </w:rPr>
              <w:t>Certain prescribed fees may exceed cost recovery</w:t>
            </w:r>
          </w:p>
        </w:tc>
        <w:tc>
          <w:tcPr>
            <w:tcW w:w="1984" w:type="dxa"/>
          </w:tcPr>
          <w:p>
            <w:pPr>
              <w:pStyle w:val="TableAm"/>
              <w:spacing w:before="100"/>
            </w:pPr>
            <w:r>
              <w:t>Part 14</w:t>
            </w:r>
          </w:p>
        </w:tc>
      </w:tr>
      <w:tr>
        <w:trPr>
          <w:cantSplit/>
        </w:trPr>
        <w:tc>
          <w:tcPr>
            <w:tcW w:w="1134" w:type="dxa"/>
          </w:tcPr>
          <w:p>
            <w:pPr>
              <w:pStyle w:val="TableAm"/>
              <w:spacing w:before="100"/>
            </w:pPr>
            <w:r>
              <w:t>s. 131B</w:t>
            </w:r>
          </w:p>
        </w:tc>
        <w:tc>
          <w:tcPr>
            <w:tcW w:w="1559" w:type="dxa"/>
          </w:tcPr>
          <w:p>
            <w:pPr>
              <w:pStyle w:val="TableAm"/>
              <w:spacing w:before="100"/>
            </w:pPr>
            <w:r>
              <w:t>s. 226</w:t>
            </w:r>
          </w:p>
        </w:tc>
        <w:tc>
          <w:tcPr>
            <w:tcW w:w="1985" w:type="dxa"/>
          </w:tcPr>
          <w:p>
            <w:pPr>
              <w:pStyle w:val="TableAm"/>
              <w:spacing w:before="100"/>
              <w:rPr>
                <w:b/>
              </w:rPr>
            </w:pPr>
            <w:r>
              <w:rPr>
                <w:b/>
                <w:sz w:val="20"/>
              </w:rPr>
              <w:t>Expiry of section 225</w:t>
            </w:r>
          </w:p>
        </w:tc>
        <w:tc>
          <w:tcPr>
            <w:tcW w:w="1984" w:type="dxa"/>
          </w:tcPr>
          <w:p>
            <w:pPr>
              <w:pStyle w:val="TableAm"/>
              <w:spacing w:before="100"/>
            </w:pPr>
            <w:r>
              <w:t>Part 14</w:t>
            </w:r>
          </w:p>
        </w:tc>
      </w:tr>
    </w:tbl>
    <w:p>
      <w:pPr>
        <w:pStyle w:val="nzSectAltNote"/>
      </w:pPr>
      <w:r>
        <w:tab/>
        <w:t>Note:</w:t>
      </w:r>
      <w:r>
        <w:tab/>
        <w:t>The heading to section 129D is to read:</w:t>
      </w:r>
    </w:p>
    <w:p>
      <w:pPr>
        <w:pStyle w:val="nzSectAltHeading"/>
      </w:pPr>
      <w:r>
        <w:rPr>
          <w:b w:val="0"/>
        </w:rPr>
        <w:tab/>
      </w:r>
      <w:r>
        <w:rPr>
          <w:b w:val="0"/>
        </w:rPr>
        <w:tab/>
      </w:r>
      <w:r>
        <w:t>Money received by Registrar of Titles</w:t>
      </w:r>
    </w:p>
    <w:p>
      <w:pPr>
        <w:pStyle w:val="nzHeading5"/>
      </w:pPr>
      <w:bookmarkStart w:id="1937" w:name="_Toc530474587"/>
      <w:bookmarkStart w:id="1938" w:name="_Toc530475182"/>
      <w:r>
        <w:rPr>
          <w:rStyle w:val="CharSectno"/>
        </w:rPr>
        <w:t>85</w:t>
      </w:r>
      <w:r>
        <w:t>.</w:t>
      </w:r>
      <w:r>
        <w:tab/>
        <w:t>References to renumbered provisions in other laws or other documents</w:t>
      </w:r>
      <w:bookmarkEnd w:id="1937"/>
      <w:bookmarkEnd w:id="1938"/>
    </w:p>
    <w:p>
      <w:pPr>
        <w:pStyle w:val="nzSubsection"/>
      </w:pPr>
      <w:r>
        <w:tab/>
      </w:r>
      <w:r>
        <w:tab/>
        <w:t>A reference in another law or another document to a provision renumbered under this Division is a reference to the provision as renumbered unless the contrary intention appears.</w:t>
      </w:r>
    </w:p>
    <w:p>
      <w:pPr>
        <w:pStyle w:val="nzHeading3"/>
      </w:pPr>
      <w:bookmarkStart w:id="1939" w:name="_Toc517437789"/>
      <w:bookmarkStart w:id="1940" w:name="_Toc517438331"/>
      <w:bookmarkStart w:id="1941" w:name="_Toc517440668"/>
      <w:bookmarkStart w:id="1942" w:name="_Toc517447705"/>
      <w:bookmarkStart w:id="1943" w:name="_Toc517450183"/>
      <w:bookmarkStart w:id="1944" w:name="_Toc517450725"/>
      <w:bookmarkStart w:id="1945" w:name="_Toc517857181"/>
      <w:bookmarkStart w:id="1946" w:name="_Toc518293308"/>
      <w:bookmarkStart w:id="1947" w:name="_Toc522744536"/>
      <w:bookmarkStart w:id="1948" w:name="_Toc522747659"/>
      <w:bookmarkStart w:id="1949" w:name="_Toc529183497"/>
      <w:bookmarkStart w:id="1950" w:name="_Toc529188260"/>
      <w:bookmarkStart w:id="1951" w:name="_Toc529434773"/>
      <w:bookmarkStart w:id="1952" w:name="_Toc529524664"/>
      <w:bookmarkStart w:id="1953" w:name="_Toc530474588"/>
      <w:bookmarkStart w:id="1954" w:name="_Toc530475183"/>
      <w:r>
        <w:rPr>
          <w:rStyle w:val="CharDivNo"/>
        </w:rPr>
        <w:t>Division 5</w:t>
      </w:r>
      <w:r>
        <w:t> — </w:t>
      </w:r>
      <w:r>
        <w:rPr>
          <w:rStyle w:val="CharDivText"/>
        </w:rPr>
        <w:t>Amendment of Schedules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5"/>
      </w:pPr>
      <w:bookmarkStart w:id="1955" w:name="_Toc530474589"/>
      <w:bookmarkStart w:id="1956" w:name="_Toc530475184"/>
      <w:r>
        <w:rPr>
          <w:rStyle w:val="CharSectno"/>
        </w:rPr>
        <w:t>86</w:t>
      </w:r>
      <w:r>
        <w:t>.</w:t>
      </w:r>
      <w:r>
        <w:tab/>
        <w:t>Schedule 1 heading replaced</w:t>
      </w:r>
      <w:bookmarkEnd w:id="1955"/>
      <w:bookmarkEnd w:id="1956"/>
    </w:p>
    <w:p>
      <w:pPr>
        <w:pStyle w:val="nzSubsection"/>
      </w:pPr>
      <w:r>
        <w:tab/>
      </w:r>
      <w:r>
        <w:tab/>
        <w:t>Delete the heading to Schedule 1 and the reference after it and insert:</w:t>
      </w:r>
    </w:p>
    <w:p>
      <w:pPr>
        <w:pStyle w:val="BlankOpen"/>
      </w:pPr>
    </w:p>
    <w:p>
      <w:pPr>
        <w:pStyle w:val="nzHeading2"/>
      </w:pPr>
      <w:bookmarkStart w:id="1957" w:name="_Toc517437791"/>
      <w:bookmarkStart w:id="1958" w:name="_Toc517438333"/>
      <w:bookmarkStart w:id="1959" w:name="_Toc517440670"/>
      <w:bookmarkStart w:id="1960" w:name="_Toc517447707"/>
      <w:bookmarkStart w:id="1961" w:name="_Toc517450185"/>
      <w:bookmarkStart w:id="1962" w:name="_Toc517450727"/>
      <w:bookmarkStart w:id="1963" w:name="_Toc517857183"/>
      <w:bookmarkStart w:id="1964" w:name="_Toc518293310"/>
      <w:bookmarkStart w:id="1965" w:name="_Toc522744538"/>
      <w:bookmarkStart w:id="1966" w:name="_Toc522747661"/>
      <w:bookmarkStart w:id="1967" w:name="_Toc529183499"/>
      <w:bookmarkStart w:id="1968" w:name="_Toc529188262"/>
      <w:bookmarkStart w:id="1969" w:name="_Toc529434775"/>
      <w:bookmarkStart w:id="1970" w:name="_Toc529524666"/>
      <w:bookmarkStart w:id="1971" w:name="_Toc530474590"/>
      <w:bookmarkStart w:id="1972" w:name="_Toc530475185"/>
      <w:r>
        <w:t>Schedule 1 — Governance by</w:t>
      </w:r>
      <w:r>
        <w:noBreakHyphen/>
        <w:t>laws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BlankClose"/>
      </w:pPr>
    </w:p>
    <w:p>
      <w:pPr>
        <w:pStyle w:val="nzHeading5"/>
      </w:pPr>
      <w:bookmarkStart w:id="1973" w:name="_Toc530474591"/>
      <w:bookmarkStart w:id="1974" w:name="_Toc530475186"/>
      <w:r>
        <w:rPr>
          <w:rStyle w:val="CharSectno"/>
        </w:rPr>
        <w:t>87</w:t>
      </w:r>
      <w:r>
        <w:t>.</w:t>
      </w:r>
      <w:r>
        <w:tab/>
        <w:t>Schedule 1 by</w:t>
      </w:r>
      <w:r>
        <w:noBreakHyphen/>
        <w:t>law 1 amended</w:t>
      </w:r>
      <w:bookmarkEnd w:id="1973"/>
      <w:bookmarkEnd w:id="1974"/>
    </w:p>
    <w:p>
      <w:pPr>
        <w:pStyle w:val="nzSubsection"/>
      </w:pPr>
      <w:r>
        <w:tab/>
        <w:t>(1)</w:t>
      </w:r>
      <w:r>
        <w:tab/>
        <w:t>In Schedule 1 by</w:t>
      </w:r>
      <w:r>
        <w:noBreakHyphen/>
        <w:t>law 1(1):</w:t>
      </w:r>
    </w:p>
    <w:p>
      <w:pPr>
        <w:pStyle w:val="nzIndenta"/>
      </w:pPr>
      <w:r>
        <w:tab/>
        <w:t>(a)</w:t>
      </w:r>
      <w:r>
        <w:tab/>
        <w:t>delete “</w:t>
      </w:r>
      <w:r>
        <w:rPr>
          <w:sz w:val="22"/>
        </w:rPr>
        <w:t>A proprietor shall —</w:t>
      </w:r>
      <w:r>
        <w:t>” and insert:</w:t>
      </w:r>
    </w:p>
    <w:p>
      <w:pPr>
        <w:pStyle w:val="BlankOpen"/>
      </w:pPr>
    </w:p>
    <w:p>
      <w:pPr>
        <w:pStyle w:val="nzIndenta"/>
      </w:pPr>
      <w:r>
        <w:tab/>
      </w:r>
      <w:r>
        <w:tab/>
      </w:r>
      <w:r>
        <w:rPr>
          <w:sz w:val="22"/>
          <w:szCs w:val="22"/>
        </w:rPr>
        <w:t xml:space="preserve">The owner of a lot must — </w:t>
      </w:r>
    </w:p>
    <w:p>
      <w:pPr>
        <w:pStyle w:val="BlankClose"/>
      </w:pPr>
    </w:p>
    <w:p>
      <w:pPr>
        <w:pStyle w:val="nzIndenta"/>
      </w:pPr>
      <w:r>
        <w:tab/>
        <w:t>(b)</w:t>
      </w:r>
      <w:r>
        <w:tab/>
        <w:t>in paragraph (a) delete “</w:t>
      </w:r>
      <w:r>
        <w:rPr>
          <w:sz w:val="22"/>
        </w:rPr>
        <w:t>forthwith</w:t>
      </w:r>
      <w:r>
        <w:t>” and insert:</w:t>
      </w:r>
    </w:p>
    <w:p>
      <w:pPr>
        <w:pStyle w:val="BlankOpen"/>
      </w:pPr>
    </w:p>
    <w:p>
      <w:pPr>
        <w:pStyle w:val="nzIndenta"/>
      </w:pPr>
      <w:r>
        <w:tab/>
      </w:r>
      <w:r>
        <w:tab/>
      </w:r>
      <w:r>
        <w:rPr>
          <w:sz w:val="22"/>
        </w:rPr>
        <w:t xml:space="preserve">immediately </w:t>
      </w:r>
    </w:p>
    <w:p>
      <w:pPr>
        <w:pStyle w:val="BlankClose"/>
      </w:pPr>
    </w:p>
    <w:p>
      <w:pPr>
        <w:pStyle w:val="nzIndenta"/>
      </w:pPr>
      <w:r>
        <w:tab/>
        <w:t>(c)</w:t>
      </w:r>
      <w:r>
        <w:tab/>
        <w:t>in paragraph (a) delete “</w:t>
      </w:r>
      <w:r>
        <w:rPr>
          <w:sz w:val="22"/>
        </w:rPr>
        <w:t>by any competent public authority or local government</w:t>
      </w:r>
      <w:r>
        <w:t>” and insert:</w:t>
      </w:r>
    </w:p>
    <w:p>
      <w:pPr>
        <w:pStyle w:val="BlankOpen"/>
      </w:pPr>
    </w:p>
    <w:p>
      <w:pPr>
        <w:pStyle w:val="nzIndenta"/>
      </w:pPr>
      <w:r>
        <w:tab/>
      </w:r>
      <w:r>
        <w:tab/>
      </w:r>
      <w:r>
        <w:rPr>
          <w:sz w:val="22"/>
        </w:rPr>
        <w:t>under a written law</w:t>
      </w:r>
    </w:p>
    <w:p>
      <w:pPr>
        <w:pStyle w:val="BlankClose"/>
      </w:pPr>
    </w:p>
    <w:p>
      <w:pPr>
        <w:pStyle w:val="nzIndenta"/>
      </w:pPr>
      <w:r>
        <w:tab/>
        <w:t>(d)</w:t>
      </w:r>
      <w:r>
        <w:tab/>
        <w:t>in paragraph (a) delete “</w:t>
      </w:r>
      <w:r>
        <w:rPr>
          <w:sz w:val="22"/>
        </w:rPr>
        <w:t>his</w:t>
      </w:r>
      <w:r>
        <w:t>” (each occurrence) and insert:</w:t>
      </w:r>
    </w:p>
    <w:p>
      <w:pPr>
        <w:pStyle w:val="BlankOpen"/>
      </w:pPr>
    </w:p>
    <w:p>
      <w:pPr>
        <w:pStyle w:val="nzIndenta"/>
      </w:pPr>
      <w:r>
        <w:tab/>
      </w:r>
      <w:r>
        <w:tab/>
      </w:r>
      <w:r>
        <w:rPr>
          <w:sz w:val="22"/>
        </w:rPr>
        <w:t xml:space="preserve">the </w:t>
      </w:r>
    </w:p>
    <w:p>
      <w:pPr>
        <w:pStyle w:val="BlankClose"/>
      </w:pPr>
    </w:p>
    <w:p>
      <w:pPr>
        <w:pStyle w:val="nzIndenta"/>
      </w:pPr>
      <w:r>
        <w:tab/>
        <w:t>(e)</w:t>
      </w:r>
      <w:r>
        <w:tab/>
        <w:t>in paragraph (b) delete “</w:t>
      </w:r>
      <w:r>
        <w:rPr>
          <w:sz w:val="22"/>
          <w:szCs w:val="22"/>
        </w:rPr>
        <w:t xml:space="preserve">repair </w:t>
      </w:r>
      <w:r>
        <w:rPr>
          <w:sz w:val="22"/>
        </w:rPr>
        <w:t>and maintain his</w:t>
      </w:r>
      <w:r>
        <w:t>” and insert:</w:t>
      </w:r>
    </w:p>
    <w:p>
      <w:pPr>
        <w:pStyle w:val="BlankOpen"/>
      </w:pPr>
    </w:p>
    <w:p>
      <w:pPr>
        <w:pStyle w:val="nzIndenta"/>
      </w:pPr>
      <w:r>
        <w:tab/>
      </w:r>
      <w:r>
        <w:tab/>
      </w:r>
      <w:r>
        <w:rPr>
          <w:sz w:val="22"/>
        </w:rPr>
        <w:t>maintain and repair the</w:t>
      </w:r>
    </w:p>
    <w:p>
      <w:pPr>
        <w:pStyle w:val="BlankClose"/>
      </w:pPr>
    </w:p>
    <w:p>
      <w:pPr>
        <w:pStyle w:val="nzIndenta"/>
      </w:pPr>
      <w:r>
        <w:tab/>
        <w:t>(f)</w:t>
      </w:r>
      <w:r>
        <w:tab/>
        <w:t>in paragraph (b) delete “</w:t>
      </w:r>
      <w:r>
        <w:rPr>
          <w:sz w:val="22"/>
          <w:szCs w:val="22"/>
        </w:rPr>
        <w:t>repair,” and insert:</w:t>
      </w:r>
    </w:p>
    <w:p>
      <w:pPr>
        <w:pStyle w:val="BlankOpen"/>
      </w:pPr>
    </w:p>
    <w:p>
      <w:pPr>
        <w:pStyle w:val="nzIndenta"/>
      </w:pPr>
      <w:r>
        <w:tab/>
      </w:r>
      <w:r>
        <w:tab/>
      </w:r>
      <w:r>
        <w:rPr>
          <w:sz w:val="22"/>
        </w:rPr>
        <w:t>condition,</w:t>
      </w:r>
    </w:p>
    <w:p>
      <w:pPr>
        <w:pStyle w:val="BlankClose"/>
      </w:pPr>
    </w:p>
    <w:p>
      <w:pPr>
        <w:pStyle w:val="nzSubsection"/>
      </w:pPr>
      <w:r>
        <w:tab/>
        <w:t>(2)</w:t>
      </w:r>
      <w:r>
        <w:tab/>
        <w:t>In Schedule 1 by</w:t>
      </w:r>
      <w:r>
        <w:noBreakHyphen/>
        <w:t>law 1(1a):</w:t>
      </w:r>
    </w:p>
    <w:p>
      <w:pPr>
        <w:pStyle w:val="nzIndenta"/>
      </w:pPr>
      <w:r>
        <w:tab/>
        <w:t>(a)</w:t>
      </w:r>
      <w:r>
        <w:tab/>
        <w:t>renumber sub</w:t>
      </w:r>
      <w:r>
        <w:noBreakHyphen/>
        <w:t>bylaw (1a) as sub</w:t>
      </w:r>
      <w:r>
        <w:noBreakHyphen/>
        <w:t>bylaw (1A);</w:t>
      </w:r>
    </w:p>
    <w:p>
      <w:pPr>
        <w:pStyle w:val="nzIndenta"/>
      </w:pPr>
      <w:r>
        <w:tab/>
        <w:t>(b)</w:t>
      </w:r>
      <w:r>
        <w:tab/>
        <w:t>delete “</w:t>
      </w:r>
      <w:r>
        <w:rPr>
          <w:sz w:val="22"/>
        </w:rPr>
        <w:t>A proprietor shall —</w:t>
      </w:r>
      <w:r>
        <w:t>” and insert:</w:t>
      </w:r>
    </w:p>
    <w:p>
      <w:pPr>
        <w:pStyle w:val="BlankOpen"/>
      </w:pPr>
    </w:p>
    <w:p>
      <w:pPr>
        <w:pStyle w:val="nzIndenta"/>
      </w:pPr>
      <w:r>
        <w:tab/>
      </w:r>
      <w:r>
        <w:tab/>
      </w:r>
      <w:r>
        <w:rPr>
          <w:sz w:val="22"/>
          <w:szCs w:val="22"/>
        </w:rPr>
        <w:t xml:space="preserve">The owner of a lot must — </w:t>
      </w:r>
    </w:p>
    <w:p>
      <w:pPr>
        <w:pStyle w:val="BlankClose"/>
      </w:pPr>
    </w:p>
    <w:p>
      <w:pPr>
        <w:pStyle w:val="nzIndenta"/>
      </w:pPr>
      <w:r>
        <w:tab/>
        <w:t>(c)</w:t>
      </w:r>
      <w:r>
        <w:tab/>
        <w:t>delete paragraph (a) and insert:</w:t>
      </w:r>
    </w:p>
    <w:p>
      <w:pPr>
        <w:pStyle w:val="BlankOpen"/>
      </w:pPr>
    </w:p>
    <w:p>
      <w:pPr>
        <w:pStyle w:val="nzIndenta"/>
      </w:pPr>
      <w:r>
        <w:tab/>
        <w:t>(a)</w:t>
      </w:r>
      <w:r>
        <w:tab/>
        <w:t>notify in writing the strata company immediately on becoming the owner of the lot, including in the notice the owner’s address for service for the purposes of this Act; and</w:t>
      </w:r>
    </w:p>
    <w:p>
      <w:pPr>
        <w:pStyle w:val="BlankClose"/>
      </w:pPr>
    </w:p>
    <w:p>
      <w:pPr>
        <w:pStyle w:val="nzIndenta"/>
      </w:pPr>
      <w:r>
        <w:tab/>
        <w:t>(d)</w:t>
      </w:r>
      <w:r>
        <w:tab/>
        <w:t>in paragraph (b) delete “</w:t>
      </w:r>
      <w:r>
        <w:rPr>
          <w:sz w:val="22"/>
        </w:rPr>
        <w:t>his</w:t>
      </w:r>
      <w:r>
        <w:t>” and insert:</w:t>
      </w:r>
    </w:p>
    <w:p>
      <w:pPr>
        <w:pStyle w:val="BlankOpen"/>
      </w:pPr>
    </w:p>
    <w:p>
      <w:pPr>
        <w:pStyle w:val="nzIndenta"/>
      </w:pPr>
      <w:r>
        <w:tab/>
      </w:r>
      <w:r>
        <w:tab/>
      </w:r>
      <w:r>
        <w:rPr>
          <w:sz w:val="22"/>
        </w:rPr>
        <w:t>the</w:t>
      </w:r>
    </w:p>
    <w:p>
      <w:pPr>
        <w:pStyle w:val="BlankClose"/>
      </w:pPr>
    </w:p>
    <w:p>
      <w:pPr>
        <w:pStyle w:val="nzSubsection"/>
      </w:pPr>
      <w:r>
        <w:tab/>
        <w:t>(3)</w:t>
      </w:r>
      <w:r>
        <w:tab/>
        <w:t>Delete Schedule 1 by</w:t>
      </w:r>
      <w:r>
        <w:noBreakHyphen/>
        <w:t>law 1(2).</w:t>
      </w:r>
    </w:p>
    <w:p>
      <w:pPr>
        <w:pStyle w:val="nzSectAltNote"/>
      </w:pPr>
      <w:r>
        <w:tab/>
        <w:t>Note:</w:t>
      </w:r>
      <w:r>
        <w:tab/>
        <w:t>The heading to amended by</w:t>
      </w:r>
      <w:r>
        <w:noBreakHyphen/>
        <w:t>law 1 is to read:</w:t>
      </w:r>
    </w:p>
    <w:p>
      <w:pPr>
        <w:pStyle w:val="nzSectAltHeading"/>
      </w:pPr>
      <w:r>
        <w:rPr>
          <w:b w:val="0"/>
        </w:rPr>
        <w:tab/>
      </w:r>
      <w:r>
        <w:rPr>
          <w:b w:val="0"/>
        </w:rPr>
        <w:tab/>
      </w:r>
      <w:r>
        <w:t>Duties of owner</w:t>
      </w:r>
    </w:p>
    <w:p>
      <w:pPr>
        <w:pStyle w:val="nzHeading5"/>
      </w:pPr>
      <w:bookmarkStart w:id="1975" w:name="_Toc530474592"/>
      <w:bookmarkStart w:id="1976" w:name="_Toc530475187"/>
      <w:r>
        <w:rPr>
          <w:rStyle w:val="CharSectno"/>
        </w:rPr>
        <w:t>88</w:t>
      </w:r>
      <w:r>
        <w:t>.</w:t>
      </w:r>
      <w:r>
        <w:tab/>
        <w:t>Schedule 1 by</w:t>
      </w:r>
      <w:r>
        <w:noBreakHyphen/>
        <w:t>law 2 deleted</w:t>
      </w:r>
      <w:bookmarkEnd w:id="1975"/>
      <w:bookmarkEnd w:id="1976"/>
    </w:p>
    <w:p>
      <w:pPr>
        <w:pStyle w:val="nzSubsection"/>
      </w:pPr>
      <w:r>
        <w:tab/>
      </w:r>
      <w:r>
        <w:tab/>
        <w:t>Delete Schedule 1 by</w:t>
      </w:r>
      <w:r>
        <w:noBreakHyphen/>
        <w:t>law 2.</w:t>
      </w:r>
    </w:p>
    <w:p>
      <w:pPr>
        <w:pStyle w:val="nzHeading5"/>
      </w:pPr>
      <w:bookmarkStart w:id="1977" w:name="_Toc530474593"/>
      <w:bookmarkStart w:id="1978" w:name="_Toc530475188"/>
      <w:r>
        <w:rPr>
          <w:rStyle w:val="CharSectno"/>
        </w:rPr>
        <w:t>89</w:t>
      </w:r>
      <w:r>
        <w:t>.</w:t>
      </w:r>
      <w:r>
        <w:tab/>
        <w:t>Schedule 1 by</w:t>
      </w:r>
      <w:r>
        <w:noBreakHyphen/>
        <w:t>law 3 amended</w:t>
      </w:r>
      <w:bookmarkEnd w:id="1977"/>
      <w:bookmarkEnd w:id="1978"/>
    </w:p>
    <w:p>
      <w:pPr>
        <w:pStyle w:val="nzSubsection"/>
      </w:pPr>
      <w:r>
        <w:tab/>
        <w:t>(1)</w:t>
      </w:r>
      <w:r>
        <w:tab/>
        <w:t>In Schedule 1 by</w:t>
      </w:r>
      <w:r>
        <w:noBreakHyphen/>
        <w:t>law 3(1):</w:t>
      </w:r>
    </w:p>
    <w:p>
      <w:pPr>
        <w:pStyle w:val="nzIndenta"/>
      </w:pPr>
      <w:r>
        <w:tab/>
        <w:t>(a)</w:t>
      </w:r>
      <w:r>
        <w:tab/>
        <w:t>delete “</w:t>
      </w:r>
      <w:r>
        <w:rPr>
          <w:sz w:val="22"/>
        </w:rPr>
        <w:t>Where</w:t>
      </w:r>
      <w:r>
        <w:t>” and insert:</w:t>
      </w:r>
    </w:p>
    <w:p>
      <w:pPr>
        <w:pStyle w:val="BlankOpen"/>
      </w:pPr>
    </w:p>
    <w:p>
      <w:pPr>
        <w:pStyle w:val="nzIndenta"/>
      </w:pPr>
      <w:r>
        <w:tab/>
      </w:r>
      <w:r>
        <w:tab/>
      </w:r>
      <w:r>
        <w:rPr>
          <w:sz w:val="22"/>
        </w:rPr>
        <w:t>If</w:t>
      </w:r>
    </w:p>
    <w:p>
      <w:pPr>
        <w:pStyle w:val="BlankClose"/>
      </w:pPr>
    </w:p>
    <w:p>
      <w:pPr>
        <w:pStyle w:val="nzIndenta"/>
      </w:pPr>
      <w:r>
        <w:tab/>
        <w:t>(b)</w:t>
      </w:r>
      <w:r>
        <w:tab/>
        <w:t>delete “</w:t>
      </w:r>
      <w:r>
        <w:rPr>
          <w:sz w:val="22"/>
        </w:rPr>
        <w:t>proprietor or other</w:t>
      </w:r>
      <w:r>
        <w:t>” and insert:</w:t>
      </w:r>
    </w:p>
    <w:p>
      <w:pPr>
        <w:pStyle w:val="BlankOpen"/>
      </w:pPr>
    </w:p>
    <w:p>
      <w:pPr>
        <w:pStyle w:val="nzIndenta"/>
      </w:pPr>
      <w:r>
        <w:tab/>
      </w:r>
      <w:r>
        <w:tab/>
      </w:r>
      <w:r>
        <w:rPr>
          <w:sz w:val="22"/>
        </w:rPr>
        <w:t>owner or</w:t>
      </w:r>
    </w:p>
    <w:p>
      <w:pPr>
        <w:pStyle w:val="BlankClose"/>
      </w:pPr>
    </w:p>
    <w:p>
      <w:pPr>
        <w:pStyle w:val="nzIndenta"/>
      </w:pPr>
      <w:r>
        <w:tab/>
        <w:t>(c)</w:t>
      </w:r>
      <w:r>
        <w:tab/>
        <w:t>delete “</w:t>
      </w:r>
      <w:r>
        <w:rPr>
          <w:sz w:val="22"/>
          <w:szCs w:val="22"/>
        </w:rPr>
        <w:t>sub</w:t>
      </w:r>
      <w:r>
        <w:rPr>
          <w:sz w:val="22"/>
          <w:szCs w:val="22"/>
        </w:rPr>
        <w:noBreakHyphen/>
        <w:t>bylaw (2),</w:t>
      </w:r>
      <w:r>
        <w:t>” and insert:</w:t>
      </w:r>
    </w:p>
    <w:p>
      <w:pPr>
        <w:pStyle w:val="BlankOpen"/>
      </w:pPr>
    </w:p>
    <w:p>
      <w:pPr>
        <w:pStyle w:val="nzIndenta"/>
      </w:pPr>
      <w:r>
        <w:tab/>
      </w:r>
      <w:r>
        <w:tab/>
      </w:r>
      <w:r>
        <w:rPr>
          <w:sz w:val="22"/>
          <w:szCs w:val="22"/>
        </w:rPr>
        <w:t>sub</w:t>
      </w:r>
      <w:r>
        <w:rPr>
          <w:sz w:val="22"/>
          <w:szCs w:val="22"/>
        </w:rPr>
        <w:noBreakHyphen/>
        <w:t>bylaw (3),</w:t>
      </w:r>
    </w:p>
    <w:p>
      <w:pPr>
        <w:pStyle w:val="BlankClose"/>
      </w:pPr>
    </w:p>
    <w:p>
      <w:pPr>
        <w:pStyle w:val="nzSubsection"/>
      </w:pPr>
      <w:r>
        <w:tab/>
        <w:t>(2)</w:t>
      </w:r>
      <w:r>
        <w:tab/>
        <w:t>In Schedule 1 by</w:t>
      </w:r>
      <w:r>
        <w:noBreakHyphen/>
        <w:t>law 3(2):</w:t>
      </w:r>
    </w:p>
    <w:p>
      <w:pPr>
        <w:pStyle w:val="nzIndenta"/>
      </w:pPr>
      <w:r>
        <w:tab/>
        <w:t>(a)</w:t>
      </w:r>
      <w:r>
        <w:tab/>
        <w:t>delete “</w:t>
      </w:r>
      <w:r>
        <w:rPr>
          <w:sz w:val="22"/>
        </w:rPr>
        <w:t>shall</w:t>
      </w:r>
      <w:r>
        <w:t>” and insert:</w:t>
      </w:r>
    </w:p>
    <w:p>
      <w:pPr>
        <w:pStyle w:val="BlankOpen"/>
      </w:pPr>
    </w:p>
    <w:p>
      <w:pPr>
        <w:pStyle w:val="nzIndenta"/>
      </w:pPr>
      <w:r>
        <w:tab/>
      </w:r>
      <w:r>
        <w:tab/>
      </w:r>
      <w:r>
        <w:rPr>
          <w:sz w:val="22"/>
        </w:rPr>
        <w:t>must</w:t>
      </w:r>
    </w:p>
    <w:p>
      <w:pPr>
        <w:pStyle w:val="BlankClose"/>
      </w:pPr>
    </w:p>
    <w:p>
      <w:pPr>
        <w:pStyle w:val="nzIndenta"/>
      </w:pPr>
      <w:r>
        <w:tab/>
        <w:t>(b)</w:t>
      </w:r>
      <w:r>
        <w:tab/>
        <w:t>delete “</w:t>
      </w:r>
      <w:r>
        <w:rPr>
          <w:sz w:val="22"/>
          <w:szCs w:val="22"/>
        </w:rPr>
        <w:t xml:space="preserve">account </w:t>
      </w:r>
      <w:r>
        <w:rPr>
          <w:sz w:val="22"/>
        </w:rPr>
        <w:t>with an ADI (authorised deposit</w:t>
      </w:r>
      <w:r>
        <w:rPr>
          <w:sz w:val="22"/>
        </w:rPr>
        <w:noBreakHyphen/>
        <w:t xml:space="preserve">taking institution) as defined in section 5 of the </w:t>
      </w:r>
      <w:r>
        <w:rPr>
          <w:i/>
          <w:sz w:val="22"/>
        </w:rPr>
        <w:t>Banking Act 1959</w:t>
      </w:r>
      <w:r>
        <w:rPr>
          <w:sz w:val="22"/>
        </w:rPr>
        <w:t xml:space="preserve"> of the Commonwealth</w:t>
      </w:r>
      <w:r>
        <w:t>” and insert:</w:t>
      </w:r>
    </w:p>
    <w:p>
      <w:pPr>
        <w:pStyle w:val="BlankOpen"/>
      </w:pPr>
    </w:p>
    <w:p>
      <w:pPr>
        <w:pStyle w:val="nzIndenta"/>
      </w:pPr>
      <w:r>
        <w:tab/>
      </w:r>
      <w:r>
        <w:tab/>
      </w:r>
      <w:r>
        <w:rPr>
          <w:sz w:val="22"/>
        </w:rPr>
        <w:t>ADI account</w:t>
      </w:r>
    </w:p>
    <w:p>
      <w:pPr>
        <w:pStyle w:val="BlankClose"/>
      </w:pPr>
    </w:p>
    <w:p>
      <w:pPr>
        <w:pStyle w:val="nzIndenta"/>
      </w:pPr>
      <w:r>
        <w:tab/>
        <w:t>(c)</w:t>
      </w:r>
      <w:r>
        <w:tab/>
        <w:t>delete “</w:t>
      </w:r>
      <w:r>
        <w:rPr>
          <w:sz w:val="22"/>
        </w:rPr>
        <w:t>shall,</w:t>
      </w:r>
      <w:r>
        <w:t>” and insert:</w:t>
      </w:r>
    </w:p>
    <w:p>
      <w:pPr>
        <w:pStyle w:val="BlankOpen"/>
      </w:pPr>
    </w:p>
    <w:p>
      <w:pPr>
        <w:pStyle w:val="nzIndenta"/>
      </w:pPr>
      <w:r>
        <w:tab/>
      </w:r>
      <w:r>
        <w:tab/>
      </w:r>
      <w:r>
        <w:rPr>
          <w:sz w:val="22"/>
        </w:rPr>
        <w:t>must,</w:t>
      </w:r>
    </w:p>
    <w:p>
      <w:pPr>
        <w:pStyle w:val="BlankClose"/>
      </w:pPr>
    </w:p>
    <w:p>
      <w:pPr>
        <w:pStyle w:val="nzIndenta"/>
      </w:pPr>
      <w:r>
        <w:tab/>
        <w:t>(d)</w:t>
      </w:r>
      <w:r>
        <w:tab/>
        <w:t>delete “</w:t>
      </w:r>
      <w:r>
        <w:rPr>
          <w:sz w:val="22"/>
        </w:rPr>
        <w:t>proprietor</w:t>
      </w:r>
      <w:r>
        <w:t>” and insert:</w:t>
      </w:r>
    </w:p>
    <w:p>
      <w:pPr>
        <w:pStyle w:val="BlankOpen"/>
      </w:pPr>
    </w:p>
    <w:p>
      <w:pPr>
        <w:pStyle w:val="nzIndenta"/>
      </w:pPr>
      <w:r>
        <w:tab/>
      </w:r>
      <w:r>
        <w:tab/>
      </w:r>
      <w:r>
        <w:rPr>
          <w:sz w:val="22"/>
        </w:rPr>
        <w:t>owner</w:t>
      </w:r>
    </w:p>
    <w:p>
      <w:pPr>
        <w:pStyle w:val="BlankClose"/>
      </w:pPr>
    </w:p>
    <w:p>
      <w:pPr>
        <w:pStyle w:val="nzSubsection"/>
      </w:pPr>
      <w:r>
        <w:tab/>
        <w:t>(3)</w:t>
      </w:r>
      <w:r>
        <w:tab/>
        <w:t>In Schedule 1 by</w:t>
      </w:r>
      <w:r>
        <w:noBreakHyphen/>
        <w:t>law 3(3):</w:t>
      </w:r>
    </w:p>
    <w:p>
      <w:pPr>
        <w:pStyle w:val="nzIndenta"/>
      </w:pPr>
      <w:r>
        <w:tab/>
        <w:t>(a)</w:t>
      </w:r>
      <w:r>
        <w:tab/>
        <w:t>delete “</w:t>
      </w:r>
      <w:r>
        <w:rPr>
          <w:sz w:val="22"/>
        </w:rPr>
        <w:t>proprietor or other</w:t>
      </w:r>
      <w:r>
        <w:t>” and insert:</w:t>
      </w:r>
    </w:p>
    <w:p>
      <w:pPr>
        <w:pStyle w:val="BlankOpen"/>
      </w:pPr>
    </w:p>
    <w:p>
      <w:pPr>
        <w:pStyle w:val="nzIndenta"/>
      </w:pPr>
      <w:r>
        <w:tab/>
      </w:r>
      <w:r>
        <w:tab/>
      </w:r>
      <w:r>
        <w:rPr>
          <w:sz w:val="22"/>
        </w:rPr>
        <w:t>owner or</w:t>
      </w:r>
    </w:p>
    <w:p>
      <w:pPr>
        <w:pStyle w:val="BlankClose"/>
      </w:pPr>
    </w:p>
    <w:p>
      <w:pPr>
        <w:pStyle w:val="nzIndenta"/>
      </w:pPr>
      <w:r>
        <w:tab/>
        <w:t>(b)</w:t>
      </w:r>
      <w:r>
        <w:tab/>
        <w:t>delete “</w:t>
      </w:r>
      <w:r>
        <w:rPr>
          <w:sz w:val="22"/>
        </w:rPr>
        <w:t>proprietor</w:t>
      </w:r>
      <w:r>
        <w:t>” and insert;</w:t>
      </w:r>
    </w:p>
    <w:p>
      <w:pPr>
        <w:pStyle w:val="BlankOpen"/>
      </w:pPr>
    </w:p>
    <w:p>
      <w:pPr>
        <w:pStyle w:val="nzIndenta"/>
      </w:pPr>
      <w:r>
        <w:tab/>
      </w:r>
      <w:r>
        <w:tab/>
      </w:r>
      <w:r>
        <w:rPr>
          <w:sz w:val="22"/>
        </w:rPr>
        <w:t>owner</w:t>
      </w:r>
    </w:p>
    <w:p>
      <w:pPr>
        <w:pStyle w:val="BlankClose"/>
      </w:pPr>
    </w:p>
    <w:p>
      <w:pPr>
        <w:pStyle w:val="nzSubsection"/>
      </w:pPr>
      <w:r>
        <w:tab/>
        <w:t>(4)</w:t>
      </w:r>
      <w:r>
        <w:tab/>
        <w:t>In Schedule 1 by</w:t>
      </w:r>
      <w:r>
        <w:noBreakHyphen/>
        <w:t>law 3(4):</w:t>
      </w:r>
    </w:p>
    <w:p>
      <w:pPr>
        <w:pStyle w:val="nzIndenta"/>
      </w:pPr>
      <w:r>
        <w:tab/>
        <w:t>(a)</w:t>
      </w:r>
      <w:r>
        <w:tab/>
        <w:t>delete “</w:t>
      </w:r>
      <w:r>
        <w:rPr>
          <w:sz w:val="22"/>
        </w:rPr>
        <w:t>Where</w:t>
      </w:r>
      <w:r>
        <w:t>” and insert:</w:t>
      </w:r>
    </w:p>
    <w:p>
      <w:pPr>
        <w:pStyle w:val="BlankOpen"/>
      </w:pPr>
    </w:p>
    <w:p>
      <w:pPr>
        <w:pStyle w:val="nzIndenta"/>
      </w:pPr>
      <w:r>
        <w:tab/>
      </w:r>
      <w:r>
        <w:tab/>
      </w:r>
      <w:r>
        <w:rPr>
          <w:sz w:val="22"/>
        </w:rPr>
        <w:t>If</w:t>
      </w:r>
    </w:p>
    <w:p>
      <w:pPr>
        <w:pStyle w:val="BlankClose"/>
      </w:pPr>
    </w:p>
    <w:p>
      <w:pPr>
        <w:pStyle w:val="nzIndenta"/>
      </w:pPr>
      <w:r>
        <w:tab/>
        <w:t>(b)</w:t>
      </w:r>
      <w:r>
        <w:tab/>
        <w:t>delete “</w:t>
      </w:r>
      <w:r>
        <w:rPr>
          <w:sz w:val="22"/>
        </w:rPr>
        <w:t xml:space="preserve">he </w:t>
      </w:r>
      <w:r>
        <w:rPr>
          <w:snapToGrid w:val="0"/>
          <w:sz w:val="22"/>
          <w:szCs w:val="22"/>
        </w:rPr>
        <w:t>is no longer the</w:t>
      </w:r>
      <w:r>
        <w:t xml:space="preserve"> </w:t>
      </w:r>
      <w:r>
        <w:rPr>
          <w:sz w:val="22"/>
        </w:rPr>
        <w:t>proprietor</w:t>
      </w:r>
      <w:r>
        <w:t>” and insert:</w:t>
      </w:r>
    </w:p>
    <w:p>
      <w:pPr>
        <w:pStyle w:val="BlankOpen"/>
      </w:pPr>
    </w:p>
    <w:p>
      <w:pPr>
        <w:pStyle w:val="nzIndenta"/>
      </w:pPr>
      <w:r>
        <w:tab/>
      </w:r>
      <w:r>
        <w:tab/>
      </w:r>
      <w:r>
        <w:rPr>
          <w:sz w:val="22"/>
          <w:szCs w:val="22"/>
        </w:rPr>
        <w:t xml:space="preserve">the person </w:t>
      </w:r>
      <w:r>
        <w:rPr>
          <w:sz w:val="22"/>
        </w:rPr>
        <w:t>is no longer the owner</w:t>
      </w:r>
    </w:p>
    <w:p>
      <w:pPr>
        <w:pStyle w:val="BlankClose"/>
      </w:pPr>
    </w:p>
    <w:p>
      <w:pPr>
        <w:pStyle w:val="nzIndenta"/>
      </w:pPr>
      <w:r>
        <w:tab/>
        <w:t>(c)</w:t>
      </w:r>
      <w:r>
        <w:tab/>
        <w:t>delete “</w:t>
      </w:r>
      <w:r>
        <w:rPr>
          <w:sz w:val="22"/>
          <w:szCs w:val="22"/>
        </w:rPr>
        <w:t>a</w:t>
      </w:r>
      <w:r>
        <w:t xml:space="preserve"> </w:t>
      </w:r>
      <w:r>
        <w:rPr>
          <w:sz w:val="22"/>
        </w:rPr>
        <w:t>proprietor</w:t>
      </w:r>
      <w:r>
        <w:t>” and insert;</w:t>
      </w:r>
    </w:p>
    <w:p>
      <w:pPr>
        <w:pStyle w:val="BlankOpen"/>
      </w:pPr>
    </w:p>
    <w:p>
      <w:pPr>
        <w:pStyle w:val="nzIndenta"/>
      </w:pPr>
      <w:r>
        <w:tab/>
      </w:r>
      <w:r>
        <w:tab/>
      </w:r>
      <w:r>
        <w:rPr>
          <w:sz w:val="22"/>
          <w:szCs w:val="22"/>
        </w:rPr>
        <w:t>an</w:t>
      </w:r>
      <w:r>
        <w:rPr>
          <w:sz w:val="22"/>
        </w:rPr>
        <w:t xml:space="preserve"> owner</w:t>
      </w:r>
    </w:p>
    <w:p>
      <w:pPr>
        <w:pStyle w:val="BlankClose"/>
      </w:pPr>
    </w:p>
    <w:p>
      <w:pPr>
        <w:pStyle w:val="nzIndenta"/>
      </w:pPr>
      <w:r>
        <w:tab/>
        <w:t>(d)</w:t>
      </w:r>
      <w:r>
        <w:tab/>
        <w:t>delete “</w:t>
      </w:r>
      <w:r>
        <w:rPr>
          <w:sz w:val="22"/>
        </w:rPr>
        <w:t>shall</w:t>
      </w:r>
      <w:r>
        <w:t>” and insert:</w:t>
      </w:r>
    </w:p>
    <w:p>
      <w:pPr>
        <w:pStyle w:val="BlankOpen"/>
      </w:pPr>
    </w:p>
    <w:p>
      <w:pPr>
        <w:pStyle w:val="nzIndenta"/>
      </w:pPr>
      <w:r>
        <w:tab/>
      </w:r>
      <w:r>
        <w:tab/>
      </w:r>
      <w:r>
        <w:rPr>
          <w:sz w:val="22"/>
        </w:rPr>
        <w:t>must</w:t>
      </w:r>
    </w:p>
    <w:p>
      <w:pPr>
        <w:pStyle w:val="BlankClose"/>
      </w:pPr>
    </w:p>
    <w:p>
      <w:pPr>
        <w:pStyle w:val="nzIndenta"/>
      </w:pPr>
      <w:r>
        <w:tab/>
        <w:t>(e)</w:t>
      </w:r>
      <w:r>
        <w:tab/>
        <w:t>delete “</w:t>
      </w:r>
      <w:r>
        <w:rPr>
          <w:sz w:val="22"/>
          <w:szCs w:val="22"/>
        </w:rPr>
        <w:t>his</w:t>
      </w:r>
      <w:r>
        <w:t>” and insert:</w:t>
      </w:r>
    </w:p>
    <w:p>
      <w:pPr>
        <w:pStyle w:val="BlankOpen"/>
      </w:pPr>
    </w:p>
    <w:p>
      <w:pPr>
        <w:pStyle w:val="nzIndenta"/>
      </w:pPr>
      <w:r>
        <w:tab/>
      </w:r>
      <w:r>
        <w:tab/>
      </w:r>
      <w:r>
        <w:rPr>
          <w:sz w:val="22"/>
        </w:rPr>
        <w:t>the person’s</w:t>
      </w:r>
    </w:p>
    <w:p>
      <w:pPr>
        <w:pStyle w:val="BlankClose"/>
      </w:pPr>
    </w:p>
    <w:p>
      <w:pPr>
        <w:pStyle w:val="nzHeading5"/>
      </w:pPr>
      <w:bookmarkStart w:id="1979" w:name="_Toc530474594"/>
      <w:bookmarkStart w:id="1980" w:name="_Toc530475189"/>
      <w:r>
        <w:rPr>
          <w:rStyle w:val="CharSectno"/>
        </w:rPr>
        <w:t>90</w:t>
      </w:r>
      <w:r>
        <w:t>.</w:t>
      </w:r>
      <w:r>
        <w:tab/>
        <w:t>Schedule 1 by</w:t>
      </w:r>
      <w:r>
        <w:noBreakHyphen/>
        <w:t>law 4 amended</w:t>
      </w:r>
      <w:bookmarkEnd w:id="1979"/>
      <w:bookmarkEnd w:id="1980"/>
    </w:p>
    <w:p>
      <w:pPr>
        <w:pStyle w:val="nzSubsection"/>
      </w:pPr>
      <w:r>
        <w:tab/>
        <w:t>(1)</w:t>
      </w:r>
      <w:r>
        <w:tab/>
        <w:t>In Schedule 1 by</w:t>
      </w:r>
      <w:r>
        <w:noBreakHyphen/>
        <w:t>law 4(1):</w:t>
      </w:r>
    </w:p>
    <w:p>
      <w:pPr>
        <w:pStyle w:val="nzIndenta"/>
      </w:pPr>
      <w:r>
        <w:tab/>
        <w:t>(a)</w:t>
      </w:r>
      <w:r>
        <w:tab/>
        <w:t>delete “</w:t>
      </w:r>
      <w:r>
        <w:rPr>
          <w:sz w:val="22"/>
          <w:szCs w:val="22"/>
        </w:rPr>
        <w:t>shall,</w:t>
      </w:r>
      <w:r>
        <w:t>” and insert:</w:t>
      </w:r>
    </w:p>
    <w:p>
      <w:pPr>
        <w:pStyle w:val="BlankOpen"/>
      </w:pPr>
    </w:p>
    <w:p>
      <w:pPr>
        <w:pStyle w:val="nzIndenta"/>
      </w:pPr>
      <w:r>
        <w:tab/>
      </w:r>
      <w:r>
        <w:tab/>
      </w:r>
      <w:r>
        <w:rPr>
          <w:sz w:val="22"/>
        </w:rPr>
        <w:t>must,</w:t>
      </w:r>
    </w:p>
    <w:p>
      <w:pPr>
        <w:pStyle w:val="BlankClose"/>
      </w:pPr>
    </w:p>
    <w:p>
      <w:pPr>
        <w:pStyle w:val="nzIndenta"/>
      </w:pPr>
      <w:r>
        <w:tab/>
        <w:t>(b)</w:t>
      </w:r>
      <w:r>
        <w:tab/>
        <w:t>delete “</w:t>
      </w:r>
      <w:r>
        <w:rPr>
          <w:sz w:val="22"/>
          <w:szCs w:val="22"/>
        </w:rPr>
        <w:t>shall be</w:t>
      </w:r>
      <w:r>
        <w:t>” and insert:</w:t>
      </w:r>
    </w:p>
    <w:p>
      <w:pPr>
        <w:pStyle w:val="BlankOpen"/>
      </w:pPr>
    </w:p>
    <w:p>
      <w:pPr>
        <w:pStyle w:val="nzIndenta"/>
      </w:pPr>
      <w:r>
        <w:tab/>
      </w:r>
      <w:r>
        <w:tab/>
      </w:r>
      <w:r>
        <w:rPr>
          <w:sz w:val="22"/>
          <w:szCs w:val="22"/>
        </w:rPr>
        <w:t>i</w:t>
      </w:r>
      <w:r>
        <w:rPr>
          <w:sz w:val="22"/>
        </w:rPr>
        <w:t>s</w:t>
      </w:r>
    </w:p>
    <w:p>
      <w:pPr>
        <w:pStyle w:val="BlankClose"/>
      </w:pPr>
    </w:p>
    <w:p>
      <w:pPr>
        <w:pStyle w:val="nzSubsection"/>
      </w:pPr>
      <w:r>
        <w:tab/>
        <w:t>(2)</w:t>
      </w:r>
      <w:r>
        <w:tab/>
        <w:t>In Schedule 1 by</w:t>
      </w:r>
      <w:r>
        <w:noBreakHyphen/>
        <w:t>law 4(2) delete “</w:t>
      </w:r>
      <w:r>
        <w:rPr>
          <w:sz w:val="22"/>
        </w:rPr>
        <w:t>proprietor of all the lots shall</w:t>
      </w:r>
      <w:r>
        <w:t>” and insert:</w:t>
      </w:r>
    </w:p>
    <w:p>
      <w:pPr>
        <w:pStyle w:val="BlankOpen"/>
      </w:pPr>
    </w:p>
    <w:p>
      <w:pPr>
        <w:pStyle w:val="nzSubsection"/>
      </w:pPr>
      <w:r>
        <w:tab/>
      </w:r>
      <w:r>
        <w:tab/>
      </w:r>
      <w:r>
        <w:rPr>
          <w:sz w:val="22"/>
        </w:rPr>
        <w:t>owners of all the lots</w:t>
      </w:r>
    </w:p>
    <w:p>
      <w:pPr>
        <w:pStyle w:val="BlankClose"/>
      </w:pPr>
    </w:p>
    <w:p>
      <w:pPr>
        <w:pStyle w:val="nzSubsection"/>
      </w:pPr>
      <w:r>
        <w:tab/>
        <w:t>(3)</w:t>
      </w:r>
      <w:r>
        <w:tab/>
        <w:t>Delete Schedule 1 by</w:t>
      </w:r>
      <w:r>
        <w:noBreakHyphen/>
        <w:t>law 4(3) and insert:</w:t>
      </w:r>
    </w:p>
    <w:p>
      <w:pPr>
        <w:pStyle w:val="BlankOpen"/>
      </w:pPr>
    </w:p>
    <w:p>
      <w:pPr>
        <w:pStyle w:val="nz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BlankClose"/>
      </w:pPr>
    </w:p>
    <w:p>
      <w:pPr>
        <w:pStyle w:val="nzSubsection"/>
      </w:pPr>
      <w:r>
        <w:tab/>
        <w:t>(4)</w:t>
      </w:r>
      <w:r>
        <w:tab/>
        <w:t>In Schedule 1 by</w:t>
      </w:r>
      <w:r>
        <w:noBreakHyphen/>
        <w:t>law 4(4):</w:t>
      </w:r>
    </w:p>
    <w:p>
      <w:pPr>
        <w:pStyle w:val="nzIndenta"/>
      </w:pPr>
      <w:r>
        <w:tab/>
        <w:t>(a)</w:t>
      </w:r>
      <w:r>
        <w:tab/>
        <w:t>delete “</w:t>
      </w:r>
      <w:r>
        <w:rPr>
          <w:sz w:val="22"/>
        </w:rPr>
        <w:t>Where</w:t>
      </w:r>
      <w:r>
        <w:t>” and insert:</w:t>
      </w:r>
    </w:p>
    <w:p>
      <w:pPr>
        <w:pStyle w:val="BlankOpen"/>
      </w:pPr>
    </w:p>
    <w:p>
      <w:pPr>
        <w:pStyle w:val="nzIndenta"/>
      </w:pPr>
      <w:r>
        <w:tab/>
      </w:r>
      <w:r>
        <w:tab/>
      </w:r>
      <w:r>
        <w:rPr>
          <w:sz w:val="22"/>
        </w:rPr>
        <w:t>If</w:t>
      </w:r>
    </w:p>
    <w:p>
      <w:pPr>
        <w:pStyle w:val="BlankClose"/>
      </w:pPr>
    </w:p>
    <w:p>
      <w:pPr>
        <w:pStyle w:val="nzIndenta"/>
      </w:pPr>
      <w:r>
        <w:tab/>
        <w:t>(b)</w:t>
      </w:r>
      <w:r>
        <w:tab/>
        <w:t>delete “</w:t>
      </w:r>
      <w:r>
        <w:rPr>
          <w:sz w:val="22"/>
        </w:rPr>
        <w:t>proprietors</w:t>
      </w:r>
      <w:r>
        <w:t>” and insert:</w:t>
      </w:r>
    </w:p>
    <w:p>
      <w:pPr>
        <w:pStyle w:val="BlankOpen"/>
      </w:pPr>
    </w:p>
    <w:p>
      <w:pPr>
        <w:pStyle w:val="nzIndenta"/>
      </w:pPr>
      <w:r>
        <w:tab/>
      </w:r>
      <w:r>
        <w:tab/>
      </w:r>
      <w:r>
        <w:rPr>
          <w:sz w:val="22"/>
          <w:szCs w:val="22"/>
        </w:rPr>
        <w:t>lots in the scheme,</w:t>
      </w:r>
    </w:p>
    <w:p>
      <w:pPr>
        <w:pStyle w:val="BlankClose"/>
      </w:pPr>
    </w:p>
    <w:p>
      <w:pPr>
        <w:pStyle w:val="nzIndenta"/>
      </w:pPr>
      <w:r>
        <w:tab/>
        <w:t>(c)</w:t>
      </w:r>
      <w:r>
        <w:tab/>
        <w:t>delete “</w:t>
      </w:r>
      <w:r>
        <w:rPr>
          <w:sz w:val="22"/>
        </w:rPr>
        <w:t>shall</w:t>
      </w:r>
      <w:r>
        <w:t>” and insert:</w:t>
      </w:r>
    </w:p>
    <w:p>
      <w:pPr>
        <w:pStyle w:val="BlankOpen"/>
      </w:pPr>
    </w:p>
    <w:p>
      <w:pPr>
        <w:pStyle w:val="nzIndenta"/>
      </w:pPr>
      <w:r>
        <w:tab/>
      </w:r>
      <w:r>
        <w:tab/>
      </w:r>
      <w:r>
        <w:rPr>
          <w:sz w:val="22"/>
        </w:rPr>
        <w:t>must</w:t>
      </w:r>
    </w:p>
    <w:p>
      <w:pPr>
        <w:pStyle w:val="BlankClose"/>
      </w:pPr>
    </w:p>
    <w:p>
      <w:pPr>
        <w:pStyle w:val="nzIndenta"/>
      </w:pPr>
      <w:r>
        <w:tab/>
        <w:t>(d)</w:t>
      </w:r>
      <w:r>
        <w:tab/>
        <w:t>delete “</w:t>
      </w:r>
      <w:r>
        <w:rPr>
          <w:sz w:val="22"/>
        </w:rPr>
        <w:t>proprietors</w:t>
      </w:r>
      <w:r>
        <w:t>” and insert:</w:t>
      </w:r>
    </w:p>
    <w:p>
      <w:pPr>
        <w:pStyle w:val="BlankOpen"/>
      </w:pPr>
    </w:p>
    <w:p>
      <w:pPr>
        <w:pStyle w:val="nzIndenta"/>
      </w:pPr>
      <w:r>
        <w:tab/>
      </w:r>
      <w:r>
        <w:tab/>
      </w:r>
      <w:r>
        <w:rPr>
          <w:sz w:val="22"/>
          <w:szCs w:val="22"/>
        </w:rPr>
        <w:t>lots in the scheme</w:t>
      </w:r>
    </w:p>
    <w:p>
      <w:pPr>
        <w:pStyle w:val="BlankClose"/>
      </w:pPr>
    </w:p>
    <w:p>
      <w:pPr>
        <w:pStyle w:val="nzSubsection"/>
      </w:pPr>
      <w:r>
        <w:tab/>
        <w:t>(5)</w:t>
      </w:r>
      <w:r>
        <w:tab/>
        <w:t>Delete Schedule 1 by</w:t>
      </w:r>
      <w:r>
        <w:noBreakHyphen/>
        <w:t>law 4(5), (6) and (7) and insert:</w:t>
      </w:r>
    </w:p>
    <w:p>
      <w:pPr>
        <w:pStyle w:val="BlankOpen"/>
      </w:pPr>
    </w:p>
    <w:p>
      <w:pPr>
        <w:pStyle w:val="nz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BlankClose"/>
      </w:pPr>
    </w:p>
    <w:p>
      <w:pPr>
        <w:pStyle w:val="nzSubsection"/>
      </w:pPr>
      <w:r>
        <w:tab/>
        <w:t>(6)</w:t>
      </w:r>
      <w:r>
        <w:tab/>
        <w:t>In Schedule 1 by</w:t>
      </w:r>
      <w:r>
        <w:noBreakHyphen/>
        <w:t>law 4(8):</w:t>
      </w:r>
    </w:p>
    <w:p>
      <w:pPr>
        <w:pStyle w:val="nzIndenta"/>
      </w:pPr>
      <w:r>
        <w:tab/>
        <w:t>(a)</w:t>
      </w:r>
      <w:r>
        <w:tab/>
        <w:t>delete “w</w:t>
      </w:r>
      <w:r>
        <w:rPr>
          <w:sz w:val="22"/>
        </w:rPr>
        <w:t>here</w:t>
      </w:r>
      <w:r>
        <w:t>” and insert:</w:t>
      </w:r>
    </w:p>
    <w:p>
      <w:pPr>
        <w:pStyle w:val="BlankOpen"/>
      </w:pPr>
    </w:p>
    <w:p>
      <w:pPr>
        <w:pStyle w:val="nzIndenta"/>
      </w:pPr>
      <w:r>
        <w:tab/>
      </w:r>
      <w:r>
        <w:tab/>
      </w:r>
      <w:r>
        <w:rPr>
          <w:sz w:val="22"/>
          <w:szCs w:val="22"/>
        </w:rPr>
        <w:t>i</w:t>
      </w:r>
      <w:r>
        <w:rPr>
          <w:spacing w:val="40"/>
          <w:sz w:val="22"/>
          <w:szCs w:val="22"/>
        </w:rPr>
        <w:t>f</w:t>
      </w:r>
    </w:p>
    <w:p>
      <w:pPr>
        <w:pStyle w:val="BlankClose"/>
      </w:pPr>
    </w:p>
    <w:p>
      <w:pPr>
        <w:pStyle w:val="nzIndenta"/>
      </w:pPr>
      <w:r>
        <w:tab/>
        <w:t>(b)</w:t>
      </w:r>
      <w:r>
        <w:tab/>
        <w:t>delete “</w:t>
      </w:r>
      <w:r>
        <w:rPr>
          <w:sz w:val="22"/>
        </w:rPr>
        <w:t>proprietors,</w:t>
      </w:r>
      <w:r>
        <w:t>” and insert:</w:t>
      </w:r>
    </w:p>
    <w:p>
      <w:pPr>
        <w:pStyle w:val="BlankOpen"/>
      </w:pPr>
    </w:p>
    <w:p>
      <w:pPr>
        <w:pStyle w:val="nzIndenta"/>
      </w:pPr>
      <w:r>
        <w:tab/>
      </w:r>
      <w:r>
        <w:tab/>
      </w:r>
      <w:r>
        <w:rPr>
          <w:sz w:val="22"/>
          <w:szCs w:val="22"/>
        </w:rPr>
        <w:t>owners of lots in the scheme,</w:t>
      </w:r>
    </w:p>
    <w:p>
      <w:pPr>
        <w:pStyle w:val="BlankClose"/>
      </w:pPr>
    </w:p>
    <w:p>
      <w:pPr>
        <w:pStyle w:val="nzIndenta"/>
      </w:pPr>
      <w:r>
        <w:tab/>
        <w:t>(c)</w:t>
      </w:r>
      <w:r>
        <w:tab/>
        <w:t>delete “</w:t>
      </w:r>
      <w:r>
        <w:rPr>
          <w:sz w:val="22"/>
          <w:szCs w:val="22"/>
        </w:rPr>
        <w:t>his</w:t>
      </w:r>
      <w:r>
        <w:t>” and insert:</w:t>
      </w:r>
    </w:p>
    <w:p>
      <w:pPr>
        <w:pStyle w:val="BlankOpen"/>
      </w:pPr>
    </w:p>
    <w:p>
      <w:pPr>
        <w:pStyle w:val="nzIndenta"/>
      </w:pPr>
      <w:r>
        <w:tab/>
      </w:r>
      <w:r>
        <w:tab/>
      </w:r>
      <w:r>
        <w:rPr>
          <w:sz w:val="22"/>
        </w:rPr>
        <w:t>the member’s</w:t>
      </w:r>
    </w:p>
    <w:p>
      <w:pPr>
        <w:pStyle w:val="BlankClose"/>
      </w:pPr>
    </w:p>
    <w:p>
      <w:pPr>
        <w:pStyle w:val="nzSubsection"/>
      </w:pPr>
      <w:r>
        <w:tab/>
        <w:t>(7)</w:t>
      </w:r>
      <w:r>
        <w:tab/>
        <w:t>In Schedule 1 by</w:t>
      </w:r>
      <w:r>
        <w:noBreakHyphen/>
        <w:t>law 4(9):</w:t>
      </w:r>
    </w:p>
    <w:p>
      <w:pPr>
        <w:pStyle w:val="nzIndenta"/>
      </w:pPr>
      <w:r>
        <w:tab/>
        <w:t>(a)</w:t>
      </w:r>
      <w:r>
        <w:tab/>
        <w:t>delete “</w:t>
      </w:r>
      <w:r>
        <w:rPr>
          <w:sz w:val="22"/>
        </w:rPr>
        <w:t>his</w:t>
      </w:r>
      <w:r>
        <w:t>”;</w:t>
      </w:r>
    </w:p>
    <w:p>
      <w:pPr>
        <w:pStyle w:val="nzIndenta"/>
      </w:pPr>
      <w:r>
        <w:tab/>
        <w:t>(b)</w:t>
      </w:r>
      <w:r>
        <w:tab/>
        <w:t>delete paragraphs (a) and (b) and insert:</w:t>
      </w:r>
    </w:p>
    <w:p>
      <w:pPr>
        <w:pStyle w:val="BlankOpen"/>
      </w:pPr>
    </w:p>
    <w:p>
      <w:pPr>
        <w:pStyle w:val="nzIndenta"/>
      </w:pPr>
      <w:r>
        <w:tab/>
        <w:t>(a)</w:t>
      </w:r>
      <w:r>
        <w:tab/>
        <w:t>if the member dies or ceases to be an owner or co</w:t>
      </w:r>
      <w:r>
        <w:noBreakHyphen/>
        <w:t>owner of a lot; or</w:t>
      </w:r>
    </w:p>
    <w:p>
      <w:pPr>
        <w:pStyle w:val="nzIndenta"/>
      </w:pPr>
      <w:r>
        <w:tab/>
        <w:t>(b)</w:t>
      </w:r>
      <w:r>
        <w:tab/>
        <w:t>on receipt by the strata company of a written notice of the member’s resignation from the office of member; or</w:t>
      </w:r>
    </w:p>
    <w:p>
      <w:pPr>
        <w:pStyle w:val="BlankClose"/>
      </w:pPr>
    </w:p>
    <w:p>
      <w:pPr>
        <w:pStyle w:val="nzIndenta"/>
      </w:pPr>
      <w:r>
        <w:tab/>
        <w:t>(c)</w:t>
      </w:r>
      <w:r>
        <w:tab/>
        <w:t>in paragraph (c) delete “</w:t>
      </w:r>
      <w:r>
        <w:rPr>
          <w:sz w:val="22"/>
        </w:rPr>
        <w:t>he</w:t>
      </w:r>
      <w:r>
        <w:t>” and insert:</w:t>
      </w:r>
    </w:p>
    <w:p>
      <w:pPr>
        <w:pStyle w:val="BlankOpen"/>
      </w:pPr>
    </w:p>
    <w:p>
      <w:pPr>
        <w:pStyle w:val="nzIndenta"/>
      </w:pPr>
      <w:r>
        <w:tab/>
      </w:r>
      <w:r>
        <w:tab/>
      </w:r>
      <w:r>
        <w:rPr>
          <w:sz w:val="22"/>
        </w:rPr>
        <w:t>the member</w:t>
      </w:r>
    </w:p>
    <w:p>
      <w:pPr>
        <w:pStyle w:val="BlankClose"/>
      </w:pPr>
    </w:p>
    <w:p>
      <w:pPr>
        <w:pStyle w:val="nzIndenta"/>
      </w:pPr>
      <w:r>
        <w:tab/>
        <w:t>(d)</w:t>
      </w:r>
      <w:r>
        <w:tab/>
        <w:t>delete paragraph (d) and insert:</w:t>
      </w:r>
    </w:p>
    <w:p>
      <w:pPr>
        <w:pStyle w:val="BlankOpen"/>
      </w:pPr>
    </w:p>
    <w:p>
      <w:pPr>
        <w:pStyle w:val="nz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BlankClose"/>
        <w:keepNext/>
      </w:pPr>
    </w:p>
    <w:p>
      <w:pPr>
        <w:pStyle w:val="nzIndenta"/>
      </w:pPr>
      <w:r>
        <w:tab/>
        <w:t>(e)</w:t>
      </w:r>
      <w:r>
        <w:tab/>
        <w:t>in paragraph (e) delete “</w:t>
      </w:r>
      <w:r>
        <w:rPr>
          <w:sz w:val="22"/>
          <w:szCs w:val="22"/>
        </w:rPr>
        <w:t xml:space="preserve">where </w:t>
      </w:r>
      <w:r>
        <w:rPr>
          <w:sz w:val="22"/>
        </w:rPr>
        <w:t>he</w:t>
      </w:r>
      <w:r>
        <w:t>” and insert:</w:t>
      </w:r>
    </w:p>
    <w:p>
      <w:pPr>
        <w:pStyle w:val="BlankOpen"/>
      </w:pPr>
    </w:p>
    <w:p>
      <w:pPr>
        <w:pStyle w:val="nzIndenta"/>
      </w:pPr>
      <w:r>
        <w:tab/>
      </w:r>
      <w:r>
        <w:tab/>
      </w:r>
      <w:r>
        <w:rPr>
          <w:sz w:val="22"/>
          <w:szCs w:val="22"/>
        </w:rPr>
        <w:t xml:space="preserve">if </w:t>
      </w:r>
      <w:r>
        <w:rPr>
          <w:sz w:val="22"/>
        </w:rPr>
        <w:t>the member</w:t>
      </w:r>
    </w:p>
    <w:p>
      <w:pPr>
        <w:pStyle w:val="BlankClose"/>
      </w:pPr>
    </w:p>
    <w:p>
      <w:pPr>
        <w:pStyle w:val="nzIndenta"/>
      </w:pPr>
      <w:r>
        <w:tab/>
        <w:t>(f)</w:t>
      </w:r>
      <w:r>
        <w:tab/>
        <w:t>in paragraph (e) delete “</w:t>
      </w:r>
      <w:r>
        <w:rPr>
          <w:sz w:val="22"/>
          <w:szCs w:val="22"/>
        </w:rPr>
        <w:t>sub</w:t>
      </w:r>
      <w:r>
        <w:rPr>
          <w:sz w:val="22"/>
          <w:szCs w:val="22"/>
        </w:rPr>
        <w:noBreakHyphen/>
        <w:t>bylaw (8).</w:t>
      </w:r>
      <w:r>
        <w:t>” and insert:</w:t>
      </w:r>
    </w:p>
    <w:p>
      <w:pPr>
        <w:pStyle w:val="BlankOpen"/>
      </w:pPr>
    </w:p>
    <w:p>
      <w:pPr>
        <w:pStyle w:val="nzIndenta"/>
      </w:pPr>
      <w:r>
        <w:rPr>
          <w:sz w:val="22"/>
          <w:szCs w:val="22"/>
        </w:rPr>
        <w:tab/>
      </w:r>
      <w:r>
        <w:rPr>
          <w:sz w:val="22"/>
          <w:szCs w:val="22"/>
        </w:rPr>
        <w:tab/>
        <w:t>sub</w:t>
      </w:r>
      <w:r>
        <w:rPr>
          <w:sz w:val="22"/>
          <w:szCs w:val="22"/>
        </w:rPr>
        <w:noBreakHyphen/>
        <w:t>bylaw (8); or</w:t>
      </w:r>
    </w:p>
    <w:p>
      <w:pPr>
        <w:pStyle w:val="BlankClose"/>
      </w:pPr>
    </w:p>
    <w:p>
      <w:pPr>
        <w:pStyle w:val="nzIndenta"/>
      </w:pPr>
      <w:r>
        <w:tab/>
        <w:t>(g)</w:t>
      </w:r>
      <w:r>
        <w:tab/>
        <w:t>after paragraph (e) insert:</w:t>
      </w:r>
    </w:p>
    <w:p>
      <w:pPr>
        <w:pStyle w:val="BlankOpen"/>
      </w:pPr>
    </w:p>
    <w:p>
      <w:pPr>
        <w:pStyle w:val="nzIndenta"/>
      </w:pPr>
      <w:r>
        <w:tab/>
        <w:t>(f)</w:t>
      </w:r>
      <w:r>
        <w:tab/>
        <w:t>if the Tribunal orders that the member’s appointment is revoked and the member is removed from office.</w:t>
      </w:r>
    </w:p>
    <w:p>
      <w:pPr>
        <w:pStyle w:val="BlankClose"/>
      </w:pPr>
    </w:p>
    <w:p>
      <w:pPr>
        <w:pStyle w:val="nzSubsection"/>
      </w:pPr>
      <w:r>
        <w:tab/>
        <w:t>(8)</w:t>
      </w:r>
      <w:r>
        <w:tab/>
        <w:t>Delete Schedule 1 by</w:t>
      </w:r>
      <w:r>
        <w:noBreakHyphen/>
        <w:t>law 4(10) and (11) and insert:</w:t>
      </w:r>
    </w:p>
    <w:p>
      <w:pPr>
        <w:pStyle w:val="BlankOpen"/>
      </w:pPr>
    </w:p>
    <w:p>
      <w:pPr>
        <w:pStyle w:val="nzSubsection"/>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nzPermNoteHeading"/>
      </w:pPr>
      <w:r>
        <w:tab/>
        <w:t>Note for this sub</w:t>
      </w:r>
      <w:r>
        <w:noBreakHyphen/>
        <w:t>bylaw:</w:t>
      </w:r>
    </w:p>
    <w:p>
      <w:pPr>
        <w:pStyle w:val="nzPermNoteText"/>
      </w:pPr>
      <w:r>
        <w:tab/>
      </w:r>
      <w:r>
        <w:tab/>
        <w:t>By</w:t>
      </w:r>
      <w:r>
        <w:noBreakHyphen/>
        <w:t>law 6(3A) provides for the filling of vacancies in the offices of chairperson, secretary and treasurer.</w:t>
      </w:r>
    </w:p>
    <w:p>
      <w:pPr>
        <w:pStyle w:val="nzSubsection"/>
      </w:pPr>
      <w:r>
        <w:tab/>
        <w:t>(11)</w:t>
      </w:r>
      <w:r>
        <w:tab/>
        <w:t>Except if 1 person is the owner of all of the lots in the scheme, a quorum of the council is 2 if the council consists of 3 or 4 members; 3, if it consists of 5 or 6 members; and 4, if it consists of 7 members.</w:t>
      </w:r>
    </w:p>
    <w:p>
      <w:pPr>
        <w:pStyle w:val="BlankClose"/>
      </w:pPr>
    </w:p>
    <w:p>
      <w:pPr>
        <w:pStyle w:val="nzSubsection"/>
      </w:pPr>
      <w:r>
        <w:tab/>
        <w:t>(9)</w:t>
      </w:r>
      <w:r>
        <w:tab/>
        <w:t>In Schedule 1 by</w:t>
      </w:r>
      <w:r>
        <w:noBreakHyphen/>
        <w:t>law 4(12) delete “</w:t>
      </w:r>
      <w:r>
        <w:rPr>
          <w:sz w:val="22"/>
        </w:rPr>
        <w:t>notwithstanding any</w:t>
      </w:r>
      <w:r>
        <w:t>” and insert:</w:t>
      </w:r>
    </w:p>
    <w:p>
      <w:pPr>
        <w:pStyle w:val="BlankOpen"/>
      </w:pPr>
    </w:p>
    <w:p>
      <w:pPr>
        <w:pStyle w:val="nzSubsection"/>
      </w:pPr>
      <w:r>
        <w:tab/>
      </w:r>
      <w:r>
        <w:tab/>
      </w:r>
      <w:r>
        <w:rPr>
          <w:sz w:val="22"/>
        </w:rPr>
        <w:t>even if there is a</w:t>
      </w:r>
    </w:p>
    <w:p>
      <w:pPr>
        <w:pStyle w:val="BlankClose"/>
      </w:pPr>
    </w:p>
    <w:p>
      <w:pPr>
        <w:pStyle w:val="nzSubsection"/>
      </w:pPr>
      <w:r>
        <w:tab/>
        <w:t>(10)</w:t>
      </w:r>
      <w:r>
        <w:tab/>
        <w:t>In Schedule 1 by</w:t>
      </w:r>
      <w:r>
        <w:noBreakHyphen/>
        <w:t>law 4(13):</w:t>
      </w:r>
    </w:p>
    <w:p>
      <w:pPr>
        <w:pStyle w:val="nzIndenta"/>
      </w:pPr>
      <w:r>
        <w:tab/>
        <w:t>(a)</w:t>
      </w:r>
      <w:r>
        <w:tab/>
        <w:t>delete “</w:t>
      </w:r>
      <w:r>
        <w:rPr>
          <w:snapToGrid w:val="0"/>
        </w:rPr>
        <w:t>council shall, notwithstanding that</w:t>
      </w:r>
      <w:r>
        <w:t>” and insert:</w:t>
      </w:r>
    </w:p>
    <w:p>
      <w:pPr>
        <w:pStyle w:val="BlankOpen"/>
      </w:pPr>
    </w:p>
    <w:p>
      <w:pPr>
        <w:pStyle w:val="nzIndenta"/>
      </w:pPr>
      <w:r>
        <w:tab/>
      </w:r>
      <w:r>
        <w:tab/>
      </w:r>
      <w:r>
        <w:rPr>
          <w:snapToGrid w:val="0"/>
          <w:szCs w:val="22"/>
        </w:rPr>
        <w:t>council,</w:t>
      </w:r>
      <w:r>
        <w:t xml:space="preserve"> even if </w:t>
      </w:r>
    </w:p>
    <w:p>
      <w:pPr>
        <w:pStyle w:val="BlankClose"/>
      </w:pPr>
    </w:p>
    <w:p>
      <w:pPr>
        <w:pStyle w:val="nzIndenta"/>
      </w:pPr>
      <w:r>
        <w:tab/>
        <w:t>(b)</w:t>
      </w:r>
      <w:r>
        <w:tab/>
        <w:t>delete “</w:t>
      </w:r>
      <w:r>
        <w:rPr>
          <w:sz w:val="22"/>
        </w:rPr>
        <w:t>be</w:t>
      </w:r>
      <w:r>
        <w:t>” and insert:</w:t>
      </w:r>
    </w:p>
    <w:p>
      <w:pPr>
        <w:pStyle w:val="BlankOpen"/>
      </w:pPr>
    </w:p>
    <w:p>
      <w:pPr>
        <w:pStyle w:val="nzIndenta"/>
      </w:pPr>
      <w:r>
        <w:tab/>
      </w:r>
      <w:r>
        <w:tab/>
      </w:r>
      <w:r>
        <w:rPr>
          <w:sz w:val="22"/>
        </w:rPr>
        <w:t>are</w:t>
      </w:r>
    </w:p>
    <w:p>
      <w:pPr>
        <w:pStyle w:val="BlankClose"/>
      </w:pPr>
    </w:p>
    <w:p>
      <w:pPr>
        <w:pStyle w:val="nzHeading5"/>
      </w:pPr>
      <w:bookmarkStart w:id="1981" w:name="_Toc530474595"/>
      <w:bookmarkStart w:id="1982" w:name="_Toc530475190"/>
      <w:r>
        <w:rPr>
          <w:rStyle w:val="CharSectno"/>
        </w:rPr>
        <w:t>91</w:t>
      </w:r>
      <w:r>
        <w:t>.</w:t>
      </w:r>
      <w:r>
        <w:tab/>
        <w:t>Schedule 1 by</w:t>
      </w:r>
      <w:r>
        <w:noBreakHyphen/>
        <w:t>law 5 amended</w:t>
      </w:r>
      <w:bookmarkEnd w:id="1981"/>
      <w:bookmarkEnd w:id="1982"/>
    </w:p>
    <w:p>
      <w:pPr>
        <w:pStyle w:val="nzSubsection"/>
      </w:pPr>
      <w:r>
        <w:tab/>
        <w:t>(1)</w:t>
      </w:r>
      <w:r>
        <w:tab/>
        <w:t>In Schedule 1 by</w:t>
      </w:r>
      <w:r>
        <w:noBreakHyphen/>
        <w:t>law 5 delete “</w:t>
      </w:r>
      <w:r>
        <w:rPr>
          <w:sz w:val="22"/>
          <w:szCs w:val="22"/>
        </w:rPr>
        <w:t>shall</w:t>
      </w:r>
      <w:r>
        <w:t>” and insert:</w:t>
      </w:r>
    </w:p>
    <w:p>
      <w:pPr>
        <w:pStyle w:val="BlankOpen"/>
      </w:pPr>
    </w:p>
    <w:p>
      <w:pPr>
        <w:pStyle w:val="nzSubsection"/>
      </w:pPr>
      <w:r>
        <w:tab/>
      </w:r>
      <w:r>
        <w:tab/>
      </w:r>
      <w:r>
        <w:rPr>
          <w:sz w:val="22"/>
          <w:szCs w:val="22"/>
        </w:rPr>
        <w:t>must</w:t>
      </w:r>
    </w:p>
    <w:p>
      <w:pPr>
        <w:pStyle w:val="BlankClose"/>
      </w:pPr>
    </w:p>
    <w:p>
      <w:pPr>
        <w:pStyle w:val="nzSubsection"/>
      </w:pPr>
      <w:r>
        <w:tab/>
        <w:t>(2)</w:t>
      </w:r>
      <w:r>
        <w:tab/>
        <w:t>In Schedule 1 by</w:t>
      </w:r>
      <w:r>
        <w:noBreakHyphen/>
        <w:t>law 5(1):</w:t>
      </w:r>
    </w:p>
    <w:p>
      <w:pPr>
        <w:pStyle w:val="nzIndenta"/>
      </w:pPr>
      <w:r>
        <w:tab/>
        <w:t>(a)</w:t>
      </w:r>
      <w:r>
        <w:tab/>
        <w:t>delete “</w:t>
      </w:r>
      <w:r>
        <w:rPr>
          <w:sz w:val="22"/>
          <w:szCs w:val="22"/>
        </w:rPr>
        <w:t>shall determine,</w:t>
      </w:r>
      <w:r>
        <w:t>” and insert:</w:t>
      </w:r>
    </w:p>
    <w:p>
      <w:pPr>
        <w:pStyle w:val="BlankOpen"/>
      </w:pPr>
    </w:p>
    <w:p>
      <w:pPr>
        <w:pStyle w:val="nzIndenta"/>
      </w:pPr>
      <w:r>
        <w:tab/>
      </w:r>
      <w:r>
        <w:tab/>
      </w:r>
      <w:r>
        <w:rPr>
          <w:sz w:val="22"/>
          <w:szCs w:val="22"/>
        </w:rPr>
        <w:t>must determine,</w:t>
      </w:r>
    </w:p>
    <w:p>
      <w:pPr>
        <w:pStyle w:val="BlankClose"/>
      </w:pPr>
    </w:p>
    <w:p>
      <w:pPr>
        <w:pStyle w:val="nzIndenta"/>
      </w:pPr>
      <w:r>
        <w:tab/>
        <w:t>(b)</w:t>
      </w:r>
      <w:r>
        <w:tab/>
        <w:t>delete “</w:t>
      </w:r>
      <w:r>
        <w:rPr>
          <w:sz w:val="22"/>
          <w:szCs w:val="22"/>
        </w:rPr>
        <w:t>shall consist.</w:t>
      </w:r>
      <w:r>
        <w:t>” and insert:</w:t>
      </w:r>
    </w:p>
    <w:p>
      <w:pPr>
        <w:pStyle w:val="BlankOpen"/>
      </w:pPr>
    </w:p>
    <w:p>
      <w:pPr>
        <w:pStyle w:val="nzIndenta"/>
      </w:pPr>
      <w:r>
        <w:tab/>
      </w:r>
      <w:r>
        <w:tab/>
      </w:r>
      <w:r>
        <w:rPr>
          <w:sz w:val="22"/>
          <w:szCs w:val="22"/>
        </w:rPr>
        <w:t>i</w:t>
      </w:r>
      <w:r>
        <w:rPr>
          <w:sz w:val="22"/>
        </w:rPr>
        <w:t>s to consist.</w:t>
      </w:r>
    </w:p>
    <w:p>
      <w:pPr>
        <w:pStyle w:val="BlankClose"/>
      </w:pPr>
    </w:p>
    <w:p>
      <w:pPr>
        <w:pStyle w:val="nzSubsection"/>
      </w:pPr>
      <w:r>
        <w:tab/>
        <w:t>(3)</w:t>
      </w:r>
      <w:r>
        <w:tab/>
        <w:t>In Schedule 1 by</w:t>
      </w:r>
      <w:r>
        <w:noBreakHyphen/>
        <w:t>law 5(2) delete “</w:t>
      </w:r>
      <w:r>
        <w:rPr>
          <w:sz w:val="22"/>
        </w:rPr>
        <w:t>chairman shall call upon those persons present</w:t>
      </w:r>
      <w:r>
        <w:t>” and insert:</w:t>
      </w:r>
    </w:p>
    <w:p>
      <w:pPr>
        <w:pStyle w:val="BlankOpen"/>
      </w:pPr>
    </w:p>
    <w:p>
      <w:pPr>
        <w:pStyle w:val="nzSubsection"/>
      </w:pPr>
      <w:r>
        <w:tab/>
      </w:r>
      <w:r>
        <w:tab/>
      </w:r>
      <w:r>
        <w:rPr>
          <w:sz w:val="22"/>
          <w:szCs w:val="22"/>
        </w:rPr>
        <w:t>chairperson must call on those persons who are present at the meeting in person or by proxy</w:t>
      </w:r>
    </w:p>
    <w:p>
      <w:pPr>
        <w:pStyle w:val="BlankClose"/>
      </w:pPr>
    </w:p>
    <w:p>
      <w:pPr>
        <w:pStyle w:val="nzSubsection"/>
      </w:pPr>
      <w:r>
        <w:tab/>
        <w:t>(4)</w:t>
      </w:r>
      <w:r>
        <w:tab/>
        <w:t>In Schedule 1 by</w:t>
      </w:r>
      <w:r>
        <w:noBreakHyphen/>
        <w:t>law 5(3):</w:t>
      </w:r>
    </w:p>
    <w:p>
      <w:pPr>
        <w:pStyle w:val="nzIndenta"/>
      </w:pPr>
      <w:r>
        <w:tab/>
        <w:t>(a)</w:t>
      </w:r>
      <w:r>
        <w:tab/>
        <w:t>delete “</w:t>
      </w:r>
      <w:r>
        <w:rPr>
          <w:sz w:val="22"/>
        </w:rPr>
        <w:t>his</w:t>
      </w:r>
      <w:r>
        <w:t>” and insert:</w:t>
      </w:r>
    </w:p>
    <w:p>
      <w:pPr>
        <w:pStyle w:val="BlankOpen"/>
      </w:pPr>
    </w:p>
    <w:p>
      <w:pPr>
        <w:pStyle w:val="nzIndenta"/>
      </w:pPr>
      <w:r>
        <w:tab/>
      </w:r>
      <w:r>
        <w:tab/>
      </w:r>
      <w:r>
        <w:rPr>
          <w:sz w:val="22"/>
        </w:rPr>
        <w:t>the</w:t>
      </w:r>
    </w:p>
    <w:p>
      <w:pPr>
        <w:pStyle w:val="BlankClose"/>
      </w:pPr>
    </w:p>
    <w:p>
      <w:pPr>
        <w:pStyle w:val="nzIndenta"/>
      </w:pPr>
      <w:r>
        <w:tab/>
        <w:t>(b)</w:t>
      </w:r>
      <w:r>
        <w:tab/>
        <w:t>in paragraph (a) delete “</w:t>
      </w:r>
      <w:r>
        <w:rPr>
          <w:sz w:val="22"/>
        </w:rPr>
        <w:t>chairman</w:t>
      </w:r>
      <w:r>
        <w:t>” and insert:</w:t>
      </w:r>
    </w:p>
    <w:p>
      <w:pPr>
        <w:pStyle w:val="BlankOpen"/>
      </w:pPr>
    </w:p>
    <w:p>
      <w:pPr>
        <w:pStyle w:val="nzIndenta"/>
      </w:pPr>
      <w:r>
        <w:tab/>
      </w:r>
      <w:r>
        <w:tab/>
      </w:r>
      <w:r>
        <w:rPr>
          <w:sz w:val="22"/>
        </w:rPr>
        <w:t>chairperson</w:t>
      </w:r>
    </w:p>
    <w:p>
      <w:pPr>
        <w:pStyle w:val="BlankClose"/>
      </w:pPr>
    </w:p>
    <w:p>
      <w:pPr>
        <w:pStyle w:val="nzIndenta"/>
      </w:pPr>
      <w:r>
        <w:tab/>
        <w:t>(c)</w:t>
      </w:r>
      <w:r>
        <w:tab/>
        <w:t>in paragraph (b) delete “</w:t>
      </w:r>
      <w:r>
        <w:rPr>
          <w:sz w:val="22"/>
        </w:rPr>
        <w:t>meeting.</w:t>
      </w:r>
      <w:r>
        <w:t>” and insert:</w:t>
      </w:r>
    </w:p>
    <w:p>
      <w:pPr>
        <w:pStyle w:val="BlankOpen"/>
      </w:pPr>
    </w:p>
    <w:p>
      <w:pPr>
        <w:pStyle w:val="nzIndenta"/>
      </w:pPr>
      <w:r>
        <w:tab/>
      </w:r>
      <w:r>
        <w:tab/>
      </w:r>
      <w:r>
        <w:rPr>
          <w:sz w:val="22"/>
        </w:rPr>
        <w:t>meeting in person or by proxy.</w:t>
      </w:r>
    </w:p>
    <w:p>
      <w:pPr>
        <w:pStyle w:val="BlankClose"/>
      </w:pPr>
    </w:p>
    <w:p>
      <w:pPr>
        <w:pStyle w:val="nzSubsection"/>
      </w:pPr>
      <w:r>
        <w:tab/>
        <w:t>(5)</w:t>
      </w:r>
      <w:r>
        <w:tab/>
        <w:t>In Schedule 1 by</w:t>
      </w:r>
      <w:r>
        <w:noBreakHyphen/>
        <w:t>law 5(4):</w:t>
      </w:r>
    </w:p>
    <w:p>
      <w:pPr>
        <w:pStyle w:val="nzIndenta"/>
      </w:pPr>
      <w:r>
        <w:tab/>
        <w:t>(a)</w:t>
      </w:r>
      <w:r>
        <w:tab/>
        <w:t>delete “</w:t>
      </w:r>
      <w:r>
        <w:rPr>
          <w:sz w:val="22"/>
        </w:rPr>
        <w:t xml:space="preserve">chairman — </w:t>
      </w:r>
      <w:r>
        <w:t>” and insert:</w:t>
      </w:r>
    </w:p>
    <w:p>
      <w:pPr>
        <w:pStyle w:val="BlankOpen"/>
      </w:pPr>
    </w:p>
    <w:p>
      <w:pPr>
        <w:pStyle w:val="nzIndenta"/>
      </w:pPr>
      <w:r>
        <w:tab/>
      </w:r>
      <w:r>
        <w:tab/>
      </w:r>
      <w:r>
        <w:rPr>
          <w:sz w:val="22"/>
        </w:rPr>
        <w:t xml:space="preserve">chairperson — </w:t>
      </w:r>
    </w:p>
    <w:p>
      <w:pPr>
        <w:pStyle w:val="BlankClose"/>
      </w:pPr>
    </w:p>
    <w:p>
      <w:pPr>
        <w:pStyle w:val="nzIndenta"/>
      </w:pPr>
      <w:r>
        <w:tab/>
        <w:t>(b)</w:t>
      </w:r>
      <w:r>
        <w:tab/>
        <w:t>in paragraph (a) delete “</w:t>
      </w:r>
      <w:r>
        <w:rPr>
          <w:sz w:val="22"/>
          <w:szCs w:val="22"/>
        </w:rPr>
        <w:t>w</w:t>
      </w:r>
      <w:r>
        <w:rPr>
          <w:sz w:val="22"/>
        </w:rPr>
        <w:t>here</w:t>
      </w:r>
      <w:r>
        <w:t>” and insert:</w:t>
      </w:r>
    </w:p>
    <w:p>
      <w:pPr>
        <w:pStyle w:val="BlankOpen"/>
      </w:pPr>
    </w:p>
    <w:p>
      <w:pPr>
        <w:pStyle w:val="nzIndenta"/>
      </w:pPr>
      <w:r>
        <w:tab/>
      </w:r>
      <w:r>
        <w:tab/>
      </w:r>
      <w:r>
        <w:rPr>
          <w:sz w:val="22"/>
          <w:szCs w:val="22"/>
        </w:rPr>
        <w:t>if</w:t>
      </w:r>
    </w:p>
    <w:p>
      <w:pPr>
        <w:pStyle w:val="BlankClose"/>
      </w:pPr>
    </w:p>
    <w:p>
      <w:pPr>
        <w:pStyle w:val="nzIndenta"/>
      </w:pPr>
      <w:r>
        <w:tab/>
        <w:t>(c)</w:t>
      </w:r>
      <w:r>
        <w:tab/>
        <w:t>in paragraph (a) delete “</w:t>
      </w:r>
      <w:r>
        <w:rPr>
          <w:sz w:val="22"/>
          <w:szCs w:val="22"/>
        </w:rPr>
        <w:t>shall</w:t>
      </w:r>
      <w:r>
        <w:t>” and insert:</w:t>
      </w:r>
    </w:p>
    <w:p>
      <w:pPr>
        <w:pStyle w:val="BlankOpen"/>
      </w:pPr>
    </w:p>
    <w:p>
      <w:pPr>
        <w:pStyle w:val="nzIndenta"/>
      </w:pPr>
      <w:r>
        <w:tab/>
      </w:r>
      <w:r>
        <w:tab/>
      </w:r>
      <w:r>
        <w:rPr>
          <w:sz w:val="22"/>
          <w:szCs w:val="22"/>
        </w:rPr>
        <w:t xml:space="preserve">must </w:t>
      </w:r>
    </w:p>
    <w:p>
      <w:pPr>
        <w:pStyle w:val="BlankClose"/>
      </w:pPr>
    </w:p>
    <w:p>
      <w:pPr>
        <w:pStyle w:val="nzIndenta"/>
      </w:pPr>
      <w:r>
        <w:tab/>
        <w:t>(d)</w:t>
      </w:r>
      <w:r>
        <w:tab/>
        <w:t>in paragraph (b) delete “w</w:t>
      </w:r>
      <w:r>
        <w:rPr>
          <w:sz w:val="22"/>
        </w:rPr>
        <w:t>here</w:t>
      </w:r>
      <w:r>
        <w:t>” and insert:</w:t>
      </w:r>
    </w:p>
    <w:p>
      <w:pPr>
        <w:pStyle w:val="BlankOpen"/>
      </w:pPr>
    </w:p>
    <w:p>
      <w:pPr>
        <w:pStyle w:val="nzIndenta"/>
      </w:pPr>
      <w:r>
        <w:tab/>
      </w:r>
      <w:r>
        <w:tab/>
      </w:r>
      <w:r>
        <w:rPr>
          <w:sz w:val="22"/>
          <w:szCs w:val="22"/>
        </w:rPr>
        <w:t>if</w:t>
      </w:r>
    </w:p>
    <w:p>
      <w:pPr>
        <w:pStyle w:val="BlankClose"/>
      </w:pPr>
    </w:p>
    <w:p>
      <w:pPr>
        <w:pStyle w:val="nzIndenta"/>
      </w:pPr>
      <w:r>
        <w:tab/>
        <w:t>(e)</w:t>
      </w:r>
      <w:r>
        <w:tab/>
        <w:t>in paragraph (b) delete “</w:t>
      </w:r>
      <w:r>
        <w:rPr>
          <w:sz w:val="22"/>
          <w:szCs w:val="22"/>
        </w:rPr>
        <w:t>shall</w:t>
      </w:r>
      <w:r>
        <w:t>” and insert:</w:t>
      </w:r>
    </w:p>
    <w:p>
      <w:pPr>
        <w:pStyle w:val="BlankOpen"/>
      </w:pPr>
    </w:p>
    <w:p>
      <w:pPr>
        <w:pStyle w:val="nzIndenta"/>
      </w:pPr>
      <w:r>
        <w:tab/>
      </w:r>
      <w:r>
        <w:tab/>
      </w:r>
      <w:r>
        <w:rPr>
          <w:sz w:val="22"/>
          <w:szCs w:val="22"/>
        </w:rPr>
        <w:t xml:space="preserve">must </w:t>
      </w:r>
    </w:p>
    <w:p>
      <w:pPr>
        <w:pStyle w:val="BlankClose"/>
      </w:pPr>
    </w:p>
    <w:p>
      <w:pPr>
        <w:pStyle w:val="nzSubsection"/>
      </w:pPr>
      <w:r>
        <w:tab/>
        <w:t>(6)</w:t>
      </w:r>
      <w:r>
        <w:tab/>
        <w:t>In Schedule 1 by</w:t>
      </w:r>
      <w:r>
        <w:noBreakHyphen/>
        <w:t>law 5(5):</w:t>
      </w:r>
    </w:p>
    <w:p>
      <w:pPr>
        <w:pStyle w:val="nzIndenta"/>
      </w:pPr>
      <w:r>
        <w:tab/>
        <w:t>(a)</w:t>
      </w:r>
      <w:r>
        <w:tab/>
        <w:t>delete “</w:t>
      </w:r>
      <w:r>
        <w:rPr>
          <w:sz w:val="22"/>
          <w:szCs w:val="22"/>
        </w:rPr>
        <w:t>chairman shall —</w:t>
      </w:r>
      <w:r>
        <w:t>” and insert:</w:t>
      </w:r>
    </w:p>
    <w:p>
      <w:pPr>
        <w:pStyle w:val="BlankOpen"/>
      </w:pPr>
    </w:p>
    <w:p>
      <w:pPr>
        <w:pStyle w:val="nzIndenta"/>
      </w:pPr>
      <w:r>
        <w:tab/>
      </w:r>
      <w:r>
        <w:tab/>
      </w:r>
      <w:r>
        <w:rPr>
          <w:sz w:val="22"/>
          <w:szCs w:val="22"/>
        </w:rPr>
        <w:t xml:space="preserve">chairperson must — </w:t>
      </w:r>
    </w:p>
    <w:p>
      <w:pPr>
        <w:pStyle w:val="BlankClose"/>
      </w:pPr>
    </w:p>
    <w:p>
      <w:pPr>
        <w:pStyle w:val="nzIndenta"/>
        <w:rPr>
          <w:snapToGrid w:val="0"/>
        </w:rPr>
      </w:pPr>
      <w:r>
        <w:tab/>
        <w:t>(b)</w:t>
      </w:r>
      <w:r>
        <w:tab/>
        <w:t>in paragraph (b) delete “</w:t>
      </w:r>
      <w:r>
        <w:rPr>
          <w:snapToGrid w:val="0"/>
          <w:sz w:val="22"/>
          <w:szCs w:val="22"/>
        </w:rPr>
        <w:t>present and entitled to vote a blank paper</w:t>
      </w:r>
      <w:r>
        <w:rPr>
          <w:snapToGrid w:val="0"/>
        </w:rPr>
        <w:t>” and insert:</w:t>
      </w:r>
    </w:p>
    <w:p>
      <w:pPr>
        <w:pStyle w:val="BlankOpen"/>
      </w:pPr>
    </w:p>
    <w:p>
      <w:pPr>
        <w:pStyle w:val="nzIndenta"/>
      </w:pPr>
      <w:r>
        <w:tab/>
      </w:r>
      <w:r>
        <w:tab/>
      </w:r>
      <w:r>
        <w:rPr>
          <w:snapToGrid w:val="0"/>
          <w:sz w:val="22"/>
          <w:szCs w:val="22"/>
        </w:rPr>
        <w:t xml:space="preserve">entitled to vote </w:t>
      </w:r>
      <w:r>
        <w:rPr>
          <w:sz w:val="22"/>
        </w:rPr>
        <w:t xml:space="preserve">and present in person or by proxy, </w:t>
      </w:r>
      <w:r>
        <w:rPr>
          <w:snapToGrid w:val="0"/>
          <w:sz w:val="22"/>
          <w:szCs w:val="22"/>
        </w:rPr>
        <w:t>a blank form</w:t>
      </w:r>
    </w:p>
    <w:p>
      <w:pPr>
        <w:pStyle w:val="BlankClose"/>
      </w:pPr>
    </w:p>
    <w:p>
      <w:pPr>
        <w:pStyle w:val="nzIndenta"/>
        <w:rPr>
          <w:snapToGrid w:val="0"/>
        </w:rPr>
      </w:pPr>
      <w:r>
        <w:tab/>
        <w:t>(c)</w:t>
      </w:r>
      <w:r>
        <w:tab/>
        <w:t>in paragraph (b) delete “</w:t>
      </w:r>
      <w:r>
        <w:rPr>
          <w:snapToGrid w:val="0"/>
          <w:sz w:val="22"/>
          <w:szCs w:val="22"/>
        </w:rPr>
        <w:t>he</w:t>
      </w:r>
      <w:r>
        <w:rPr>
          <w:snapToGrid w:val="0"/>
        </w:rPr>
        <w:t>” and insert:</w:t>
      </w:r>
    </w:p>
    <w:p>
      <w:pPr>
        <w:pStyle w:val="BlankOpen"/>
      </w:pPr>
    </w:p>
    <w:p>
      <w:pPr>
        <w:pStyle w:val="nzIndenta"/>
      </w:pPr>
      <w:r>
        <w:tab/>
      </w:r>
      <w:r>
        <w:tab/>
      </w:r>
      <w:r>
        <w:rPr>
          <w:snapToGrid w:val="0"/>
          <w:sz w:val="22"/>
          <w:szCs w:val="22"/>
        </w:rPr>
        <w:t>the</w:t>
      </w:r>
      <w:r>
        <w:rPr>
          <w:sz w:val="22"/>
        </w:rPr>
        <w:t xml:space="preserve"> person</w:t>
      </w:r>
    </w:p>
    <w:p>
      <w:pPr>
        <w:pStyle w:val="BlankClose"/>
      </w:pPr>
    </w:p>
    <w:p>
      <w:pPr>
        <w:pStyle w:val="nzIndenta"/>
        <w:rPr>
          <w:snapToGrid w:val="0"/>
        </w:rPr>
      </w:pPr>
      <w:r>
        <w:tab/>
        <w:t>(d)</w:t>
      </w:r>
      <w:r>
        <w:tab/>
        <w:t>in paragraph (b) delete “</w:t>
      </w:r>
      <w:r>
        <w:rPr>
          <w:snapToGrid w:val="0"/>
          <w:sz w:val="22"/>
          <w:szCs w:val="22"/>
        </w:rPr>
        <w:t>ballot</w:t>
      </w:r>
      <w:r>
        <w:rPr>
          <w:snapToGrid w:val="0"/>
          <w:sz w:val="22"/>
          <w:szCs w:val="22"/>
        </w:rPr>
        <w:noBreakHyphen/>
        <w:t>paper.</w:t>
      </w:r>
      <w:r>
        <w:rPr>
          <w:snapToGrid w:val="0"/>
        </w:rPr>
        <w:t>” and insert:</w:t>
      </w:r>
    </w:p>
    <w:p>
      <w:pPr>
        <w:pStyle w:val="BlankOpen"/>
      </w:pPr>
    </w:p>
    <w:p>
      <w:pPr>
        <w:pStyle w:val="nzIndenta"/>
      </w:pPr>
      <w:r>
        <w:tab/>
      </w:r>
      <w:r>
        <w:tab/>
      </w:r>
      <w:r>
        <w:rPr>
          <w:snapToGrid w:val="0"/>
          <w:sz w:val="22"/>
          <w:szCs w:val="22"/>
        </w:rPr>
        <w:t>ballot form.</w:t>
      </w:r>
    </w:p>
    <w:p>
      <w:pPr>
        <w:pStyle w:val="BlankClose"/>
      </w:pPr>
    </w:p>
    <w:p>
      <w:pPr>
        <w:pStyle w:val="nzSubsection"/>
      </w:pPr>
      <w:r>
        <w:tab/>
        <w:t>(7)</w:t>
      </w:r>
      <w:r>
        <w:tab/>
        <w:t>In Schedule 1 by</w:t>
      </w:r>
      <w:r>
        <w:noBreakHyphen/>
        <w:t>law 5(6):</w:t>
      </w:r>
    </w:p>
    <w:p>
      <w:pPr>
        <w:pStyle w:val="nzIndenta"/>
        <w:rPr>
          <w:snapToGrid w:val="0"/>
        </w:rPr>
      </w:pPr>
      <w:r>
        <w:tab/>
        <w:t>(a)</w:t>
      </w:r>
      <w:r>
        <w:tab/>
        <w:t>delete “shall complete a valid ballot-</w:t>
      </w:r>
      <w:r>
        <w:rPr>
          <w:snapToGrid w:val="0"/>
        </w:rPr>
        <w:t>paper” and insert:</w:t>
      </w:r>
    </w:p>
    <w:p>
      <w:pPr>
        <w:pStyle w:val="BlankOpen"/>
      </w:pPr>
    </w:p>
    <w:p>
      <w:pPr>
        <w:pStyle w:val="nzIndenta"/>
      </w:pPr>
      <w:r>
        <w:tab/>
      </w:r>
      <w:r>
        <w:tab/>
      </w:r>
      <w:r>
        <w:rPr>
          <w:sz w:val="22"/>
          <w:szCs w:val="22"/>
        </w:rPr>
        <w:t>must complete a valid ballot</w:t>
      </w:r>
      <w:r>
        <w:t xml:space="preserve"> </w:t>
      </w:r>
      <w:r>
        <w:rPr>
          <w:snapToGrid w:val="0"/>
          <w:sz w:val="22"/>
          <w:szCs w:val="22"/>
        </w:rPr>
        <w:t>form</w:t>
      </w:r>
    </w:p>
    <w:p>
      <w:pPr>
        <w:pStyle w:val="BlankClose"/>
      </w:pPr>
    </w:p>
    <w:p>
      <w:pPr>
        <w:pStyle w:val="nzIndenta"/>
        <w:rPr>
          <w:snapToGrid w:val="0"/>
        </w:rPr>
      </w:pPr>
      <w:r>
        <w:tab/>
        <w:t>(b)</w:t>
      </w:r>
      <w:r>
        <w:tab/>
        <w:t>in paragraphs (a) and (b) delete “</w:t>
      </w:r>
      <w:r>
        <w:rPr>
          <w:sz w:val="22"/>
          <w:szCs w:val="22"/>
        </w:rPr>
        <w:t>thereon</w:t>
      </w:r>
      <w:r>
        <w:rPr>
          <w:snapToGrid w:val="0"/>
        </w:rPr>
        <w:t>” and insert:</w:t>
      </w:r>
    </w:p>
    <w:p>
      <w:pPr>
        <w:pStyle w:val="BlankOpen"/>
      </w:pPr>
    </w:p>
    <w:p>
      <w:pPr>
        <w:pStyle w:val="nzIndenta"/>
      </w:pPr>
      <w:r>
        <w:tab/>
      </w:r>
      <w:r>
        <w:tab/>
      </w:r>
      <w:r>
        <w:rPr>
          <w:sz w:val="22"/>
          <w:szCs w:val="22"/>
        </w:rPr>
        <w:t>on the</w:t>
      </w:r>
      <w:r>
        <w:t xml:space="preserve"> </w:t>
      </w:r>
      <w:r>
        <w:rPr>
          <w:snapToGrid w:val="0"/>
          <w:sz w:val="22"/>
          <w:szCs w:val="22"/>
        </w:rPr>
        <w:t>form</w:t>
      </w:r>
    </w:p>
    <w:p>
      <w:pPr>
        <w:pStyle w:val="BlankClose"/>
      </w:pPr>
    </w:p>
    <w:p>
      <w:pPr>
        <w:pStyle w:val="nzIndenta"/>
        <w:rPr>
          <w:snapToGrid w:val="0"/>
        </w:rPr>
      </w:pPr>
      <w:r>
        <w:tab/>
        <w:t>(c)</w:t>
      </w:r>
      <w:r>
        <w:tab/>
        <w:t>in paragraph (b) delete “</w:t>
      </w:r>
      <w:r>
        <w:rPr>
          <w:sz w:val="22"/>
          <w:szCs w:val="22"/>
        </w:rPr>
        <w:t>his</w:t>
      </w:r>
      <w:r>
        <w:rPr>
          <w:snapToGrid w:val="0"/>
        </w:rPr>
        <w:t>” and insert:</w:t>
      </w:r>
    </w:p>
    <w:p>
      <w:pPr>
        <w:pStyle w:val="BlankOpen"/>
      </w:pPr>
    </w:p>
    <w:p>
      <w:pPr>
        <w:pStyle w:val="nzIndenta"/>
      </w:pPr>
      <w:r>
        <w:tab/>
      </w:r>
      <w:r>
        <w:tab/>
      </w:r>
      <w:r>
        <w:rPr>
          <w:snapToGrid w:val="0"/>
          <w:sz w:val="22"/>
          <w:szCs w:val="22"/>
        </w:rPr>
        <w:t>the</w:t>
      </w:r>
      <w:r>
        <w:rPr>
          <w:sz w:val="22"/>
        </w:rPr>
        <w:t xml:space="preserve"> person’s</w:t>
      </w:r>
    </w:p>
    <w:p>
      <w:pPr>
        <w:pStyle w:val="BlankClose"/>
      </w:pPr>
    </w:p>
    <w:p>
      <w:pPr>
        <w:pStyle w:val="nzIndenta"/>
        <w:rPr>
          <w:snapToGrid w:val="0"/>
        </w:rPr>
      </w:pPr>
      <w:r>
        <w:tab/>
        <w:t>(d)</w:t>
      </w:r>
      <w:r>
        <w:tab/>
        <w:t>in paragraph (b) delete “</w:t>
      </w:r>
      <w:r>
        <w:rPr>
          <w:sz w:val="22"/>
          <w:szCs w:val="22"/>
        </w:rPr>
        <w:t>he</w:t>
      </w:r>
      <w:r>
        <w:rPr>
          <w:snapToGrid w:val="0"/>
        </w:rPr>
        <w:t>” and insert:</w:t>
      </w:r>
    </w:p>
    <w:p>
      <w:pPr>
        <w:pStyle w:val="BlankOpen"/>
      </w:pPr>
    </w:p>
    <w:p>
      <w:pPr>
        <w:pStyle w:val="nzIndenta"/>
      </w:pPr>
      <w:r>
        <w:tab/>
      </w:r>
      <w:r>
        <w:tab/>
      </w:r>
      <w:r>
        <w:rPr>
          <w:snapToGrid w:val="0"/>
          <w:sz w:val="22"/>
          <w:szCs w:val="22"/>
        </w:rPr>
        <w:t>the</w:t>
      </w:r>
      <w:r>
        <w:rPr>
          <w:sz w:val="22"/>
        </w:rPr>
        <w:t xml:space="preserve"> person</w:t>
      </w:r>
    </w:p>
    <w:p>
      <w:pPr>
        <w:pStyle w:val="BlankClose"/>
      </w:pPr>
    </w:p>
    <w:p>
      <w:pPr>
        <w:pStyle w:val="nzIndenta"/>
      </w:pPr>
      <w:r>
        <w:tab/>
        <w:t>(e)</w:t>
      </w:r>
      <w:r>
        <w:tab/>
        <w:t>in paragraph (b) delete “</w:t>
      </w:r>
      <w:r>
        <w:rPr>
          <w:sz w:val="22"/>
        </w:rPr>
        <w:t>proprietor</w:t>
      </w:r>
      <w:r>
        <w:t>” (each occurrence) and insert;</w:t>
      </w:r>
    </w:p>
    <w:p>
      <w:pPr>
        <w:pStyle w:val="BlankOpen"/>
      </w:pPr>
    </w:p>
    <w:p>
      <w:pPr>
        <w:pStyle w:val="nzIndenta"/>
      </w:pPr>
      <w:r>
        <w:tab/>
      </w:r>
      <w:r>
        <w:tab/>
      </w:r>
      <w:r>
        <w:rPr>
          <w:sz w:val="22"/>
        </w:rPr>
        <w:t>owner</w:t>
      </w:r>
    </w:p>
    <w:p>
      <w:pPr>
        <w:pStyle w:val="BlankClose"/>
      </w:pPr>
    </w:p>
    <w:p>
      <w:pPr>
        <w:pStyle w:val="nzIndenta"/>
        <w:rPr>
          <w:snapToGrid w:val="0"/>
        </w:rPr>
      </w:pPr>
      <w:r>
        <w:tab/>
        <w:t>(f)</w:t>
      </w:r>
      <w:r>
        <w:tab/>
        <w:t>in paragraph (c) delete “</w:t>
      </w:r>
      <w:r>
        <w:rPr>
          <w:snapToGrid w:val="0"/>
          <w:sz w:val="22"/>
          <w:szCs w:val="22"/>
        </w:rPr>
        <w:t>ballot</w:t>
      </w:r>
      <w:r>
        <w:rPr>
          <w:snapToGrid w:val="0"/>
          <w:sz w:val="22"/>
          <w:szCs w:val="22"/>
        </w:rPr>
        <w:noBreakHyphen/>
        <w:t>paper; and</w:t>
      </w:r>
      <w:r>
        <w:rPr>
          <w:snapToGrid w:val="0"/>
        </w:rPr>
        <w:t>” and insert:</w:t>
      </w:r>
    </w:p>
    <w:p>
      <w:pPr>
        <w:pStyle w:val="BlankOpen"/>
      </w:pPr>
    </w:p>
    <w:p>
      <w:pPr>
        <w:pStyle w:val="nzIndenta"/>
      </w:pPr>
      <w:r>
        <w:tab/>
      </w:r>
      <w:r>
        <w:tab/>
      </w:r>
      <w:r>
        <w:rPr>
          <w:snapToGrid w:val="0"/>
          <w:sz w:val="22"/>
          <w:szCs w:val="22"/>
        </w:rPr>
        <w:t>ballot form; and</w:t>
      </w:r>
    </w:p>
    <w:p>
      <w:pPr>
        <w:pStyle w:val="BlankClose"/>
      </w:pPr>
    </w:p>
    <w:p>
      <w:pPr>
        <w:pStyle w:val="nzIndenta"/>
      </w:pPr>
      <w:r>
        <w:tab/>
        <w:t>(g)</w:t>
      </w:r>
      <w:r>
        <w:tab/>
        <w:t>in paragraph (d) delete “</w:t>
      </w:r>
      <w:r>
        <w:rPr>
          <w:sz w:val="22"/>
        </w:rPr>
        <w:t>chairman.</w:t>
      </w:r>
      <w:r>
        <w:t>” and insert:</w:t>
      </w:r>
    </w:p>
    <w:p>
      <w:pPr>
        <w:pStyle w:val="BlankOpen"/>
      </w:pPr>
    </w:p>
    <w:p>
      <w:pPr>
        <w:pStyle w:val="nzIndenta"/>
      </w:pPr>
      <w:r>
        <w:tab/>
      </w:r>
      <w:r>
        <w:tab/>
      </w:r>
      <w:r>
        <w:rPr>
          <w:sz w:val="22"/>
        </w:rPr>
        <w:t>chairperson.</w:t>
      </w:r>
    </w:p>
    <w:p>
      <w:pPr>
        <w:pStyle w:val="BlankClose"/>
      </w:pPr>
    </w:p>
    <w:p>
      <w:pPr>
        <w:pStyle w:val="nzSubsection"/>
      </w:pPr>
      <w:r>
        <w:tab/>
        <w:t>(8)</w:t>
      </w:r>
      <w:r>
        <w:tab/>
        <w:t>Delete Schedule 1 by</w:t>
      </w:r>
      <w:r>
        <w:noBreakHyphen/>
        <w:t>law 5(7) and insert:</w:t>
      </w:r>
    </w:p>
    <w:p>
      <w:pPr>
        <w:pStyle w:val="BlankOpen"/>
      </w:pPr>
    </w:p>
    <w:p>
      <w:pPr>
        <w:pStyle w:val="nzIndenta"/>
      </w:pPr>
      <w:r>
        <w:tab/>
        <w:t>(7)</w:t>
      </w:r>
      <w:r>
        <w:tab/>
        <w:t>The chairperson, or a person appointed by the chairperson, must count the votes recorded on valid ballot forms in favour of each candidate.</w:t>
      </w:r>
    </w:p>
    <w:p>
      <w:pPr>
        <w:pStyle w:val="BlankClose"/>
      </w:pPr>
    </w:p>
    <w:p>
      <w:pPr>
        <w:pStyle w:val="nzSubsection"/>
      </w:pPr>
      <w:r>
        <w:tab/>
        <w:t>(9)</w:t>
      </w:r>
      <w:r>
        <w:tab/>
        <w:t>In Schedule 1 by</w:t>
      </w:r>
      <w:r>
        <w:noBreakHyphen/>
        <w:t>law 5(8) delete “</w:t>
      </w:r>
      <w:r>
        <w:rPr>
          <w:snapToGrid w:val="0"/>
          <w:sz w:val="22"/>
          <w:szCs w:val="22"/>
        </w:rPr>
        <w:t>numbers of votes shall</w:t>
      </w:r>
      <w:r>
        <w:t>” and insert:</w:t>
      </w:r>
    </w:p>
    <w:p>
      <w:pPr>
        <w:pStyle w:val="BlankOpen"/>
      </w:pPr>
    </w:p>
    <w:p>
      <w:pPr>
        <w:pStyle w:val="nzSubsection"/>
      </w:pPr>
      <w:r>
        <w:tab/>
      </w:r>
      <w:r>
        <w:tab/>
      </w:r>
      <w:r>
        <w:rPr>
          <w:sz w:val="22"/>
          <w:szCs w:val="22"/>
        </w:rPr>
        <w:t xml:space="preserve">numbers (in terms of lots or unit entitlements as required under the </w:t>
      </w:r>
      <w:r>
        <w:rPr>
          <w:i/>
          <w:sz w:val="22"/>
          <w:szCs w:val="22"/>
        </w:rPr>
        <w:t>Strata Titles Act 1985</w:t>
      </w:r>
      <w:r>
        <w:rPr>
          <w:sz w:val="22"/>
          <w:szCs w:val="22"/>
        </w:rPr>
        <w:t xml:space="preserve"> section 122) of votes are to</w:t>
      </w:r>
    </w:p>
    <w:p>
      <w:pPr>
        <w:pStyle w:val="BlankClose"/>
      </w:pPr>
    </w:p>
    <w:p>
      <w:pPr>
        <w:pStyle w:val="nzSubsection"/>
      </w:pPr>
      <w:r>
        <w:tab/>
        <w:t>(10)</w:t>
      </w:r>
      <w:r>
        <w:tab/>
        <w:t>In Schedule 1 by</w:t>
      </w:r>
      <w:r>
        <w:noBreakHyphen/>
        <w:t>law 5(9):</w:t>
      </w:r>
    </w:p>
    <w:p>
      <w:pPr>
        <w:pStyle w:val="nzIndenta"/>
      </w:pPr>
      <w:r>
        <w:tab/>
        <w:t>(a)</w:t>
      </w:r>
      <w:r>
        <w:tab/>
        <w:t>delete “</w:t>
      </w:r>
      <w:r>
        <w:rPr>
          <w:sz w:val="22"/>
          <w:szCs w:val="22"/>
        </w:rPr>
        <w:t xml:space="preserve">Where </w:t>
      </w:r>
      <w:r>
        <w:rPr>
          <w:snapToGrid w:val="0"/>
          <w:sz w:val="22"/>
          <w:szCs w:val="22"/>
        </w:rPr>
        <w:t>the number</w:t>
      </w:r>
      <w:r>
        <w:t>” and insert:</w:t>
      </w:r>
    </w:p>
    <w:p>
      <w:pPr>
        <w:pStyle w:val="BlankOpen"/>
      </w:pPr>
    </w:p>
    <w:p>
      <w:pPr>
        <w:pStyle w:val="nzIndenta"/>
      </w:pPr>
      <w:r>
        <w:tab/>
      </w:r>
      <w:r>
        <w:tab/>
      </w:r>
      <w:r>
        <w:rPr>
          <w:sz w:val="22"/>
          <w:szCs w:val="22"/>
        </w:rPr>
        <w:t>If the</w:t>
      </w:r>
      <w:r>
        <w:t xml:space="preserve"> </w:t>
      </w:r>
      <w:r>
        <w:rPr>
          <w:sz w:val="22"/>
          <w:szCs w:val="22"/>
        </w:rPr>
        <w:t xml:space="preserve">number (in terms of lots or unit entitlements as required under the </w:t>
      </w:r>
      <w:r>
        <w:rPr>
          <w:i/>
          <w:sz w:val="22"/>
          <w:szCs w:val="22"/>
        </w:rPr>
        <w:t>Strata Titles Act 1985</w:t>
      </w:r>
      <w:r>
        <w:rPr>
          <w:sz w:val="22"/>
          <w:szCs w:val="22"/>
        </w:rPr>
        <w:t xml:space="preserve"> section 122) </w:t>
      </w:r>
    </w:p>
    <w:p>
      <w:pPr>
        <w:pStyle w:val="BlankClose"/>
      </w:pPr>
    </w:p>
    <w:p>
      <w:pPr>
        <w:pStyle w:val="nzIndenta"/>
      </w:pPr>
      <w:r>
        <w:tab/>
        <w:t>(b)</w:t>
      </w:r>
      <w:r>
        <w:tab/>
        <w:t>delete “</w:t>
      </w:r>
      <w:r>
        <w:rPr>
          <w:sz w:val="22"/>
          <w:szCs w:val="22"/>
        </w:rPr>
        <w:t>shall</w:t>
      </w:r>
      <w:r>
        <w:t>” and insert:</w:t>
      </w:r>
    </w:p>
    <w:p>
      <w:pPr>
        <w:pStyle w:val="BlankOpen"/>
      </w:pPr>
    </w:p>
    <w:p>
      <w:pPr>
        <w:pStyle w:val="nzIndenta"/>
      </w:pPr>
      <w:r>
        <w:tab/>
      </w:r>
      <w:r>
        <w:tab/>
      </w:r>
      <w:r>
        <w:rPr>
          <w:sz w:val="22"/>
          <w:szCs w:val="22"/>
        </w:rPr>
        <w:t xml:space="preserve">must </w:t>
      </w:r>
    </w:p>
    <w:p>
      <w:pPr>
        <w:pStyle w:val="BlankClose"/>
      </w:pPr>
    </w:p>
    <w:p>
      <w:pPr>
        <w:pStyle w:val="nzIndenta"/>
        <w:rPr>
          <w:snapToGrid w:val="0"/>
        </w:rPr>
      </w:pPr>
      <w:r>
        <w:tab/>
        <w:t>(c)</w:t>
      </w:r>
      <w:r>
        <w:tab/>
        <w:t>delete “</w:t>
      </w:r>
      <w:r>
        <w:rPr>
          <w:snapToGrid w:val="0"/>
          <w:sz w:val="22"/>
          <w:szCs w:val="22"/>
        </w:rPr>
        <w:t>present and entitled to vote.</w:t>
      </w:r>
      <w:r>
        <w:rPr>
          <w:snapToGrid w:val="0"/>
        </w:rPr>
        <w:t>” and insert:</w:t>
      </w:r>
    </w:p>
    <w:p>
      <w:pPr>
        <w:pStyle w:val="BlankOpen"/>
      </w:pPr>
    </w:p>
    <w:p>
      <w:pPr>
        <w:pStyle w:val="nzIndenta"/>
      </w:pPr>
      <w:r>
        <w:tab/>
      </w:r>
      <w:r>
        <w:tab/>
      </w:r>
      <w:r>
        <w:rPr>
          <w:snapToGrid w:val="0"/>
          <w:sz w:val="22"/>
          <w:szCs w:val="22"/>
        </w:rPr>
        <w:t xml:space="preserve">entitled to vote </w:t>
      </w:r>
      <w:r>
        <w:rPr>
          <w:sz w:val="22"/>
        </w:rPr>
        <w:t>and present in person or by proxy.</w:t>
      </w:r>
    </w:p>
    <w:p>
      <w:pPr>
        <w:pStyle w:val="BlankClose"/>
      </w:pPr>
    </w:p>
    <w:p>
      <w:pPr>
        <w:pStyle w:val="nzSectAltNote"/>
      </w:pPr>
      <w:r>
        <w:tab/>
        <w:t>Note:</w:t>
      </w:r>
      <w:r>
        <w:tab/>
        <w:t>The heading to amended by</w:t>
      </w:r>
      <w:r>
        <w:noBreakHyphen/>
        <w:t>law 5 is to read:</w:t>
      </w:r>
    </w:p>
    <w:p>
      <w:pPr>
        <w:pStyle w:val="nzSectAltHeading"/>
      </w:pPr>
      <w:r>
        <w:rPr>
          <w:b w:val="0"/>
        </w:rPr>
        <w:tab/>
      </w:r>
      <w:r>
        <w:rPr>
          <w:b w:val="0"/>
        </w:rPr>
        <w:tab/>
      </w:r>
      <w:r>
        <w:t>Election of council at general meeting</w:t>
      </w:r>
    </w:p>
    <w:p>
      <w:pPr>
        <w:pStyle w:val="nzHeading5"/>
      </w:pPr>
      <w:bookmarkStart w:id="1983" w:name="_Toc530474596"/>
      <w:bookmarkStart w:id="1984" w:name="_Toc530475191"/>
      <w:r>
        <w:rPr>
          <w:rStyle w:val="CharSectno"/>
        </w:rPr>
        <w:t>92</w:t>
      </w:r>
      <w:r>
        <w:t>.</w:t>
      </w:r>
      <w:r>
        <w:tab/>
        <w:t>Schedule 1 by</w:t>
      </w:r>
      <w:r>
        <w:noBreakHyphen/>
        <w:t>law 6 amended</w:t>
      </w:r>
      <w:bookmarkEnd w:id="1983"/>
      <w:bookmarkEnd w:id="1984"/>
    </w:p>
    <w:p>
      <w:pPr>
        <w:pStyle w:val="nzSubsection"/>
      </w:pPr>
      <w:r>
        <w:tab/>
        <w:t>(1)</w:t>
      </w:r>
      <w:r>
        <w:tab/>
        <w:t>In Schedule 1 by</w:t>
      </w:r>
      <w:r>
        <w:noBreakHyphen/>
        <w:t>law 6(1):</w:t>
      </w:r>
    </w:p>
    <w:p>
      <w:pPr>
        <w:pStyle w:val="nzIndenta"/>
      </w:pPr>
      <w:r>
        <w:tab/>
        <w:t>(a)</w:t>
      </w:r>
      <w:r>
        <w:tab/>
        <w:t>delete “</w:t>
      </w:r>
      <w:r>
        <w:rPr>
          <w:sz w:val="22"/>
          <w:szCs w:val="22"/>
        </w:rPr>
        <w:t>shall</w:t>
      </w:r>
      <w:r>
        <w:t>” and insert:</w:t>
      </w:r>
    </w:p>
    <w:p>
      <w:pPr>
        <w:pStyle w:val="BlankOpen"/>
      </w:pPr>
    </w:p>
    <w:p>
      <w:pPr>
        <w:pStyle w:val="nzIndenta"/>
      </w:pPr>
      <w:r>
        <w:tab/>
      </w:r>
      <w:r>
        <w:tab/>
      </w:r>
      <w:r>
        <w:rPr>
          <w:sz w:val="22"/>
          <w:szCs w:val="22"/>
        </w:rPr>
        <w:t xml:space="preserve">must </w:t>
      </w:r>
    </w:p>
    <w:p>
      <w:pPr>
        <w:pStyle w:val="BlankClose"/>
      </w:pPr>
    </w:p>
    <w:p>
      <w:pPr>
        <w:pStyle w:val="nzIndenta"/>
      </w:pPr>
      <w:r>
        <w:tab/>
        <w:t>(b)</w:t>
      </w:r>
      <w:r>
        <w:tab/>
        <w:t>delete “</w:t>
      </w:r>
      <w:r>
        <w:rPr>
          <w:sz w:val="22"/>
        </w:rPr>
        <w:t>chairman,</w:t>
      </w:r>
      <w:r>
        <w:t>” and insert:</w:t>
      </w:r>
    </w:p>
    <w:p>
      <w:pPr>
        <w:pStyle w:val="BlankOpen"/>
      </w:pPr>
    </w:p>
    <w:p>
      <w:pPr>
        <w:pStyle w:val="nzIndenta"/>
      </w:pPr>
      <w:r>
        <w:tab/>
      </w:r>
      <w:r>
        <w:tab/>
      </w:r>
      <w:r>
        <w:rPr>
          <w:sz w:val="22"/>
        </w:rPr>
        <w:t>chairperson,</w:t>
      </w:r>
    </w:p>
    <w:p>
      <w:pPr>
        <w:pStyle w:val="BlankClose"/>
      </w:pPr>
    </w:p>
    <w:p>
      <w:pPr>
        <w:pStyle w:val="nzSubsection"/>
      </w:pPr>
      <w:r>
        <w:tab/>
        <w:t>(2)</w:t>
      </w:r>
      <w:r>
        <w:tab/>
        <w:t>In Schedule 1 by</w:t>
      </w:r>
      <w:r>
        <w:noBreakHyphen/>
        <w:t>law 6(2):</w:t>
      </w:r>
    </w:p>
    <w:p>
      <w:pPr>
        <w:pStyle w:val="nzIndenta"/>
      </w:pPr>
      <w:r>
        <w:tab/>
        <w:t>(a)</w:t>
      </w:r>
      <w:r>
        <w:tab/>
        <w:t>in paragraph (a) delete “</w:t>
      </w:r>
      <w:r>
        <w:rPr>
          <w:sz w:val="22"/>
          <w:szCs w:val="22"/>
        </w:rPr>
        <w:t>shall</w:t>
      </w:r>
      <w:r>
        <w:t>” and insert:</w:t>
      </w:r>
    </w:p>
    <w:p>
      <w:pPr>
        <w:pStyle w:val="BlankOpen"/>
      </w:pPr>
    </w:p>
    <w:p>
      <w:pPr>
        <w:pStyle w:val="nzIndenta"/>
      </w:pPr>
      <w:r>
        <w:tab/>
      </w:r>
      <w:r>
        <w:tab/>
      </w:r>
      <w:r>
        <w:rPr>
          <w:sz w:val="22"/>
          <w:szCs w:val="22"/>
        </w:rPr>
        <w:t xml:space="preserve">must </w:t>
      </w:r>
    </w:p>
    <w:p>
      <w:pPr>
        <w:pStyle w:val="BlankClose"/>
      </w:pPr>
    </w:p>
    <w:p>
      <w:pPr>
        <w:pStyle w:val="nzIndenta"/>
        <w:rPr>
          <w:snapToGrid w:val="0"/>
        </w:rPr>
      </w:pPr>
      <w:r>
        <w:tab/>
        <w:t>(b)</w:t>
      </w:r>
      <w:r>
        <w:tab/>
        <w:t>in paragraph (a) delete “</w:t>
      </w:r>
      <w:r>
        <w:rPr>
          <w:sz w:val="22"/>
          <w:szCs w:val="22"/>
        </w:rPr>
        <w:t>he</w:t>
      </w:r>
      <w:r>
        <w:rPr>
          <w:snapToGrid w:val="0"/>
        </w:rPr>
        <w:t>” and insert:</w:t>
      </w:r>
    </w:p>
    <w:p>
      <w:pPr>
        <w:pStyle w:val="BlankOpen"/>
      </w:pPr>
    </w:p>
    <w:p>
      <w:pPr>
        <w:pStyle w:val="nzIndenta"/>
      </w:pPr>
      <w:r>
        <w:tab/>
      </w:r>
      <w:r>
        <w:tab/>
      </w:r>
      <w:r>
        <w:rPr>
          <w:snapToGrid w:val="0"/>
          <w:sz w:val="22"/>
          <w:szCs w:val="22"/>
        </w:rPr>
        <w:t>the</w:t>
      </w:r>
      <w:r>
        <w:rPr>
          <w:sz w:val="22"/>
        </w:rPr>
        <w:t xml:space="preserve"> person</w:t>
      </w:r>
    </w:p>
    <w:p>
      <w:pPr>
        <w:pStyle w:val="BlankClose"/>
      </w:pPr>
    </w:p>
    <w:p>
      <w:pPr>
        <w:pStyle w:val="nzIndenta"/>
        <w:rPr>
          <w:snapToGrid w:val="0"/>
        </w:rPr>
      </w:pPr>
      <w:r>
        <w:tab/>
        <w:t>(c)</w:t>
      </w:r>
      <w:r>
        <w:tab/>
        <w:t>in paragraph (b) delete “</w:t>
      </w:r>
      <w:r>
        <w:rPr>
          <w:sz w:val="22"/>
          <w:szCs w:val="22"/>
        </w:rPr>
        <w:t>one</w:t>
      </w:r>
      <w:r>
        <w:rPr>
          <w:snapToGrid w:val="0"/>
        </w:rPr>
        <w:t>” and insert:</w:t>
      </w:r>
    </w:p>
    <w:p>
      <w:pPr>
        <w:pStyle w:val="BlankOpen"/>
      </w:pPr>
    </w:p>
    <w:p>
      <w:pPr>
        <w:pStyle w:val="nzIndenta"/>
      </w:pPr>
      <w:r>
        <w:tab/>
      </w:r>
      <w:r>
        <w:tab/>
      </w:r>
      <w:r>
        <w:rPr>
          <w:snapToGrid w:val="0"/>
          <w:sz w:val="22"/>
          <w:szCs w:val="22"/>
        </w:rPr>
        <w:t>1</w:t>
      </w:r>
    </w:p>
    <w:p>
      <w:pPr>
        <w:pStyle w:val="BlankClose"/>
      </w:pPr>
    </w:p>
    <w:p>
      <w:pPr>
        <w:pStyle w:val="nzSubsection"/>
      </w:pPr>
      <w:r>
        <w:tab/>
        <w:t>(3)</w:t>
      </w:r>
      <w:r>
        <w:tab/>
        <w:t>Delete sub</w:t>
      </w:r>
      <w:r>
        <w:noBreakHyphen/>
        <w:t>bylaw (3) and (4) and insert:</w:t>
      </w:r>
    </w:p>
    <w:p>
      <w:pPr>
        <w:pStyle w:val="BlankOpen"/>
      </w:pPr>
    </w:p>
    <w:p>
      <w:pPr>
        <w:pStyle w:val="nzSubsection"/>
      </w:pPr>
      <w:r>
        <w:tab/>
        <w:t>(3)</w:t>
      </w:r>
      <w:r>
        <w:tab/>
        <w:t>A person appointed to an office referred to in sub</w:t>
      </w:r>
      <w:r>
        <w:noBreakHyphen/>
        <w:t>bylaw (1) holds office until the first of the following events happens —</w:t>
      </w:r>
    </w:p>
    <w:p>
      <w:pPr>
        <w:pStyle w:val="nzIndenta"/>
      </w:pPr>
      <w:r>
        <w:tab/>
        <w:t>(a)</w:t>
      </w:r>
      <w:r>
        <w:tab/>
        <w:t>the person ceases to be a member of the council under by</w:t>
      </w:r>
      <w:r>
        <w:noBreakHyphen/>
        <w:t>law 4(9);</w:t>
      </w:r>
    </w:p>
    <w:p>
      <w:pPr>
        <w:pStyle w:val="nzIndenta"/>
      </w:pPr>
      <w:r>
        <w:tab/>
        <w:t>(b)</w:t>
      </w:r>
      <w:r>
        <w:tab/>
        <w:t>receipt by the strata company of a written notice of the person’s resignation from that office;</w:t>
      </w:r>
    </w:p>
    <w:p>
      <w:pPr>
        <w:pStyle w:val="nzIndenta"/>
      </w:pPr>
      <w:r>
        <w:tab/>
        <w:t>(c)</w:t>
      </w:r>
      <w:r>
        <w:tab/>
        <w:t>another person is appointed by the council to hold that office.</w:t>
      </w:r>
    </w:p>
    <w:p>
      <w:pPr>
        <w:pStyle w:val="nz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nz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BlankClose"/>
      </w:pPr>
    </w:p>
    <w:p>
      <w:pPr>
        <w:pStyle w:val="nzSectAltNote"/>
      </w:pPr>
      <w:r>
        <w:tab/>
        <w:t>Note:</w:t>
      </w:r>
      <w:r>
        <w:tab/>
        <w:t>The heading to amended by</w:t>
      </w:r>
      <w:r>
        <w:noBreakHyphen/>
        <w:t>law 6 is to read:</w:t>
      </w:r>
    </w:p>
    <w:p>
      <w:pPr>
        <w:pStyle w:val="nzSectAltHeading"/>
      </w:pPr>
      <w:r>
        <w:rPr>
          <w:b w:val="0"/>
        </w:rPr>
        <w:tab/>
      </w:r>
      <w:r>
        <w:rPr>
          <w:b w:val="0"/>
        </w:rPr>
        <w:tab/>
      </w:r>
      <w:r>
        <w:t>Chairperson, secretary and treasurer of council</w:t>
      </w:r>
    </w:p>
    <w:p>
      <w:pPr>
        <w:pStyle w:val="nzHeading5"/>
      </w:pPr>
      <w:bookmarkStart w:id="1985" w:name="_Toc530474597"/>
      <w:bookmarkStart w:id="1986" w:name="_Toc530475192"/>
      <w:r>
        <w:rPr>
          <w:rStyle w:val="CharSectno"/>
        </w:rPr>
        <w:t>93</w:t>
      </w:r>
      <w:r>
        <w:t>.</w:t>
      </w:r>
      <w:r>
        <w:tab/>
        <w:t>Schedule 1 by</w:t>
      </w:r>
      <w:r>
        <w:noBreakHyphen/>
        <w:t>law 7 amended</w:t>
      </w:r>
      <w:bookmarkEnd w:id="1985"/>
      <w:bookmarkEnd w:id="1986"/>
    </w:p>
    <w:p>
      <w:pPr>
        <w:pStyle w:val="nzSubsection"/>
      </w:pPr>
      <w:r>
        <w:tab/>
        <w:t>(1)</w:t>
      </w:r>
      <w:r>
        <w:tab/>
        <w:t>In Schedule 1 by</w:t>
      </w:r>
      <w:r>
        <w:noBreakHyphen/>
        <w:t>law 7(1) delete “</w:t>
      </w:r>
      <w:r>
        <w:rPr>
          <w:sz w:val="22"/>
        </w:rPr>
        <w:t>chairman,</w:t>
      </w:r>
      <w:r>
        <w:t>” (each occurrence) and insert:</w:t>
      </w:r>
    </w:p>
    <w:p>
      <w:pPr>
        <w:pStyle w:val="BlankOpen"/>
      </w:pPr>
    </w:p>
    <w:p>
      <w:pPr>
        <w:pStyle w:val="nzSubsection"/>
      </w:pPr>
      <w:r>
        <w:tab/>
      </w:r>
      <w:r>
        <w:tab/>
      </w:r>
      <w:r>
        <w:rPr>
          <w:sz w:val="22"/>
        </w:rPr>
        <w:t>chairperson,</w:t>
      </w:r>
    </w:p>
    <w:p>
      <w:pPr>
        <w:pStyle w:val="BlankClose"/>
      </w:pPr>
    </w:p>
    <w:p>
      <w:pPr>
        <w:pStyle w:val="nzSubsection"/>
      </w:pPr>
      <w:r>
        <w:tab/>
        <w:t>(2)</w:t>
      </w:r>
      <w:r>
        <w:tab/>
        <w:t>In Schedule 1 by</w:t>
      </w:r>
      <w:r>
        <w:noBreakHyphen/>
        <w:t>law 7(2) delete “</w:t>
      </w:r>
      <w:r>
        <w:rPr>
          <w:sz w:val="22"/>
        </w:rPr>
        <w:t>a proprietor to act as the chairman</w:t>
      </w:r>
      <w:r>
        <w:t>” and insert:</w:t>
      </w:r>
    </w:p>
    <w:p>
      <w:pPr>
        <w:pStyle w:val="BlankOpen"/>
      </w:pPr>
    </w:p>
    <w:p>
      <w:pPr>
        <w:pStyle w:val="nzSubsection"/>
      </w:pPr>
      <w:r>
        <w:tab/>
      </w:r>
      <w:r>
        <w:tab/>
      </w:r>
      <w:r>
        <w:rPr>
          <w:sz w:val="22"/>
        </w:rPr>
        <w:t>an owner of a lot to act as the chairperson</w:t>
      </w:r>
    </w:p>
    <w:p>
      <w:pPr>
        <w:pStyle w:val="BlankClose"/>
      </w:pPr>
    </w:p>
    <w:p>
      <w:pPr>
        <w:pStyle w:val="nzSubsection"/>
      </w:pPr>
      <w:r>
        <w:tab/>
        <w:t>(3)</w:t>
      </w:r>
      <w:r>
        <w:tab/>
        <w:t>In Schedule 1 by</w:t>
      </w:r>
      <w:r>
        <w:noBreakHyphen/>
        <w:t>law 7(3) delete “</w:t>
      </w:r>
      <w:r>
        <w:rPr>
          <w:sz w:val="22"/>
        </w:rPr>
        <w:t>he</w:t>
      </w:r>
      <w:r>
        <w:t>” and insert:</w:t>
      </w:r>
    </w:p>
    <w:p>
      <w:pPr>
        <w:pStyle w:val="BlankOpen"/>
      </w:pPr>
    </w:p>
    <w:p>
      <w:pPr>
        <w:pStyle w:val="nzSubsection"/>
      </w:pPr>
      <w:r>
        <w:tab/>
      </w:r>
      <w:r>
        <w:tab/>
      </w:r>
      <w:r>
        <w:rPr>
          <w:sz w:val="22"/>
        </w:rPr>
        <w:t>the person</w:t>
      </w:r>
    </w:p>
    <w:p>
      <w:pPr>
        <w:pStyle w:val="BlankClose"/>
        <w:keepNext/>
      </w:pPr>
    </w:p>
    <w:p>
      <w:pPr>
        <w:pStyle w:val="nzSectAltNote"/>
      </w:pPr>
      <w:r>
        <w:tab/>
        <w:t>Note:</w:t>
      </w:r>
      <w:r>
        <w:tab/>
        <w:t>The heading to amended by</w:t>
      </w:r>
      <w:r>
        <w:noBreakHyphen/>
        <w:t>law 7 is to read:</w:t>
      </w:r>
    </w:p>
    <w:p>
      <w:pPr>
        <w:pStyle w:val="nzSectAltHeading"/>
      </w:pPr>
      <w:r>
        <w:rPr>
          <w:b w:val="0"/>
        </w:rPr>
        <w:tab/>
      </w:r>
      <w:r>
        <w:rPr>
          <w:b w:val="0"/>
        </w:rPr>
        <w:tab/>
      </w:r>
      <w:r>
        <w:t>Chairperson, secretary and treasurer of strata company</w:t>
      </w:r>
    </w:p>
    <w:p>
      <w:pPr>
        <w:pStyle w:val="nzHeading5"/>
      </w:pPr>
      <w:bookmarkStart w:id="1987" w:name="_Toc530474598"/>
      <w:bookmarkStart w:id="1988" w:name="_Toc530475193"/>
      <w:r>
        <w:rPr>
          <w:rStyle w:val="CharSectno"/>
        </w:rPr>
        <w:t>94</w:t>
      </w:r>
      <w:r>
        <w:t>.</w:t>
      </w:r>
      <w:r>
        <w:tab/>
        <w:t>Schedule 1 by</w:t>
      </w:r>
      <w:r>
        <w:noBreakHyphen/>
        <w:t>law 8 amended</w:t>
      </w:r>
      <w:bookmarkEnd w:id="1987"/>
      <w:bookmarkEnd w:id="1988"/>
    </w:p>
    <w:p>
      <w:pPr>
        <w:pStyle w:val="nzSubsection"/>
      </w:pPr>
      <w:r>
        <w:tab/>
        <w:t>(1)</w:t>
      </w:r>
      <w:r>
        <w:tab/>
        <w:t>In Schedule 1 by</w:t>
      </w:r>
      <w:r>
        <w:noBreakHyphen/>
        <w:t>law 8(1) delete “</w:t>
      </w:r>
      <w:r>
        <w:rPr>
          <w:sz w:val="22"/>
        </w:rPr>
        <w:t>shall</w:t>
      </w:r>
      <w:r>
        <w:t>” and insert:</w:t>
      </w:r>
    </w:p>
    <w:p>
      <w:pPr>
        <w:pStyle w:val="BlankOpen"/>
      </w:pPr>
    </w:p>
    <w:p>
      <w:pPr>
        <w:pStyle w:val="nzSubsection"/>
      </w:pPr>
      <w:r>
        <w:tab/>
      </w:r>
      <w:r>
        <w:tab/>
      </w:r>
      <w:r>
        <w:rPr>
          <w:sz w:val="22"/>
        </w:rPr>
        <w:t>must</w:t>
      </w:r>
    </w:p>
    <w:p>
      <w:pPr>
        <w:pStyle w:val="BlankClose"/>
      </w:pPr>
    </w:p>
    <w:p>
      <w:pPr>
        <w:pStyle w:val="nzSubsection"/>
      </w:pPr>
      <w:r>
        <w:tab/>
        <w:t>(2)</w:t>
      </w:r>
      <w:r>
        <w:tab/>
        <w:t>In Schedule 1 by</w:t>
      </w:r>
      <w:r>
        <w:noBreakHyphen/>
        <w:t>law 8(2):</w:t>
      </w:r>
    </w:p>
    <w:p>
      <w:pPr>
        <w:pStyle w:val="nzIndenta"/>
      </w:pPr>
      <w:r>
        <w:tab/>
        <w:t>(a)</w:t>
      </w:r>
      <w:r>
        <w:tab/>
        <w:t>in paragraph (a) delete “</w:t>
      </w:r>
      <w:r>
        <w:rPr>
          <w:sz w:val="22"/>
        </w:rPr>
        <w:t>shall</w:t>
      </w:r>
      <w:r>
        <w:t>” and insert:</w:t>
      </w:r>
    </w:p>
    <w:p>
      <w:pPr>
        <w:pStyle w:val="BlankOpen"/>
      </w:pPr>
    </w:p>
    <w:p>
      <w:pPr>
        <w:pStyle w:val="nzIndenta"/>
      </w:pPr>
      <w:r>
        <w:tab/>
      </w:r>
      <w:r>
        <w:tab/>
      </w:r>
      <w:r>
        <w:rPr>
          <w:sz w:val="22"/>
          <w:szCs w:val="22"/>
        </w:rPr>
        <w:t>must</w:t>
      </w:r>
    </w:p>
    <w:p>
      <w:pPr>
        <w:pStyle w:val="BlankClose"/>
      </w:pPr>
    </w:p>
    <w:p>
      <w:pPr>
        <w:pStyle w:val="nzIndenta"/>
      </w:pPr>
      <w:r>
        <w:tab/>
        <w:t>(b)</w:t>
      </w:r>
      <w:r>
        <w:tab/>
        <w:t>in paragraph (a) delete “</w:t>
      </w:r>
      <w:r>
        <w:rPr>
          <w:sz w:val="22"/>
        </w:rPr>
        <w:t>him,</w:t>
      </w:r>
      <w:r>
        <w:t>” and insert:</w:t>
      </w:r>
    </w:p>
    <w:p>
      <w:pPr>
        <w:pStyle w:val="BlankOpen"/>
      </w:pPr>
    </w:p>
    <w:p>
      <w:pPr>
        <w:pStyle w:val="nzIndenta"/>
      </w:pPr>
      <w:r>
        <w:tab/>
      </w:r>
      <w:r>
        <w:tab/>
      </w:r>
      <w:r>
        <w:rPr>
          <w:sz w:val="22"/>
          <w:szCs w:val="22"/>
        </w:rPr>
        <w:t>the member</w:t>
      </w:r>
    </w:p>
    <w:p>
      <w:pPr>
        <w:pStyle w:val="BlankClose"/>
      </w:pPr>
    </w:p>
    <w:p>
      <w:pPr>
        <w:pStyle w:val="nzIndenta"/>
      </w:pPr>
      <w:r>
        <w:tab/>
        <w:t>(c)</w:t>
      </w:r>
      <w:r>
        <w:tab/>
        <w:t>in paragraph (a) delete “</w:t>
      </w:r>
      <w:r>
        <w:rPr>
          <w:sz w:val="22"/>
        </w:rPr>
        <w:t>meeting;</w:t>
      </w:r>
      <w:r>
        <w:t>” and insert:</w:t>
      </w:r>
    </w:p>
    <w:p>
      <w:pPr>
        <w:pStyle w:val="BlankOpen"/>
      </w:pPr>
    </w:p>
    <w:p>
      <w:pPr>
        <w:pStyle w:val="nzIndenta"/>
      </w:pPr>
      <w:r>
        <w:tab/>
      </w:r>
      <w:r>
        <w:tab/>
      </w:r>
      <w:r>
        <w:rPr>
          <w:sz w:val="22"/>
        </w:rPr>
        <w:t>meeting; or</w:t>
      </w:r>
    </w:p>
    <w:p>
      <w:pPr>
        <w:pStyle w:val="BlankClose"/>
      </w:pPr>
    </w:p>
    <w:p>
      <w:pPr>
        <w:pStyle w:val="nzIndenta"/>
      </w:pPr>
      <w:r>
        <w:tab/>
        <w:t>(d)</w:t>
      </w:r>
      <w:r>
        <w:tab/>
        <w:t>delete paragraph (b) and insert:</w:t>
      </w:r>
    </w:p>
    <w:p>
      <w:pPr>
        <w:pStyle w:val="BlankOpen"/>
      </w:pPr>
    </w:p>
    <w:p>
      <w:pPr>
        <w:pStyle w:val="nzIndenta"/>
      </w:pPr>
      <w:r>
        <w:tab/>
        <w:t>(b)</w:t>
      </w:r>
      <w:r>
        <w:tab/>
        <w:t>employ or engage, on behalf of the strata company, any person as it thinks is necessary to provide any goods, amenity or service to the strata company; or</w:t>
      </w:r>
    </w:p>
    <w:p>
      <w:pPr>
        <w:pStyle w:val="BlankClose"/>
      </w:pPr>
    </w:p>
    <w:p>
      <w:pPr>
        <w:pStyle w:val="nzIndenta"/>
      </w:pPr>
      <w:r>
        <w:tab/>
        <w:t>(e)</w:t>
      </w:r>
      <w:r>
        <w:tab/>
        <w:t>in paragraph (c) delete “</w:t>
      </w:r>
      <w:r>
        <w:rPr>
          <w:sz w:val="22"/>
        </w:rPr>
        <w:t>one</w:t>
      </w:r>
      <w:r>
        <w:t>” and insert:</w:t>
      </w:r>
    </w:p>
    <w:p>
      <w:pPr>
        <w:pStyle w:val="BlankOpen"/>
      </w:pPr>
    </w:p>
    <w:p>
      <w:pPr>
        <w:pStyle w:val="nzIndenta"/>
      </w:pPr>
      <w:r>
        <w:tab/>
      </w:r>
      <w:r>
        <w:tab/>
      </w:r>
      <w:r>
        <w:rPr>
          <w:sz w:val="22"/>
        </w:rPr>
        <w:t>1</w:t>
      </w:r>
    </w:p>
    <w:p>
      <w:pPr>
        <w:pStyle w:val="BlankClose"/>
      </w:pPr>
    </w:p>
    <w:p>
      <w:pPr>
        <w:pStyle w:val="nzSubsection"/>
      </w:pPr>
      <w:r>
        <w:tab/>
        <w:t>(3)</w:t>
      </w:r>
      <w:r>
        <w:tab/>
        <w:t>Delete Schedule 1 by</w:t>
      </w:r>
      <w:r>
        <w:noBreakHyphen/>
        <w:t>law 8(3) and insert:</w:t>
      </w:r>
    </w:p>
    <w:p>
      <w:pPr>
        <w:pStyle w:val="BlankOpen"/>
      </w:pPr>
    </w:p>
    <w:p>
      <w:pPr>
        <w:pStyle w:val="nz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BlankClose"/>
      </w:pPr>
    </w:p>
    <w:p>
      <w:pPr>
        <w:pStyle w:val="nzSubsection"/>
      </w:pPr>
      <w:r>
        <w:tab/>
        <w:t>(4)</w:t>
      </w:r>
      <w:r>
        <w:tab/>
        <w:t>In Schedule 1 by</w:t>
      </w:r>
      <w:r>
        <w:noBreakHyphen/>
        <w:t>law 8(4):</w:t>
      </w:r>
    </w:p>
    <w:p>
      <w:pPr>
        <w:pStyle w:val="nzIndenta"/>
      </w:pPr>
      <w:r>
        <w:tab/>
        <w:t>(a)</w:t>
      </w:r>
      <w:r>
        <w:tab/>
        <w:t>delete “</w:t>
      </w:r>
      <w:r>
        <w:rPr>
          <w:sz w:val="22"/>
        </w:rPr>
        <w:t>A</w:t>
      </w:r>
      <w:r>
        <w:t xml:space="preserve"> </w:t>
      </w:r>
      <w:r>
        <w:rPr>
          <w:sz w:val="22"/>
        </w:rPr>
        <w:t>proprietor</w:t>
      </w:r>
      <w:r>
        <w:t>” and insert:</w:t>
      </w:r>
    </w:p>
    <w:p>
      <w:pPr>
        <w:pStyle w:val="BlankOpen"/>
      </w:pPr>
    </w:p>
    <w:p>
      <w:pPr>
        <w:pStyle w:val="nzIndenta"/>
      </w:pPr>
      <w:r>
        <w:tab/>
      </w:r>
      <w:r>
        <w:tab/>
      </w:r>
      <w:r>
        <w:rPr>
          <w:sz w:val="22"/>
          <w:szCs w:val="22"/>
        </w:rPr>
        <w:t>An owner of a lot</w:t>
      </w:r>
    </w:p>
    <w:p>
      <w:pPr>
        <w:pStyle w:val="BlankClose"/>
      </w:pPr>
    </w:p>
    <w:p>
      <w:pPr>
        <w:pStyle w:val="nzIndenta"/>
        <w:rPr>
          <w:snapToGrid w:val="0"/>
        </w:rPr>
      </w:pPr>
      <w:r>
        <w:tab/>
        <w:t>(b)</w:t>
      </w:r>
      <w:r>
        <w:tab/>
        <w:t>delete “</w:t>
      </w:r>
      <w:r>
        <w:rPr>
          <w:sz w:val="22"/>
          <w:szCs w:val="22"/>
        </w:rPr>
        <w:t>he</w:t>
      </w:r>
      <w:r>
        <w:rPr>
          <w:snapToGrid w:val="0"/>
        </w:rPr>
        <w:t>” and insert:</w:t>
      </w:r>
    </w:p>
    <w:p>
      <w:pPr>
        <w:pStyle w:val="BlankOpen"/>
      </w:pPr>
    </w:p>
    <w:p>
      <w:pPr>
        <w:pStyle w:val="nzIndenta"/>
      </w:pPr>
      <w:r>
        <w:tab/>
      </w:r>
      <w:r>
        <w:tab/>
      </w:r>
      <w:r>
        <w:rPr>
          <w:snapToGrid w:val="0"/>
          <w:sz w:val="22"/>
          <w:szCs w:val="22"/>
        </w:rPr>
        <w:t>that</w:t>
      </w:r>
      <w:r>
        <w:rPr>
          <w:sz w:val="22"/>
        </w:rPr>
        <w:t xml:space="preserve"> person</w:t>
      </w:r>
    </w:p>
    <w:p>
      <w:pPr>
        <w:pStyle w:val="BlankClose"/>
      </w:pPr>
    </w:p>
    <w:p>
      <w:pPr>
        <w:pStyle w:val="nzSubsection"/>
      </w:pPr>
      <w:r>
        <w:tab/>
        <w:t>(5)</w:t>
      </w:r>
      <w:r>
        <w:tab/>
        <w:t>In Schedule 1 by</w:t>
      </w:r>
      <w:r>
        <w:noBreakHyphen/>
        <w:t>law 8(5):</w:t>
      </w:r>
    </w:p>
    <w:p>
      <w:pPr>
        <w:pStyle w:val="nzIndenta"/>
        <w:rPr>
          <w:snapToGrid w:val="0"/>
        </w:rPr>
      </w:pPr>
      <w:r>
        <w:tab/>
        <w:t>(a)</w:t>
      </w:r>
      <w:r>
        <w:tab/>
        <w:t>delete “</w:t>
      </w:r>
      <w:r>
        <w:rPr>
          <w:sz w:val="22"/>
          <w:szCs w:val="22"/>
        </w:rPr>
        <w:t>he</w:t>
      </w:r>
      <w:r>
        <w:rPr>
          <w:snapToGrid w:val="0"/>
        </w:rPr>
        <w:t>” (each occurrence) and insert:</w:t>
      </w:r>
    </w:p>
    <w:p>
      <w:pPr>
        <w:pStyle w:val="BlankOpen"/>
      </w:pPr>
    </w:p>
    <w:p>
      <w:pPr>
        <w:pStyle w:val="nzIndenta"/>
      </w:pPr>
      <w:r>
        <w:tab/>
      </w:r>
      <w:r>
        <w:tab/>
      </w:r>
      <w:r>
        <w:rPr>
          <w:snapToGrid w:val="0"/>
          <w:sz w:val="22"/>
          <w:szCs w:val="22"/>
        </w:rPr>
        <w:t>the</w:t>
      </w:r>
      <w:r>
        <w:rPr>
          <w:sz w:val="22"/>
        </w:rPr>
        <w:t xml:space="preserve"> person</w:t>
      </w:r>
    </w:p>
    <w:p>
      <w:pPr>
        <w:pStyle w:val="BlankClose"/>
        <w:keepNext/>
      </w:pPr>
    </w:p>
    <w:p>
      <w:pPr>
        <w:pStyle w:val="nzIndenta"/>
        <w:rPr>
          <w:snapToGrid w:val="0"/>
        </w:rPr>
      </w:pPr>
      <w:r>
        <w:tab/>
        <w:t>(b)</w:t>
      </w:r>
      <w:r>
        <w:tab/>
        <w:t>delete “</w:t>
      </w:r>
      <w:r>
        <w:rPr>
          <w:sz w:val="22"/>
          <w:szCs w:val="22"/>
        </w:rPr>
        <w:t>his</w:t>
      </w:r>
      <w:r>
        <w:rPr>
          <w:snapToGrid w:val="0"/>
        </w:rPr>
        <w:t>” and insert:</w:t>
      </w:r>
    </w:p>
    <w:p>
      <w:pPr>
        <w:pStyle w:val="BlankOpen"/>
      </w:pPr>
    </w:p>
    <w:p>
      <w:pPr>
        <w:pStyle w:val="nzIndenta"/>
      </w:pPr>
      <w:r>
        <w:tab/>
      </w:r>
      <w:r>
        <w:tab/>
      </w:r>
      <w:r>
        <w:rPr>
          <w:snapToGrid w:val="0"/>
          <w:sz w:val="22"/>
          <w:szCs w:val="22"/>
        </w:rPr>
        <w:t>the</w:t>
      </w:r>
      <w:r>
        <w:rPr>
          <w:sz w:val="22"/>
        </w:rPr>
        <w:t xml:space="preserve"> person’s</w:t>
      </w:r>
    </w:p>
    <w:p>
      <w:pPr>
        <w:pStyle w:val="BlankClose"/>
        <w:keepNext/>
      </w:pPr>
    </w:p>
    <w:p>
      <w:pPr>
        <w:pStyle w:val="nzSubsection"/>
      </w:pPr>
      <w:r>
        <w:tab/>
        <w:t>(6)</w:t>
      </w:r>
      <w:r>
        <w:tab/>
        <w:t>Delete Schedule 1 by</w:t>
      </w:r>
      <w:r>
        <w:noBreakHyphen/>
        <w:t>law 8(6).</w:t>
      </w:r>
    </w:p>
    <w:p>
      <w:pPr>
        <w:pStyle w:val="nzHeading5"/>
      </w:pPr>
      <w:bookmarkStart w:id="1989" w:name="_Toc530474599"/>
      <w:bookmarkStart w:id="1990" w:name="_Toc530475194"/>
      <w:r>
        <w:rPr>
          <w:rStyle w:val="CharSectno"/>
        </w:rPr>
        <w:t>95</w:t>
      </w:r>
      <w:r>
        <w:t>.</w:t>
      </w:r>
      <w:r>
        <w:tab/>
        <w:t>Schedule 1 by</w:t>
      </w:r>
      <w:r>
        <w:noBreakHyphen/>
        <w:t>law 9 amended</w:t>
      </w:r>
      <w:bookmarkEnd w:id="1989"/>
      <w:bookmarkEnd w:id="1990"/>
    </w:p>
    <w:p>
      <w:pPr>
        <w:pStyle w:val="nzSubsection"/>
      </w:pPr>
      <w:r>
        <w:tab/>
      </w:r>
      <w:r>
        <w:tab/>
        <w:t>In Schedule 1 by</w:t>
      </w:r>
      <w:r>
        <w:noBreakHyphen/>
        <w:t>law 9:</w:t>
      </w:r>
    </w:p>
    <w:p>
      <w:pPr>
        <w:pStyle w:val="nzIndenta"/>
      </w:pPr>
      <w:r>
        <w:tab/>
        <w:t>(a)</w:t>
      </w:r>
      <w:r>
        <w:tab/>
        <w:t>delete paragraph (c) and insert:</w:t>
      </w:r>
    </w:p>
    <w:p>
      <w:pPr>
        <w:pStyle w:val="BlankOpen"/>
      </w:pPr>
    </w:p>
    <w:p>
      <w:pPr>
        <w:pStyle w:val="nzIndenta"/>
      </w:pPr>
      <w:r>
        <w:tab/>
        <w:t>(c)</w:t>
      </w:r>
      <w:r>
        <w:tab/>
        <w:t xml:space="preserve">the supply of information on behalf of the strata company in accordance with the </w:t>
      </w:r>
      <w:r>
        <w:rPr>
          <w:i/>
        </w:rPr>
        <w:t>Strata Titles Act 1985</w:t>
      </w:r>
      <w:r>
        <w:t xml:space="preserve"> sections 108 and 109; and</w:t>
      </w:r>
    </w:p>
    <w:p>
      <w:pPr>
        <w:pStyle w:val="BlankClose"/>
      </w:pPr>
    </w:p>
    <w:p>
      <w:pPr>
        <w:pStyle w:val="nzIndenta"/>
      </w:pPr>
      <w:r>
        <w:tab/>
        <w:t>(b)</w:t>
      </w:r>
      <w:r>
        <w:tab/>
        <w:t>delete paragraph (f) and insert:</w:t>
      </w:r>
    </w:p>
    <w:p>
      <w:pPr>
        <w:pStyle w:val="BlankOpen"/>
      </w:pPr>
    </w:p>
    <w:p>
      <w:pPr>
        <w:pStyle w:val="nzIndenta"/>
      </w:pPr>
      <w:r>
        <w:tab/>
        <w:t>(f)</w:t>
      </w:r>
      <w:r>
        <w:tab/>
        <w:t xml:space="preserve">subject to the </w:t>
      </w:r>
      <w:r>
        <w:rPr>
          <w:i/>
        </w:rPr>
        <w:t>Strata Titles Act 1985</w:t>
      </w:r>
      <w:r>
        <w:t xml:space="preserve"> sections 127, 128, 129, 200(2)(f) and (g) the convening of meetings of the strata company and of the council.</w:t>
      </w:r>
    </w:p>
    <w:p>
      <w:pPr>
        <w:pStyle w:val="BlankClose"/>
      </w:pPr>
    </w:p>
    <w:p>
      <w:pPr>
        <w:pStyle w:val="nzHeading5"/>
      </w:pPr>
      <w:bookmarkStart w:id="1991" w:name="_Toc530474600"/>
      <w:bookmarkStart w:id="1992" w:name="_Toc530475195"/>
      <w:r>
        <w:rPr>
          <w:rStyle w:val="CharSectno"/>
        </w:rPr>
        <w:t>96</w:t>
      </w:r>
      <w:r>
        <w:t>.</w:t>
      </w:r>
      <w:r>
        <w:tab/>
        <w:t>Schedule 1 by</w:t>
      </w:r>
      <w:r>
        <w:noBreakHyphen/>
        <w:t>law 10 amended</w:t>
      </w:r>
      <w:bookmarkEnd w:id="1991"/>
      <w:bookmarkEnd w:id="1992"/>
    </w:p>
    <w:p>
      <w:pPr>
        <w:pStyle w:val="nzSubsection"/>
      </w:pPr>
      <w:r>
        <w:tab/>
      </w:r>
      <w:r>
        <w:tab/>
        <w:t>In Schedule 1 by</w:t>
      </w:r>
      <w:r>
        <w:noBreakHyphen/>
        <w:t>law 10:</w:t>
      </w:r>
    </w:p>
    <w:p>
      <w:pPr>
        <w:pStyle w:val="nzIndenta"/>
      </w:pPr>
      <w:r>
        <w:tab/>
        <w:t>(a)</w:t>
      </w:r>
      <w:r>
        <w:tab/>
        <w:t>in paragraph (a) delete “</w:t>
      </w:r>
      <w:r>
        <w:rPr>
          <w:sz w:val="22"/>
        </w:rPr>
        <w:t>proprietors</w:t>
      </w:r>
      <w:r>
        <w:t>” and insert:</w:t>
      </w:r>
    </w:p>
    <w:p>
      <w:pPr>
        <w:pStyle w:val="BlankOpen"/>
      </w:pPr>
    </w:p>
    <w:p>
      <w:pPr>
        <w:pStyle w:val="nzIndenta"/>
      </w:pPr>
      <w:r>
        <w:tab/>
      </w:r>
      <w:r>
        <w:tab/>
      </w:r>
      <w:r>
        <w:rPr>
          <w:sz w:val="22"/>
        </w:rPr>
        <w:t>owners of lots</w:t>
      </w:r>
    </w:p>
    <w:p>
      <w:pPr>
        <w:pStyle w:val="BlankClose"/>
      </w:pPr>
    </w:p>
    <w:p>
      <w:pPr>
        <w:pStyle w:val="nzIndenta"/>
      </w:pPr>
      <w:r>
        <w:tab/>
        <w:t>(b)</w:t>
      </w:r>
      <w:r>
        <w:tab/>
        <w:t>in paragraph (a) delete “</w:t>
      </w:r>
      <w:r>
        <w:rPr>
          <w:sz w:val="22"/>
          <w:szCs w:val="22"/>
        </w:rPr>
        <w:t>pursuant to the Act; and</w:t>
      </w:r>
      <w:r>
        <w:t>” and insert:</w:t>
      </w:r>
    </w:p>
    <w:p>
      <w:pPr>
        <w:pStyle w:val="BlankOpen"/>
      </w:pPr>
    </w:p>
    <w:p>
      <w:pPr>
        <w:pStyle w:val="nzIndenta"/>
      </w:pPr>
      <w:r>
        <w:rPr>
          <w:sz w:val="22"/>
          <w:szCs w:val="22"/>
        </w:rPr>
        <w:tab/>
      </w:r>
      <w:r>
        <w:rPr>
          <w:sz w:val="22"/>
          <w:szCs w:val="22"/>
        </w:rPr>
        <w:tab/>
        <w:t xml:space="preserve">under the </w:t>
      </w:r>
      <w:r>
        <w:rPr>
          <w:i/>
          <w:sz w:val="22"/>
          <w:szCs w:val="22"/>
        </w:rPr>
        <w:t>Strata Titles Act 1985</w:t>
      </w:r>
      <w:r>
        <w:rPr>
          <w:sz w:val="22"/>
          <w:szCs w:val="22"/>
        </w:rPr>
        <w:t>; and</w:t>
      </w:r>
    </w:p>
    <w:p>
      <w:pPr>
        <w:pStyle w:val="BlankClose"/>
      </w:pPr>
    </w:p>
    <w:p>
      <w:pPr>
        <w:pStyle w:val="nzIndenta"/>
        <w:rPr>
          <w:snapToGrid w:val="0"/>
        </w:rPr>
      </w:pPr>
      <w:r>
        <w:tab/>
        <w:t>(c)</w:t>
      </w:r>
      <w:r>
        <w:tab/>
        <w:t>in paragraph (c) delete “</w:t>
      </w:r>
      <w:r>
        <w:rPr>
          <w:snapToGrid w:val="0"/>
        </w:rPr>
        <w:t>section 43 of the Act; and</w:t>
      </w:r>
      <w:r>
        <w:rPr>
          <w:snapToGrid w:val="0"/>
          <w:sz w:val="24"/>
          <w:szCs w:val="24"/>
        </w:rPr>
        <w:t>” and insert:</w:t>
      </w:r>
    </w:p>
    <w:p>
      <w:pPr>
        <w:pStyle w:val="BlankOpen"/>
        <w:rPr>
          <w:snapToGrid w:val="0"/>
        </w:rPr>
      </w:pPr>
    </w:p>
    <w:p>
      <w:pPr>
        <w:pStyle w:val="nzIndenta"/>
        <w:rPr>
          <w:snapToGrid w:val="0"/>
        </w:rPr>
      </w:pPr>
      <w:r>
        <w:rPr>
          <w:snapToGrid w:val="0"/>
          <w:szCs w:val="22"/>
        </w:rPr>
        <w:tab/>
      </w:r>
      <w:r>
        <w:rPr>
          <w:snapToGrid w:val="0"/>
          <w:szCs w:val="22"/>
        </w:rPr>
        <w:tab/>
        <w:t xml:space="preserve">the </w:t>
      </w:r>
      <w:r>
        <w:rPr>
          <w:i/>
          <w:snapToGrid w:val="0"/>
          <w:szCs w:val="22"/>
        </w:rPr>
        <w:t>Strata Titles Act 1985</w:t>
      </w:r>
      <w:r>
        <w:rPr>
          <w:snapToGrid w:val="0"/>
          <w:szCs w:val="22"/>
        </w:rPr>
        <w:t xml:space="preserve"> section 110; and</w:t>
      </w:r>
    </w:p>
    <w:p>
      <w:pPr>
        <w:pStyle w:val="BlankClose"/>
        <w:rPr>
          <w:snapToGrid w:val="0"/>
        </w:rPr>
      </w:pPr>
    </w:p>
    <w:p>
      <w:pPr>
        <w:pStyle w:val="nzIndenta"/>
      </w:pPr>
      <w:r>
        <w:tab/>
        <w:t>(d)</w:t>
      </w:r>
      <w:r>
        <w:tab/>
        <w:t>delete paragraph (d) and insert:</w:t>
      </w:r>
    </w:p>
    <w:p>
      <w:pPr>
        <w:pStyle w:val="BlankOpen"/>
      </w:pPr>
    </w:p>
    <w:p>
      <w:pPr>
        <w:pStyle w:val="nz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BlankClose"/>
      </w:pPr>
    </w:p>
    <w:p>
      <w:pPr>
        <w:pStyle w:val="nzHeading5"/>
      </w:pPr>
      <w:bookmarkStart w:id="1993" w:name="_Toc530474601"/>
      <w:bookmarkStart w:id="1994" w:name="_Toc530475196"/>
      <w:r>
        <w:rPr>
          <w:rStyle w:val="CharSectno"/>
        </w:rPr>
        <w:t>97</w:t>
      </w:r>
      <w:r>
        <w:t>.</w:t>
      </w:r>
      <w:r>
        <w:tab/>
        <w:t>Schedule 1 by</w:t>
      </w:r>
      <w:r>
        <w:noBreakHyphen/>
        <w:t>laws 11 to 15 deleted</w:t>
      </w:r>
      <w:bookmarkEnd w:id="1993"/>
      <w:bookmarkEnd w:id="1994"/>
    </w:p>
    <w:p>
      <w:pPr>
        <w:pStyle w:val="nzSubsection"/>
      </w:pPr>
      <w:r>
        <w:tab/>
      </w:r>
      <w:r>
        <w:tab/>
        <w:t>Delete Schedule 1 by</w:t>
      </w:r>
      <w:r>
        <w:noBreakHyphen/>
        <w:t>laws 11 to 15.</w:t>
      </w:r>
    </w:p>
    <w:p>
      <w:pPr>
        <w:pStyle w:val="nzHeading5"/>
      </w:pPr>
      <w:bookmarkStart w:id="1995" w:name="_Toc530474602"/>
      <w:bookmarkStart w:id="1996" w:name="_Toc530475197"/>
      <w:r>
        <w:rPr>
          <w:rStyle w:val="CharSectno"/>
        </w:rPr>
        <w:t>98</w:t>
      </w:r>
      <w:r>
        <w:t>.</w:t>
      </w:r>
      <w:r>
        <w:tab/>
        <w:t>Schedule 2 heading replaced</w:t>
      </w:r>
      <w:bookmarkEnd w:id="1995"/>
      <w:bookmarkEnd w:id="1996"/>
    </w:p>
    <w:p>
      <w:pPr>
        <w:pStyle w:val="nzSubsection"/>
      </w:pPr>
      <w:r>
        <w:tab/>
      </w:r>
      <w:r>
        <w:tab/>
        <w:t>Delete the heading to Schedule 2 and the reference after it and insert:</w:t>
      </w:r>
    </w:p>
    <w:p>
      <w:pPr>
        <w:pStyle w:val="BlankOpen"/>
      </w:pPr>
    </w:p>
    <w:p>
      <w:pPr>
        <w:pStyle w:val="nzHeading2"/>
      </w:pPr>
      <w:bookmarkStart w:id="1997" w:name="_Toc517437804"/>
      <w:bookmarkStart w:id="1998" w:name="_Toc517438346"/>
      <w:bookmarkStart w:id="1999" w:name="_Toc517440683"/>
      <w:bookmarkStart w:id="2000" w:name="_Toc517447720"/>
      <w:bookmarkStart w:id="2001" w:name="_Toc517450198"/>
      <w:bookmarkStart w:id="2002" w:name="_Toc517450740"/>
      <w:bookmarkStart w:id="2003" w:name="_Toc517857196"/>
      <w:bookmarkStart w:id="2004" w:name="_Toc518293323"/>
      <w:bookmarkStart w:id="2005" w:name="_Toc522744551"/>
      <w:bookmarkStart w:id="2006" w:name="_Toc522747674"/>
      <w:bookmarkStart w:id="2007" w:name="_Toc529183512"/>
      <w:bookmarkStart w:id="2008" w:name="_Toc529188275"/>
      <w:bookmarkStart w:id="2009" w:name="_Toc529434788"/>
      <w:bookmarkStart w:id="2010" w:name="_Toc529524679"/>
      <w:bookmarkStart w:id="2011" w:name="_Toc530474603"/>
      <w:bookmarkStart w:id="2012" w:name="_Toc530475198"/>
      <w:r>
        <w:t>Schedule 2 — Conduct by</w:t>
      </w:r>
      <w:r>
        <w:noBreakHyphen/>
        <w:t>laws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BlankClose"/>
        <w:keepNext/>
      </w:pPr>
    </w:p>
    <w:p>
      <w:pPr>
        <w:pStyle w:val="nzHeading5"/>
      </w:pPr>
      <w:bookmarkStart w:id="2013" w:name="_Toc530474604"/>
      <w:bookmarkStart w:id="2014" w:name="_Toc530475199"/>
      <w:r>
        <w:rPr>
          <w:rStyle w:val="CharSectno"/>
        </w:rPr>
        <w:t>99</w:t>
      </w:r>
      <w:r>
        <w:t>.</w:t>
      </w:r>
      <w:r>
        <w:tab/>
        <w:t>Schedule 2 by</w:t>
      </w:r>
      <w:r>
        <w:noBreakHyphen/>
        <w:t>law 1 replaced</w:t>
      </w:r>
      <w:bookmarkEnd w:id="2013"/>
      <w:bookmarkEnd w:id="2014"/>
    </w:p>
    <w:p>
      <w:pPr>
        <w:pStyle w:val="nzSubsection"/>
      </w:pPr>
      <w:r>
        <w:tab/>
      </w:r>
      <w:r>
        <w:tab/>
        <w:t>Delete Schedule 2 by</w:t>
      </w:r>
      <w:r>
        <w:noBreakHyphen/>
        <w:t>law 1 and insert:</w:t>
      </w:r>
    </w:p>
    <w:p>
      <w:pPr>
        <w:pStyle w:val="BlankOpen"/>
      </w:pPr>
    </w:p>
    <w:p>
      <w:pPr>
        <w:pStyle w:val="nzHeading5"/>
      </w:pPr>
      <w:bookmarkStart w:id="2015" w:name="_Toc530474605"/>
      <w:bookmarkStart w:id="2016" w:name="_Toc530475200"/>
      <w:r>
        <w:t>1.</w:t>
      </w:r>
      <w:r>
        <w:tab/>
        <w:t>Vehicles and parking</w:t>
      </w:r>
      <w:bookmarkEnd w:id="2015"/>
      <w:bookmarkEnd w:id="2016"/>
    </w:p>
    <w:p>
      <w:pPr>
        <w:pStyle w:val="nzSubsection"/>
      </w:pPr>
      <w:r>
        <w:tab/>
        <w:t>(1)</w:t>
      </w:r>
      <w:r>
        <w:tab/>
        <w:t>An owner or occupier of a lot must take all reasonable steps to ensure that the owner’s or occupier’s visitors comply with the scheme by</w:t>
      </w:r>
      <w:r>
        <w:noBreakHyphen/>
        <w:t>laws relating to the parking of motor vehicles.</w:t>
      </w:r>
    </w:p>
    <w:p>
      <w:pPr>
        <w:pStyle w:val="nzSubsection"/>
      </w:pPr>
      <w:r>
        <w:tab/>
        <w:t>(2)</w:t>
      </w:r>
      <w:r>
        <w:tab/>
        <w:t>An owner or occupier of a lot must not park or stand any motor or other vehicle on common property except with the written approval of the strata company.</w:t>
      </w:r>
    </w:p>
    <w:p>
      <w:pPr>
        <w:pStyle w:val="BlankClose"/>
      </w:pPr>
    </w:p>
    <w:p>
      <w:pPr>
        <w:pStyle w:val="nzHeading5"/>
      </w:pPr>
      <w:bookmarkStart w:id="2017" w:name="_Toc530474606"/>
      <w:bookmarkStart w:id="2018" w:name="_Toc530475201"/>
      <w:r>
        <w:rPr>
          <w:rStyle w:val="CharSectno"/>
        </w:rPr>
        <w:t>100</w:t>
      </w:r>
      <w:r>
        <w:t>.</w:t>
      </w:r>
      <w:r>
        <w:tab/>
        <w:t>Schedule 2 by</w:t>
      </w:r>
      <w:r>
        <w:noBreakHyphen/>
        <w:t>law 2 replaced</w:t>
      </w:r>
      <w:bookmarkEnd w:id="2017"/>
      <w:bookmarkEnd w:id="2018"/>
    </w:p>
    <w:p>
      <w:pPr>
        <w:pStyle w:val="nzSubsection"/>
      </w:pPr>
      <w:r>
        <w:tab/>
      </w:r>
      <w:r>
        <w:tab/>
        <w:t>Delete Schedule 2 by</w:t>
      </w:r>
      <w:r>
        <w:noBreakHyphen/>
        <w:t>law 2 and insert:</w:t>
      </w:r>
    </w:p>
    <w:p>
      <w:pPr>
        <w:pStyle w:val="BlankOpen"/>
      </w:pPr>
    </w:p>
    <w:p>
      <w:pPr>
        <w:pStyle w:val="nzHeading5"/>
      </w:pPr>
      <w:bookmarkStart w:id="2019" w:name="_Toc530474607"/>
      <w:bookmarkStart w:id="2020" w:name="_Toc530475202"/>
      <w:r>
        <w:t>2.</w:t>
      </w:r>
      <w:r>
        <w:tab/>
        <w:t>Use of common property</w:t>
      </w:r>
      <w:bookmarkEnd w:id="2019"/>
      <w:bookmarkEnd w:id="2020"/>
    </w:p>
    <w:p>
      <w:pPr>
        <w:pStyle w:val="nzSubsection"/>
      </w:pPr>
      <w:r>
        <w:rPr>
          <w:sz w:val="22"/>
        </w:rPr>
        <w:tab/>
      </w:r>
      <w:r>
        <w:rPr>
          <w:sz w:val="22"/>
        </w:rPr>
        <w:tab/>
        <w:t>An owner or occupier of a lot must —</w:t>
      </w:r>
    </w:p>
    <w:p>
      <w:pPr>
        <w:pStyle w:val="nzIndenta"/>
      </w:pPr>
      <w:r>
        <w:tab/>
        <w:t>(a)</w:t>
      </w:r>
      <w:r>
        <w:tab/>
        <w:t>use and enjoy the common property in such a manner as not unreasonably to interfere with the use and enjoyment of the common property by other owners or occupiers of lots or of their visitors; and</w:t>
      </w:r>
    </w:p>
    <w:p>
      <w:pPr>
        <w:pStyle w:val="nzIndenta"/>
      </w:pPr>
      <w:r>
        <w:tab/>
        <w:t>(b)</w:t>
      </w:r>
      <w:r>
        <w:tab/>
        <w:t>not use the lot or permit it to be used in such manner or for such purpose as causes a nuisance to an occupier of another lot (whether an owner or not) or the family of such an occupier; and</w:t>
      </w:r>
    </w:p>
    <w:p>
      <w:pPr>
        <w:pStyle w:val="nz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nzIndenta"/>
      </w:pPr>
      <w:r>
        <w:tab/>
        <w:t>(d)</w:t>
      </w:r>
      <w:r>
        <w:tab/>
        <w:t>not obstruct lawful use of common property by any person.</w:t>
      </w:r>
    </w:p>
    <w:p>
      <w:pPr>
        <w:pStyle w:val="BlankClose"/>
      </w:pPr>
    </w:p>
    <w:p>
      <w:pPr>
        <w:pStyle w:val="nzHeading5"/>
      </w:pPr>
      <w:bookmarkStart w:id="2021" w:name="_Toc530474608"/>
      <w:bookmarkStart w:id="2022" w:name="_Toc530475203"/>
      <w:r>
        <w:rPr>
          <w:rStyle w:val="CharSectno"/>
        </w:rPr>
        <w:t>101</w:t>
      </w:r>
      <w:r>
        <w:t>.</w:t>
      </w:r>
      <w:r>
        <w:tab/>
        <w:t>Schedule 2 by</w:t>
      </w:r>
      <w:r>
        <w:noBreakHyphen/>
        <w:t>law 3 amended</w:t>
      </w:r>
      <w:bookmarkEnd w:id="2021"/>
      <w:bookmarkEnd w:id="2022"/>
    </w:p>
    <w:p>
      <w:pPr>
        <w:pStyle w:val="nzSubsection"/>
      </w:pPr>
      <w:r>
        <w:tab/>
      </w:r>
      <w:r>
        <w:tab/>
        <w:t>In Schedule 2 by</w:t>
      </w:r>
      <w:r>
        <w:noBreakHyphen/>
        <w:t>law 3:</w:t>
      </w:r>
    </w:p>
    <w:p>
      <w:pPr>
        <w:pStyle w:val="nzIndenta"/>
      </w:pPr>
      <w:r>
        <w:tab/>
        <w:t>(a)</w:t>
      </w:r>
      <w:r>
        <w:tab/>
        <w:t>delete “</w:t>
      </w:r>
      <w:r>
        <w:rPr>
          <w:sz w:val="22"/>
        </w:rPr>
        <w:t>a proprietor, occupier, or other resident</w:t>
      </w:r>
      <w:r>
        <w:rPr>
          <w:snapToGrid w:val="0"/>
          <w:sz w:val="22"/>
          <w:szCs w:val="22"/>
        </w:rPr>
        <w:t xml:space="preserve"> of a lot</w:t>
      </w:r>
      <w:r>
        <w:rPr>
          <w:sz w:val="22"/>
          <w:szCs w:val="22"/>
        </w:rPr>
        <w:t xml:space="preserve"> shall</w:t>
      </w:r>
      <w:r>
        <w:t>” and insert:</w:t>
      </w:r>
    </w:p>
    <w:p>
      <w:pPr>
        <w:pStyle w:val="BlankOpen"/>
      </w:pPr>
    </w:p>
    <w:p>
      <w:pPr>
        <w:pStyle w:val="nzIndenta"/>
      </w:pPr>
      <w:r>
        <w:tab/>
      </w:r>
      <w:r>
        <w:tab/>
      </w:r>
      <w:r>
        <w:rPr>
          <w:sz w:val="22"/>
        </w:rPr>
        <w:t>an owner or occupier</w:t>
      </w:r>
      <w:r>
        <w:rPr>
          <w:snapToGrid w:val="0"/>
          <w:sz w:val="22"/>
          <w:szCs w:val="22"/>
        </w:rPr>
        <w:t xml:space="preserve"> of a lot must</w:t>
      </w:r>
    </w:p>
    <w:p>
      <w:pPr>
        <w:pStyle w:val="BlankClose"/>
      </w:pPr>
    </w:p>
    <w:p>
      <w:pPr>
        <w:pStyle w:val="nzIndenta"/>
        <w:rPr>
          <w:snapToGrid w:val="0"/>
        </w:rPr>
      </w:pPr>
      <w:r>
        <w:tab/>
        <w:t>(b)</w:t>
      </w:r>
      <w:r>
        <w:tab/>
        <w:t>in paragraph (a) delete “</w:t>
      </w:r>
      <w:r>
        <w:rPr>
          <w:snapToGrid w:val="0"/>
          <w:sz w:val="22"/>
          <w:szCs w:val="22"/>
        </w:rPr>
        <w:t>upon</w:t>
      </w:r>
      <w:r>
        <w:rPr>
          <w:snapToGrid w:val="0"/>
        </w:rPr>
        <w:t>” and insert:</w:t>
      </w:r>
    </w:p>
    <w:p>
      <w:pPr>
        <w:pStyle w:val="BlankOpen"/>
        <w:rPr>
          <w:snapToGrid w:val="0"/>
        </w:rPr>
      </w:pPr>
    </w:p>
    <w:p>
      <w:pPr>
        <w:pStyle w:val="nzIndenta"/>
        <w:rPr>
          <w:snapToGrid w:val="0"/>
        </w:rPr>
      </w:pPr>
      <w:r>
        <w:rPr>
          <w:snapToGrid w:val="0"/>
          <w:sz w:val="22"/>
          <w:szCs w:val="22"/>
        </w:rPr>
        <w:tab/>
      </w:r>
      <w:r>
        <w:rPr>
          <w:snapToGrid w:val="0"/>
          <w:sz w:val="22"/>
          <w:szCs w:val="22"/>
        </w:rPr>
        <w:tab/>
        <w:t>on</w:t>
      </w:r>
    </w:p>
    <w:p>
      <w:pPr>
        <w:pStyle w:val="BlankClose"/>
      </w:pPr>
    </w:p>
    <w:p>
      <w:pPr>
        <w:pStyle w:val="nzIndenta"/>
      </w:pPr>
      <w:r>
        <w:tab/>
        <w:t>(c)</w:t>
      </w:r>
      <w:r>
        <w:tab/>
        <w:t>in paragraph (b) delete “</w:t>
      </w:r>
      <w:r>
        <w:rPr>
          <w:sz w:val="22"/>
          <w:szCs w:val="22"/>
        </w:rPr>
        <w:t>his</w:t>
      </w:r>
      <w:r>
        <w:t>” and insert:</w:t>
      </w:r>
    </w:p>
    <w:p>
      <w:pPr>
        <w:pStyle w:val="BlankOpen"/>
      </w:pPr>
    </w:p>
    <w:p>
      <w:pPr>
        <w:pStyle w:val="nzIndenta"/>
      </w:pPr>
      <w:r>
        <w:tab/>
      </w:r>
      <w:r>
        <w:tab/>
      </w:r>
      <w:r>
        <w:rPr>
          <w:sz w:val="22"/>
        </w:rPr>
        <w:t xml:space="preserve">the owner’s or occupier’s </w:t>
      </w:r>
    </w:p>
    <w:p>
      <w:pPr>
        <w:pStyle w:val="BlankClose"/>
      </w:pPr>
    </w:p>
    <w:p>
      <w:pPr>
        <w:pStyle w:val="nzHeading5"/>
      </w:pPr>
      <w:bookmarkStart w:id="2023" w:name="_Toc530474609"/>
      <w:bookmarkStart w:id="2024" w:name="_Toc530475204"/>
      <w:r>
        <w:rPr>
          <w:rStyle w:val="CharSectno"/>
        </w:rPr>
        <w:t>102</w:t>
      </w:r>
      <w:r>
        <w:t>.</w:t>
      </w:r>
      <w:r>
        <w:tab/>
        <w:t>Schedule 2 by</w:t>
      </w:r>
      <w:r>
        <w:noBreakHyphen/>
        <w:t>law 4 amended</w:t>
      </w:r>
      <w:bookmarkEnd w:id="2023"/>
      <w:bookmarkEnd w:id="2024"/>
    </w:p>
    <w:p>
      <w:pPr>
        <w:pStyle w:val="nzSubsection"/>
      </w:pPr>
      <w:r>
        <w:tab/>
      </w:r>
      <w:r>
        <w:tab/>
        <w:t>In Schedule 2 by</w:t>
      </w:r>
      <w:r>
        <w:noBreakHyphen/>
        <w:t>law 4:</w:t>
      </w:r>
    </w:p>
    <w:p>
      <w:pPr>
        <w:pStyle w:val="nzIndenta"/>
      </w:pPr>
      <w:r>
        <w:tab/>
        <w:t>(a)</w:t>
      </w:r>
      <w:r>
        <w:tab/>
        <w:t>delete “</w:t>
      </w:r>
      <w:r>
        <w:rPr>
          <w:sz w:val="22"/>
        </w:rPr>
        <w:t>A proprietor, occupier, or other resident of a lot shall</w:t>
      </w:r>
      <w:r>
        <w:t>” and insert:</w:t>
      </w:r>
    </w:p>
    <w:p>
      <w:pPr>
        <w:pStyle w:val="BlankOpen"/>
      </w:pPr>
    </w:p>
    <w:p>
      <w:pPr>
        <w:pStyle w:val="nzIndenta"/>
      </w:pPr>
      <w:r>
        <w:tab/>
      </w:r>
      <w:r>
        <w:tab/>
      </w:r>
      <w:r>
        <w:rPr>
          <w:sz w:val="22"/>
        </w:rPr>
        <w:t>An owner or occupier</w:t>
      </w:r>
      <w:r>
        <w:rPr>
          <w:snapToGrid w:val="0"/>
          <w:sz w:val="22"/>
          <w:szCs w:val="22"/>
        </w:rPr>
        <w:t xml:space="preserve"> of a lot must</w:t>
      </w:r>
    </w:p>
    <w:p>
      <w:pPr>
        <w:pStyle w:val="BlankClose"/>
      </w:pPr>
    </w:p>
    <w:p>
      <w:pPr>
        <w:pStyle w:val="nzIndenta"/>
      </w:pPr>
      <w:r>
        <w:tab/>
        <w:t>(b)</w:t>
      </w:r>
      <w:r>
        <w:tab/>
        <w:t>delete “</w:t>
      </w:r>
      <w:r>
        <w:rPr>
          <w:sz w:val="22"/>
        </w:rPr>
        <w:t>upon</w:t>
      </w:r>
      <w:r>
        <w:t>” and insert:</w:t>
      </w:r>
    </w:p>
    <w:p>
      <w:pPr>
        <w:pStyle w:val="BlankOpen"/>
      </w:pPr>
    </w:p>
    <w:p>
      <w:pPr>
        <w:pStyle w:val="nzIndenta"/>
      </w:pPr>
      <w:r>
        <w:tab/>
      </w:r>
      <w:r>
        <w:tab/>
      </w:r>
      <w:r>
        <w:rPr>
          <w:sz w:val="22"/>
        </w:rPr>
        <w:t>on</w:t>
      </w:r>
    </w:p>
    <w:p>
      <w:pPr>
        <w:pStyle w:val="BlankClose"/>
      </w:pPr>
    </w:p>
    <w:p>
      <w:pPr>
        <w:pStyle w:val="nzIndenta"/>
      </w:pPr>
      <w:r>
        <w:tab/>
        <w:t>(c)</w:t>
      </w:r>
      <w:r>
        <w:tab/>
        <w:t>delete “</w:t>
      </w:r>
      <w:r>
        <w:rPr>
          <w:sz w:val="22"/>
        </w:rPr>
        <w:t>shall</w:t>
      </w:r>
      <w:r>
        <w:t>” and insert:</w:t>
      </w:r>
    </w:p>
    <w:p>
      <w:pPr>
        <w:pStyle w:val="BlankOpen"/>
      </w:pPr>
    </w:p>
    <w:p>
      <w:pPr>
        <w:pStyle w:val="nzIndenta"/>
      </w:pPr>
      <w:r>
        <w:tab/>
      </w:r>
      <w:r>
        <w:tab/>
      </w:r>
      <w:r>
        <w:rPr>
          <w:sz w:val="22"/>
        </w:rPr>
        <w:t>must</w:t>
      </w:r>
    </w:p>
    <w:p>
      <w:pPr>
        <w:pStyle w:val="BlankClose"/>
      </w:pPr>
    </w:p>
    <w:p>
      <w:pPr>
        <w:pStyle w:val="nzIndenta"/>
      </w:pPr>
      <w:r>
        <w:tab/>
        <w:t>(d)</w:t>
      </w:r>
      <w:r>
        <w:tab/>
        <w:t>delete “</w:t>
      </w:r>
      <w:r>
        <w:rPr>
          <w:sz w:val="22"/>
          <w:szCs w:val="22"/>
        </w:rPr>
        <w:t>the</w:t>
      </w:r>
      <w:r>
        <w:rPr>
          <w:sz w:val="22"/>
        </w:rPr>
        <w:t xml:space="preserve"> proprietor, occupier, or other resident</w:t>
      </w:r>
      <w:r>
        <w:t>” and insert:</w:t>
      </w:r>
    </w:p>
    <w:p>
      <w:pPr>
        <w:pStyle w:val="BlankOpen"/>
      </w:pPr>
    </w:p>
    <w:p>
      <w:pPr>
        <w:pStyle w:val="nzIndenta"/>
      </w:pPr>
      <w:r>
        <w:tab/>
      </w:r>
      <w:r>
        <w:tab/>
        <w:t>a</w:t>
      </w:r>
      <w:r>
        <w:rPr>
          <w:sz w:val="22"/>
        </w:rPr>
        <w:t>n owner or occupier</w:t>
      </w:r>
    </w:p>
    <w:p>
      <w:pPr>
        <w:pStyle w:val="BlankClose"/>
      </w:pPr>
    </w:p>
    <w:p>
      <w:pPr>
        <w:pStyle w:val="nzSectAltNote"/>
      </w:pPr>
      <w:r>
        <w:tab/>
        <w:t>Note:</w:t>
      </w:r>
      <w:r>
        <w:tab/>
        <w:t>The heading to amended by</w:t>
      </w:r>
      <w:r>
        <w:noBreakHyphen/>
        <w:t>law 4 is to read:</w:t>
      </w:r>
    </w:p>
    <w:p>
      <w:pPr>
        <w:pStyle w:val="nzSectAltHeading"/>
      </w:pPr>
      <w:r>
        <w:rPr>
          <w:b w:val="0"/>
        </w:rPr>
        <w:tab/>
      </w:r>
      <w:r>
        <w:rPr>
          <w:b w:val="0"/>
        </w:rPr>
        <w:tab/>
      </w:r>
      <w:r>
        <w:t>Behaviour of owners and occupiers</w:t>
      </w:r>
    </w:p>
    <w:p>
      <w:pPr>
        <w:pStyle w:val="nzHeading5"/>
      </w:pPr>
      <w:bookmarkStart w:id="2025" w:name="_Toc530474610"/>
      <w:bookmarkStart w:id="2026" w:name="_Toc530475205"/>
      <w:r>
        <w:rPr>
          <w:rStyle w:val="CharSectno"/>
        </w:rPr>
        <w:t>103</w:t>
      </w:r>
      <w:r>
        <w:t>.</w:t>
      </w:r>
      <w:r>
        <w:tab/>
        <w:t>Schedule 2 by</w:t>
      </w:r>
      <w:r>
        <w:noBreakHyphen/>
        <w:t>law 5 deleted</w:t>
      </w:r>
      <w:bookmarkEnd w:id="2025"/>
      <w:bookmarkEnd w:id="2026"/>
    </w:p>
    <w:p>
      <w:pPr>
        <w:pStyle w:val="nzSubsection"/>
      </w:pPr>
      <w:r>
        <w:tab/>
      </w:r>
      <w:r>
        <w:tab/>
        <w:t>Delete Schedule 2 by</w:t>
      </w:r>
      <w:r>
        <w:noBreakHyphen/>
        <w:t>law 5</w:t>
      </w:r>
    </w:p>
    <w:p>
      <w:pPr>
        <w:pStyle w:val="nzHeading5"/>
      </w:pPr>
      <w:bookmarkStart w:id="2027" w:name="_Toc530474611"/>
      <w:bookmarkStart w:id="2028" w:name="_Toc530475206"/>
      <w:r>
        <w:rPr>
          <w:rStyle w:val="CharSectno"/>
        </w:rPr>
        <w:t>104</w:t>
      </w:r>
      <w:r>
        <w:t>.</w:t>
      </w:r>
      <w:r>
        <w:tab/>
        <w:t>Schedule 2 by</w:t>
      </w:r>
      <w:r>
        <w:noBreakHyphen/>
        <w:t>law 6 amended</w:t>
      </w:r>
      <w:bookmarkEnd w:id="2027"/>
      <w:bookmarkEnd w:id="2028"/>
    </w:p>
    <w:p>
      <w:pPr>
        <w:pStyle w:val="nzSubsection"/>
      </w:pPr>
      <w:r>
        <w:tab/>
      </w:r>
      <w:r>
        <w:tab/>
        <w:t>In Schedule 2 by</w:t>
      </w:r>
      <w:r>
        <w:noBreakHyphen/>
        <w:t>law 6:</w:t>
      </w:r>
    </w:p>
    <w:p>
      <w:pPr>
        <w:pStyle w:val="nzIndenta"/>
      </w:pPr>
      <w:r>
        <w:tab/>
        <w:t>(a)</w:t>
      </w:r>
      <w:r>
        <w:tab/>
        <w:t>delete “</w:t>
      </w:r>
      <w:r>
        <w:rPr>
          <w:sz w:val="22"/>
        </w:rPr>
        <w:t>A proprietor, occupier, or other resident of a lot shall</w:t>
      </w:r>
      <w:r>
        <w:t>” and insert:</w:t>
      </w:r>
    </w:p>
    <w:p>
      <w:pPr>
        <w:pStyle w:val="BlankOpen"/>
      </w:pPr>
    </w:p>
    <w:p>
      <w:pPr>
        <w:pStyle w:val="nzIndenta"/>
      </w:pPr>
      <w:r>
        <w:tab/>
      </w:r>
      <w:r>
        <w:tab/>
      </w:r>
      <w:r>
        <w:rPr>
          <w:sz w:val="22"/>
        </w:rPr>
        <w:t>An owner or occupier</w:t>
      </w:r>
      <w:r>
        <w:rPr>
          <w:snapToGrid w:val="0"/>
          <w:sz w:val="22"/>
          <w:szCs w:val="22"/>
        </w:rPr>
        <w:t xml:space="preserve"> of a lot must</w:t>
      </w:r>
    </w:p>
    <w:p>
      <w:pPr>
        <w:pStyle w:val="BlankClose"/>
      </w:pPr>
    </w:p>
    <w:p>
      <w:pPr>
        <w:pStyle w:val="nzIndenta"/>
      </w:pPr>
      <w:r>
        <w:tab/>
        <w:t>(b)</w:t>
      </w:r>
      <w:r>
        <w:tab/>
        <w:t>delete “</w:t>
      </w:r>
      <w:r>
        <w:rPr>
          <w:sz w:val="22"/>
        </w:rPr>
        <w:t>upon</w:t>
      </w:r>
      <w:r>
        <w:t>” and insert:</w:t>
      </w:r>
    </w:p>
    <w:p>
      <w:pPr>
        <w:pStyle w:val="BlankOpen"/>
      </w:pPr>
    </w:p>
    <w:p>
      <w:pPr>
        <w:pStyle w:val="nzIndenta"/>
      </w:pPr>
      <w:r>
        <w:tab/>
      </w:r>
      <w:r>
        <w:tab/>
      </w:r>
      <w:r>
        <w:rPr>
          <w:sz w:val="22"/>
        </w:rPr>
        <w:t>on</w:t>
      </w:r>
    </w:p>
    <w:p>
      <w:pPr>
        <w:pStyle w:val="BlankClose"/>
      </w:pPr>
    </w:p>
    <w:p>
      <w:pPr>
        <w:pStyle w:val="nzIndenta"/>
      </w:pPr>
      <w:r>
        <w:tab/>
        <w:t>(c)</w:t>
      </w:r>
      <w:r>
        <w:tab/>
        <w:t>delete “</w:t>
      </w:r>
      <w:r>
        <w:rPr>
          <w:sz w:val="22"/>
          <w:szCs w:val="22"/>
        </w:rPr>
        <w:t>an</w:t>
      </w:r>
      <w:r>
        <w:rPr>
          <w:sz w:val="22"/>
        </w:rPr>
        <w:t>other proprietor, occupier or resident</w:t>
      </w:r>
      <w:r>
        <w:t>” and insert:</w:t>
      </w:r>
    </w:p>
    <w:p>
      <w:pPr>
        <w:pStyle w:val="BlankOpen"/>
      </w:pPr>
    </w:p>
    <w:p>
      <w:pPr>
        <w:pStyle w:val="nzIndenta"/>
      </w:pPr>
      <w:r>
        <w:tab/>
      </w:r>
      <w:r>
        <w:tab/>
      </w:r>
      <w:r>
        <w:rPr>
          <w:sz w:val="22"/>
        </w:rPr>
        <w:t>an owner or occupier of another lot</w:t>
      </w:r>
    </w:p>
    <w:p>
      <w:pPr>
        <w:pStyle w:val="BlankClose"/>
      </w:pPr>
    </w:p>
    <w:p>
      <w:pPr>
        <w:pStyle w:val="nzHeading5"/>
      </w:pPr>
      <w:bookmarkStart w:id="2029" w:name="_Toc530474612"/>
      <w:bookmarkStart w:id="2030" w:name="_Toc530475207"/>
      <w:r>
        <w:rPr>
          <w:rStyle w:val="CharSectno"/>
        </w:rPr>
        <w:t>105</w:t>
      </w:r>
      <w:r>
        <w:t>.</w:t>
      </w:r>
      <w:r>
        <w:tab/>
        <w:t>Schedule 2 by</w:t>
      </w:r>
      <w:r>
        <w:noBreakHyphen/>
        <w:t>law 7 amended</w:t>
      </w:r>
      <w:bookmarkEnd w:id="2029"/>
      <w:bookmarkEnd w:id="2030"/>
    </w:p>
    <w:p>
      <w:pPr>
        <w:pStyle w:val="nzSubsection"/>
      </w:pPr>
      <w:r>
        <w:tab/>
      </w:r>
      <w:r>
        <w:tab/>
        <w:t>In Schedule 2 by</w:t>
      </w:r>
      <w:r>
        <w:noBreakHyphen/>
        <w:t>law 7:</w:t>
      </w:r>
    </w:p>
    <w:p>
      <w:pPr>
        <w:pStyle w:val="nzIndenta"/>
      </w:pPr>
      <w:r>
        <w:tab/>
        <w:t>(a)</w:t>
      </w:r>
      <w:r>
        <w:tab/>
        <w:t>delete “</w:t>
      </w:r>
      <w:r>
        <w:rPr>
          <w:sz w:val="22"/>
        </w:rPr>
        <w:t>A proprietor, occupier, or other resident of a lot shall</w:t>
      </w:r>
      <w:r>
        <w:t>” and insert:</w:t>
      </w:r>
    </w:p>
    <w:p>
      <w:pPr>
        <w:pStyle w:val="BlankOpen"/>
      </w:pPr>
    </w:p>
    <w:p>
      <w:pPr>
        <w:pStyle w:val="nzIndenta"/>
      </w:pPr>
      <w:r>
        <w:tab/>
      </w:r>
      <w:r>
        <w:tab/>
      </w:r>
      <w:r>
        <w:rPr>
          <w:sz w:val="22"/>
        </w:rPr>
        <w:t>An owner or occupier</w:t>
      </w:r>
      <w:r>
        <w:rPr>
          <w:snapToGrid w:val="0"/>
          <w:sz w:val="22"/>
          <w:szCs w:val="22"/>
        </w:rPr>
        <w:t xml:space="preserve"> of a lot must</w:t>
      </w:r>
    </w:p>
    <w:p>
      <w:pPr>
        <w:pStyle w:val="BlankClose"/>
      </w:pPr>
    </w:p>
    <w:p>
      <w:pPr>
        <w:pStyle w:val="nzIndenta"/>
      </w:pPr>
      <w:r>
        <w:tab/>
        <w:t>(b)</w:t>
      </w:r>
      <w:r>
        <w:tab/>
        <w:t>in paragraph (b) delete “</w:t>
      </w:r>
      <w:r>
        <w:rPr>
          <w:sz w:val="22"/>
        </w:rPr>
        <w:t>his</w:t>
      </w:r>
      <w:r>
        <w:t>” and insert:</w:t>
      </w:r>
    </w:p>
    <w:p>
      <w:pPr>
        <w:pStyle w:val="BlankOpen"/>
      </w:pPr>
    </w:p>
    <w:p>
      <w:pPr>
        <w:pStyle w:val="nzIndenta"/>
      </w:pPr>
      <w:r>
        <w:tab/>
      </w:r>
      <w:r>
        <w:tab/>
      </w:r>
      <w:r>
        <w:rPr>
          <w:sz w:val="22"/>
        </w:rPr>
        <w:t>their</w:t>
      </w:r>
    </w:p>
    <w:p>
      <w:pPr>
        <w:pStyle w:val="BlankClose"/>
      </w:pPr>
    </w:p>
    <w:p>
      <w:pPr>
        <w:pStyle w:val="nzSectAltNote"/>
      </w:pPr>
      <w:r>
        <w:tab/>
        <w:t>Note:</w:t>
      </w:r>
      <w:r>
        <w:tab/>
        <w:t>The heading to amended by</w:t>
      </w:r>
      <w:r>
        <w:noBreakHyphen/>
        <w:t>law 7 is to read:</w:t>
      </w:r>
    </w:p>
    <w:p>
      <w:pPr>
        <w:pStyle w:val="nzSectAltHeading"/>
      </w:pPr>
      <w:r>
        <w:rPr>
          <w:b w:val="0"/>
        </w:rPr>
        <w:tab/>
      </w:r>
      <w:r>
        <w:rPr>
          <w:b w:val="0"/>
        </w:rPr>
        <w:tab/>
      </w:r>
      <w:r>
        <w:t>Drying of laundry items and signage</w:t>
      </w:r>
    </w:p>
    <w:p>
      <w:pPr>
        <w:pStyle w:val="nzHeading5"/>
      </w:pPr>
      <w:bookmarkStart w:id="2031" w:name="_Toc530474613"/>
      <w:bookmarkStart w:id="2032" w:name="_Toc530475208"/>
      <w:r>
        <w:rPr>
          <w:rStyle w:val="CharSectno"/>
        </w:rPr>
        <w:t>106</w:t>
      </w:r>
      <w:r>
        <w:t>.</w:t>
      </w:r>
      <w:r>
        <w:tab/>
        <w:t>Schedule 2 by</w:t>
      </w:r>
      <w:r>
        <w:noBreakHyphen/>
        <w:t>law 8 amended</w:t>
      </w:r>
      <w:bookmarkEnd w:id="2031"/>
      <w:bookmarkEnd w:id="2032"/>
    </w:p>
    <w:p>
      <w:pPr>
        <w:pStyle w:val="nzSubsection"/>
      </w:pPr>
      <w:r>
        <w:tab/>
      </w:r>
      <w:r>
        <w:tab/>
        <w:t>In Schedule 2 by</w:t>
      </w:r>
      <w:r>
        <w:noBreakHyphen/>
        <w:t>law 8:</w:t>
      </w:r>
    </w:p>
    <w:p>
      <w:pPr>
        <w:pStyle w:val="nzIndenta"/>
      </w:pPr>
      <w:r>
        <w:tab/>
        <w:t>(a)</w:t>
      </w:r>
      <w:r>
        <w:tab/>
        <w:t>delete “</w:t>
      </w:r>
      <w:r>
        <w:rPr>
          <w:sz w:val="22"/>
        </w:rPr>
        <w:t>A proprietor, occupier, or other resident of a lot shall</w:t>
      </w:r>
      <w:r>
        <w:t>” and insert:</w:t>
      </w:r>
    </w:p>
    <w:p>
      <w:pPr>
        <w:pStyle w:val="BlankOpen"/>
      </w:pPr>
    </w:p>
    <w:p>
      <w:pPr>
        <w:pStyle w:val="nzIndenta"/>
      </w:pPr>
      <w:r>
        <w:tab/>
      </w:r>
      <w:r>
        <w:tab/>
      </w:r>
      <w:r>
        <w:rPr>
          <w:sz w:val="22"/>
        </w:rPr>
        <w:t>An owner or occupier</w:t>
      </w:r>
      <w:r>
        <w:rPr>
          <w:snapToGrid w:val="0"/>
          <w:sz w:val="22"/>
          <w:szCs w:val="22"/>
        </w:rPr>
        <w:t xml:space="preserve"> of a lot must</w:t>
      </w:r>
    </w:p>
    <w:p>
      <w:pPr>
        <w:pStyle w:val="BlankClose"/>
      </w:pPr>
    </w:p>
    <w:p>
      <w:pPr>
        <w:pStyle w:val="nzIndenta"/>
      </w:pPr>
      <w:r>
        <w:tab/>
        <w:t>(b)</w:t>
      </w:r>
      <w:r>
        <w:tab/>
        <w:t>delete “</w:t>
      </w:r>
      <w:r>
        <w:rPr>
          <w:snapToGrid w:val="0"/>
          <w:sz w:val="22"/>
          <w:szCs w:val="22"/>
        </w:rPr>
        <w:t>approval</w:t>
      </w:r>
      <w:r>
        <w:rPr>
          <w:sz w:val="22"/>
          <w:szCs w:val="22"/>
        </w:rPr>
        <w:t xml:space="preserve"> </w:t>
      </w:r>
      <w:r>
        <w:rPr>
          <w:sz w:val="22"/>
        </w:rPr>
        <w:t>in writing</w:t>
      </w:r>
      <w:r>
        <w:t>” and insert:</w:t>
      </w:r>
    </w:p>
    <w:p>
      <w:pPr>
        <w:pStyle w:val="BlankOpen"/>
      </w:pPr>
    </w:p>
    <w:p>
      <w:pPr>
        <w:pStyle w:val="nzIndenta"/>
      </w:pPr>
      <w:r>
        <w:tab/>
      </w:r>
      <w:r>
        <w:tab/>
      </w:r>
      <w:r>
        <w:rPr>
          <w:sz w:val="22"/>
        </w:rPr>
        <w:t xml:space="preserve">written </w:t>
      </w:r>
      <w:r>
        <w:rPr>
          <w:snapToGrid w:val="0"/>
          <w:sz w:val="22"/>
          <w:szCs w:val="22"/>
        </w:rPr>
        <w:t>approval</w:t>
      </w:r>
    </w:p>
    <w:p>
      <w:pPr>
        <w:pStyle w:val="BlankClose"/>
      </w:pPr>
    </w:p>
    <w:p>
      <w:pPr>
        <w:pStyle w:val="nzIndenta"/>
      </w:pPr>
      <w:r>
        <w:tab/>
        <w:t>(c)</w:t>
      </w:r>
      <w:r>
        <w:tab/>
        <w:t>delete “</w:t>
      </w:r>
      <w:r>
        <w:rPr>
          <w:sz w:val="22"/>
        </w:rPr>
        <w:t>upon</w:t>
      </w:r>
      <w:r>
        <w:t>” (each occurrence) and insert:</w:t>
      </w:r>
    </w:p>
    <w:p>
      <w:pPr>
        <w:pStyle w:val="BlankOpen"/>
      </w:pPr>
    </w:p>
    <w:p>
      <w:pPr>
        <w:pStyle w:val="nzIndenta"/>
      </w:pPr>
      <w:r>
        <w:tab/>
      </w:r>
      <w:r>
        <w:tab/>
      </w:r>
      <w:r>
        <w:rPr>
          <w:sz w:val="22"/>
        </w:rPr>
        <w:t>on</w:t>
      </w:r>
    </w:p>
    <w:p>
      <w:pPr>
        <w:pStyle w:val="BlankClose"/>
      </w:pPr>
    </w:p>
    <w:p>
      <w:pPr>
        <w:pStyle w:val="nzHeading5"/>
      </w:pPr>
      <w:bookmarkStart w:id="2033" w:name="_Toc530474614"/>
      <w:bookmarkStart w:id="2034" w:name="_Toc530475209"/>
      <w:r>
        <w:rPr>
          <w:rStyle w:val="CharSectno"/>
        </w:rPr>
        <w:t>107</w:t>
      </w:r>
      <w:r>
        <w:t>.</w:t>
      </w:r>
      <w:r>
        <w:tab/>
        <w:t>Schedule 2 by</w:t>
      </w:r>
      <w:r>
        <w:noBreakHyphen/>
        <w:t>law 9 amended</w:t>
      </w:r>
      <w:bookmarkEnd w:id="2033"/>
      <w:bookmarkEnd w:id="2034"/>
    </w:p>
    <w:p>
      <w:pPr>
        <w:pStyle w:val="nzSubsection"/>
      </w:pPr>
      <w:r>
        <w:tab/>
      </w:r>
      <w:r>
        <w:tab/>
        <w:t>In Schedule 2 by</w:t>
      </w:r>
      <w:r>
        <w:noBreakHyphen/>
        <w:t>law 9:</w:t>
      </w:r>
    </w:p>
    <w:p>
      <w:pPr>
        <w:pStyle w:val="nzIndenta"/>
      </w:pPr>
      <w:r>
        <w:tab/>
        <w:t>(a)</w:t>
      </w:r>
      <w:r>
        <w:tab/>
        <w:t>delete “</w:t>
      </w:r>
      <w:r>
        <w:rPr>
          <w:sz w:val="22"/>
        </w:rPr>
        <w:t>A proprietor, occupier, or other resident of a lot shall</w:t>
      </w:r>
      <w:r>
        <w:t>” and insert:</w:t>
      </w:r>
    </w:p>
    <w:p>
      <w:pPr>
        <w:pStyle w:val="BlankOpen"/>
      </w:pPr>
    </w:p>
    <w:p>
      <w:pPr>
        <w:pStyle w:val="nzIndenta"/>
      </w:pPr>
      <w:r>
        <w:tab/>
      </w:r>
      <w:r>
        <w:tab/>
      </w:r>
      <w:r>
        <w:rPr>
          <w:sz w:val="22"/>
        </w:rPr>
        <w:t>An owner or occupier</w:t>
      </w:r>
      <w:r>
        <w:rPr>
          <w:snapToGrid w:val="0"/>
          <w:sz w:val="22"/>
          <w:szCs w:val="22"/>
        </w:rPr>
        <w:t xml:space="preserve"> of a lot must</w:t>
      </w:r>
    </w:p>
    <w:p>
      <w:pPr>
        <w:pStyle w:val="BlankClose"/>
      </w:pPr>
    </w:p>
    <w:p>
      <w:pPr>
        <w:pStyle w:val="nzIndenta"/>
      </w:pPr>
      <w:r>
        <w:tab/>
        <w:t>(b)</w:t>
      </w:r>
      <w:r>
        <w:tab/>
        <w:t>delete “</w:t>
      </w:r>
      <w:r>
        <w:rPr>
          <w:sz w:val="22"/>
        </w:rPr>
        <w:t>upon</w:t>
      </w:r>
      <w:r>
        <w:t>” and insert:</w:t>
      </w:r>
    </w:p>
    <w:p>
      <w:pPr>
        <w:pStyle w:val="BlankOpen"/>
      </w:pPr>
    </w:p>
    <w:p>
      <w:pPr>
        <w:pStyle w:val="nzIndenta"/>
      </w:pPr>
      <w:r>
        <w:tab/>
      </w:r>
      <w:r>
        <w:tab/>
      </w:r>
      <w:r>
        <w:rPr>
          <w:sz w:val="22"/>
        </w:rPr>
        <w:t>on</w:t>
      </w:r>
    </w:p>
    <w:p>
      <w:pPr>
        <w:pStyle w:val="BlankClose"/>
      </w:pPr>
    </w:p>
    <w:p>
      <w:pPr>
        <w:pStyle w:val="nzIndenta"/>
      </w:pPr>
      <w:r>
        <w:tab/>
        <w:t>(c)</w:t>
      </w:r>
      <w:r>
        <w:tab/>
        <w:t>delete “</w:t>
      </w:r>
      <w:r>
        <w:rPr>
          <w:sz w:val="22"/>
        </w:rPr>
        <w:t>he</w:t>
      </w:r>
      <w:r>
        <w:t>” (each occurrence) and insert:</w:t>
      </w:r>
    </w:p>
    <w:p>
      <w:pPr>
        <w:pStyle w:val="BlankOpen"/>
      </w:pPr>
    </w:p>
    <w:p>
      <w:pPr>
        <w:pStyle w:val="nzIndenta"/>
      </w:pPr>
      <w:r>
        <w:tab/>
      </w:r>
      <w:r>
        <w:tab/>
      </w:r>
      <w:r>
        <w:rPr>
          <w:sz w:val="22"/>
          <w:szCs w:val="22"/>
        </w:rPr>
        <w:t>that person</w:t>
      </w:r>
    </w:p>
    <w:p>
      <w:pPr>
        <w:pStyle w:val="BlankClose"/>
      </w:pPr>
    </w:p>
    <w:p>
      <w:pPr>
        <w:pStyle w:val="nzIndenta"/>
      </w:pPr>
      <w:r>
        <w:tab/>
        <w:t>(d)</w:t>
      </w:r>
      <w:r>
        <w:tab/>
        <w:t>delete “</w:t>
      </w:r>
      <w:r>
        <w:rPr>
          <w:sz w:val="22"/>
        </w:rPr>
        <w:t>his</w:t>
      </w:r>
      <w:r>
        <w:t>” and insert:</w:t>
      </w:r>
    </w:p>
    <w:p>
      <w:pPr>
        <w:pStyle w:val="BlankOpen"/>
      </w:pPr>
    </w:p>
    <w:p>
      <w:pPr>
        <w:pStyle w:val="nzIndenta"/>
      </w:pPr>
      <w:r>
        <w:tab/>
      </w:r>
      <w:r>
        <w:tab/>
      </w:r>
      <w:r>
        <w:rPr>
          <w:sz w:val="22"/>
        </w:rPr>
        <w:t>their</w:t>
      </w:r>
    </w:p>
    <w:p>
      <w:pPr>
        <w:pStyle w:val="BlankClose"/>
      </w:pPr>
    </w:p>
    <w:p>
      <w:pPr>
        <w:pStyle w:val="nzHeading5"/>
      </w:pPr>
      <w:bookmarkStart w:id="2035" w:name="_Toc530474615"/>
      <w:bookmarkStart w:id="2036" w:name="_Toc530475210"/>
      <w:r>
        <w:rPr>
          <w:rStyle w:val="CharSectno"/>
        </w:rPr>
        <w:t>108</w:t>
      </w:r>
      <w:r>
        <w:t>.</w:t>
      </w:r>
      <w:r>
        <w:tab/>
        <w:t>Schedule 2 by</w:t>
      </w:r>
      <w:r>
        <w:noBreakHyphen/>
        <w:t>law 10 amended</w:t>
      </w:r>
      <w:bookmarkEnd w:id="2035"/>
      <w:bookmarkEnd w:id="2036"/>
    </w:p>
    <w:p>
      <w:pPr>
        <w:pStyle w:val="nzSubsection"/>
      </w:pPr>
      <w:r>
        <w:tab/>
      </w:r>
      <w:r>
        <w:tab/>
        <w:t>In Schedule 2 by</w:t>
      </w:r>
      <w:r>
        <w:noBreakHyphen/>
        <w:t>law 10:</w:t>
      </w:r>
    </w:p>
    <w:p>
      <w:pPr>
        <w:pStyle w:val="nzIndenta"/>
      </w:pPr>
      <w:r>
        <w:tab/>
        <w:t>(a)</w:t>
      </w:r>
      <w:r>
        <w:tab/>
        <w:t>delete “</w:t>
      </w:r>
      <w:r>
        <w:rPr>
          <w:sz w:val="22"/>
        </w:rPr>
        <w:t>A proprietor of a lot shall</w:t>
      </w:r>
      <w:r>
        <w:t>” and insert:</w:t>
      </w:r>
    </w:p>
    <w:p>
      <w:pPr>
        <w:pStyle w:val="BlankOpen"/>
      </w:pPr>
    </w:p>
    <w:p>
      <w:pPr>
        <w:pStyle w:val="nzIndenta"/>
      </w:pPr>
      <w:r>
        <w:tab/>
      </w:r>
      <w:r>
        <w:tab/>
      </w:r>
      <w:r>
        <w:rPr>
          <w:sz w:val="22"/>
        </w:rPr>
        <w:t xml:space="preserve">An owner </w:t>
      </w:r>
      <w:r>
        <w:rPr>
          <w:snapToGrid w:val="0"/>
          <w:sz w:val="22"/>
          <w:szCs w:val="22"/>
        </w:rPr>
        <w:t>of a lot must</w:t>
      </w:r>
    </w:p>
    <w:p>
      <w:pPr>
        <w:pStyle w:val="BlankClose"/>
      </w:pPr>
    </w:p>
    <w:p>
      <w:pPr>
        <w:pStyle w:val="nzIndenta"/>
      </w:pPr>
      <w:r>
        <w:tab/>
        <w:t>(b)</w:t>
      </w:r>
      <w:r>
        <w:tab/>
        <w:t>delete “</w:t>
      </w:r>
      <w:r>
        <w:rPr>
          <w:sz w:val="22"/>
          <w:szCs w:val="22"/>
        </w:rPr>
        <w:t>the</w:t>
      </w:r>
      <w:r>
        <w:rPr>
          <w:sz w:val="22"/>
        </w:rPr>
        <w:t xml:space="preserve"> proprietor, occupier, or other resident</w:t>
      </w:r>
      <w:r>
        <w:t>” and insert:</w:t>
      </w:r>
    </w:p>
    <w:p>
      <w:pPr>
        <w:pStyle w:val="BlankOpen"/>
      </w:pPr>
    </w:p>
    <w:p>
      <w:pPr>
        <w:pStyle w:val="nzIndenta"/>
      </w:pPr>
      <w:r>
        <w:tab/>
      </w:r>
      <w:r>
        <w:tab/>
        <w:t>a</w:t>
      </w:r>
      <w:r>
        <w:rPr>
          <w:sz w:val="22"/>
        </w:rPr>
        <w:t>n owner or occupier</w:t>
      </w:r>
    </w:p>
    <w:p>
      <w:pPr>
        <w:pStyle w:val="BlankClose"/>
      </w:pPr>
    </w:p>
    <w:p>
      <w:pPr>
        <w:pStyle w:val="nzHeading5"/>
      </w:pPr>
      <w:bookmarkStart w:id="2037" w:name="_Toc530474616"/>
      <w:bookmarkStart w:id="2038" w:name="_Toc530475211"/>
      <w:r>
        <w:rPr>
          <w:rStyle w:val="CharSectno"/>
        </w:rPr>
        <w:t>109</w:t>
      </w:r>
      <w:r>
        <w:t>.</w:t>
      </w:r>
      <w:r>
        <w:tab/>
        <w:t>Schedule 2 by</w:t>
      </w:r>
      <w:r>
        <w:noBreakHyphen/>
        <w:t>law 11 amended</w:t>
      </w:r>
      <w:bookmarkEnd w:id="2037"/>
      <w:bookmarkEnd w:id="2038"/>
    </w:p>
    <w:p>
      <w:pPr>
        <w:pStyle w:val="nzSubsection"/>
      </w:pPr>
      <w:r>
        <w:tab/>
      </w:r>
      <w:r>
        <w:tab/>
        <w:t>In Schedule 2 by</w:t>
      </w:r>
      <w:r>
        <w:noBreakHyphen/>
        <w:t>law 11:</w:t>
      </w:r>
    </w:p>
    <w:p>
      <w:pPr>
        <w:pStyle w:val="nzIndenta"/>
      </w:pPr>
      <w:r>
        <w:tab/>
        <w:t>(a)</w:t>
      </w:r>
      <w:r>
        <w:tab/>
        <w:t>delete “</w:t>
      </w:r>
      <w:r>
        <w:rPr>
          <w:sz w:val="22"/>
        </w:rPr>
        <w:t>A proprietor</w:t>
      </w:r>
      <w:r>
        <w:t>” and insert:</w:t>
      </w:r>
    </w:p>
    <w:p>
      <w:pPr>
        <w:pStyle w:val="BlankOpen"/>
      </w:pPr>
    </w:p>
    <w:p>
      <w:pPr>
        <w:pStyle w:val="nzIndenta"/>
      </w:pPr>
      <w:r>
        <w:tab/>
      </w:r>
      <w:r>
        <w:tab/>
      </w:r>
      <w:r>
        <w:rPr>
          <w:sz w:val="22"/>
        </w:rPr>
        <w:t xml:space="preserve">An owner </w:t>
      </w:r>
    </w:p>
    <w:p>
      <w:pPr>
        <w:pStyle w:val="BlankClose"/>
      </w:pPr>
    </w:p>
    <w:p>
      <w:pPr>
        <w:pStyle w:val="nzIndenta"/>
      </w:pPr>
      <w:r>
        <w:tab/>
        <w:t>(b)</w:t>
      </w:r>
      <w:r>
        <w:tab/>
        <w:t>after “</w:t>
      </w:r>
      <w:r>
        <w:rPr>
          <w:sz w:val="22"/>
        </w:rPr>
        <w:t>lot</w:t>
      </w:r>
      <w:r>
        <w:t>” insert:</w:t>
      </w:r>
    </w:p>
    <w:p>
      <w:pPr>
        <w:pStyle w:val="BlankOpen"/>
      </w:pPr>
    </w:p>
    <w:p>
      <w:pPr>
        <w:pStyle w:val="nzIndenta"/>
      </w:pPr>
      <w:r>
        <w:tab/>
      </w:r>
      <w:r>
        <w:tab/>
      </w:r>
      <w:r>
        <w:rPr>
          <w:sz w:val="22"/>
        </w:rPr>
        <w:t>must</w:t>
      </w:r>
    </w:p>
    <w:p>
      <w:pPr>
        <w:pStyle w:val="BlankClose"/>
      </w:pPr>
    </w:p>
    <w:p>
      <w:pPr>
        <w:pStyle w:val="nzIndenta"/>
      </w:pPr>
      <w:r>
        <w:tab/>
        <w:t>(c)</w:t>
      </w:r>
      <w:r>
        <w:tab/>
        <w:t>in paragraph (a) delete “</w:t>
      </w:r>
      <w:r>
        <w:rPr>
          <w:sz w:val="22"/>
          <w:szCs w:val="22"/>
        </w:rPr>
        <w:t xml:space="preserve">shall </w:t>
      </w:r>
      <w:r>
        <w:rPr>
          <w:snapToGrid w:val="0"/>
          <w:sz w:val="22"/>
          <w:szCs w:val="22"/>
        </w:rPr>
        <w:t xml:space="preserve">maintain within </w:t>
      </w:r>
      <w:r>
        <w:rPr>
          <w:sz w:val="22"/>
        </w:rPr>
        <w:t>his</w:t>
      </w:r>
      <w:r>
        <w:t>” and insert:</w:t>
      </w:r>
    </w:p>
    <w:p>
      <w:pPr>
        <w:pStyle w:val="BlankOpen"/>
      </w:pPr>
    </w:p>
    <w:p>
      <w:pPr>
        <w:pStyle w:val="nzIndenta"/>
      </w:pPr>
      <w:r>
        <w:tab/>
      </w:r>
      <w:r>
        <w:tab/>
      </w:r>
      <w:r>
        <w:rPr>
          <w:snapToGrid w:val="0"/>
          <w:sz w:val="22"/>
          <w:szCs w:val="22"/>
        </w:rPr>
        <w:t xml:space="preserve">maintain within </w:t>
      </w:r>
      <w:r>
        <w:rPr>
          <w:sz w:val="22"/>
          <w:szCs w:val="22"/>
        </w:rPr>
        <w:t xml:space="preserve">their </w:t>
      </w:r>
    </w:p>
    <w:p>
      <w:pPr>
        <w:pStyle w:val="BlankClose"/>
      </w:pPr>
    </w:p>
    <w:p>
      <w:pPr>
        <w:pStyle w:val="nzIndenta"/>
      </w:pPr>
      <w:r>
        <w:tab/>
        <w:t>(d)</w:t>
      </w:r>
      <w:r>
        <w:tab/>
        <w:t>in paragraph (c) delete “</w:t>
      </w:r>
      <w:r>
        <w:rPr>
          <w:sz w:val="22"/>
          <w:szCs w:val="22"/>
        </w:rPr>
        <w:t>the</w:t>
      </w:r>
      <w:r>
        <w:rPr>
          <w:sz w:val="22"/>
        </w:rPr>
        <w:t xml:space="preserve"> proprietor, occupier or other resident</w:t>
      </w:r>
      <w:r>
        <w:t>” and insert:</w:t>
      </w:r>
    </w:p>
    <w:p>
      <w:pPr>
        <w:pStyle w:val="BlankOpen"/>
      </w:pPr>
    </w:p>
    <w:p>
      <w:pPr>
        <w:pStyle w:val="nzIndenta"/>
      </w:pPr>
      <w:r>
        <w:tab/>
      </w:r>
      <w:r>
        <w:tab/>
      </w:r>
      <w:r>
        <w:rPr>
          <w:sz w:val="22"/>
        </w:rPr>
        <w:t>an owner or occupier</w:t>
      </w:r>
    </w:p>
    <w:p>
      <w:pPr>
        <w:pStyle w:val="BlankClose"/>
      </w:pPr>
    </w:p>
    <w:p>
      <w:pPr>
        <w:pStyle w:val="nzIndenta"/>
      </w:pPr>
      <w:r>
        <w:tab/>
        <w:t>(e)</w:t>
      </w:r>
      <w:r>
        <w:tab/>
        <w:t>delete “</w:t>
      </w:r>
      <w:r>
        <w:rPr>
          <w:sz w:val="22"/>
        </w:rPr>
        <w:t>his</w:t>
      </w:r>
      <w:r>
        <w:t>” and insert:</w:t>
      </w:r>
    </w:p>
    <w:p>
      <w:pPr>
        <w:pStyle w:val="BlankOpen"/>
      </w:pPr>
    </w:p>
    <w:p>
      <w:pPr>
        <w:pStyle w:val="nzIndenta"/>
      </w:pPr>
      <w:r>
        <w:tab/>
      </w:r>
      <w:r>
        <w:tab/>
      </w:r>
      <w:r>
        <w:rPr>
          <w:sz w:val="22"/>
        </w:rPr>
        <w:t>their</w:t>
      </w:r>
    </w:p>
    <w:p>
      <w:pPr>
        <w:pStyle w:val="BlankClose"/>
      </w:pPr>
    </w:p>
    <w:p>
      <w:pPr>
        <w:pStyle w:val="nzHeading5"/>
      </w:pPr>
      <w:bookmarkStart w:id="2039" w:name="_Toc530474617"/>
      <w:bookmarkStart w:id="2040" w:name="_Toc530475212"/>
      <w:r>
        <w:rPr>
          <w:rStyle w:val="CharSectno"/>
        </w:rPr>
        <w:t>110</w:t>
      </w:r>
      <w:r>
        <w:t>.</w:t>
      </w:r>
      <w:r>
        <w:tab/>
        <w:t>Schedule 2 by</w:t>
      </w:r>
      <w:r>
        <w:noBreakHyphen/>
        <w:t>law 12 amended</w:t>
      </w:r>
      <w:bookmarkEnd w:id="2039"/>
      <w:bookmarkEnd w:id="2040"/>
    </w:p>
    <w:p>
      <w:pPr>
        <w:pStyle w:val="nzSubsection"/>
      </w:pPr>
      <w:r>
        <w:tab/>
      </w:r>
      <w:r>
        <w:tab/>
        <w:t>In Schedule 2 by</w:t>
      </w:r>
      <w:r>
        <w:noBreakHyphen/>
        <w:t>law 12:</w:t>
      </w:r>
    </w:p>
    <w:p>
      <w:pPr>
        <w:pStyle w:val="nzIndenta"/>
      </w:pPr>
      <w:r>
        <w:tab/>
        <w:t>(a)</w:t>
      </w:r>
      <w:r>
        <w:tab/>
        <w:t>delete “</w:t>
      </w:r>
      <w:r>
        <w:rPr>
          <w:sz w:val="22"/>
        </w:rPr>
        <w:t>A proprietor, occupier or other resident shall</w:t>
      </w:r>
      <w:r>
        <w:t>” and insert:</w:t>
      </w:r>
    </w:p>
    <w:p>
      <w:pPr>
        <w:pStyle w:val="BlankOpen"/>
      </w:pPr>
    </w:p>
    <w:p>
      <w:pPr>
        <w:pStyle w:val="nzIndenta"/>
      </w:pPr>
      <w:r>
        <w:tab/>
      </w:r>
      <w:r>
        <w:tab/>
      </w:r>
      <w:r>
        <w:rPr>
          <w:sz w:val="22"/>
        </w:rPr>
        <w:t>An owner or occupier</w:t>
      </w:r>
      <w:r>
        <w:rPr>
          <w:snapToGrid w:val="0"/>
          <w:sz w:val="22"/>
          <w:szCs w:val="22"/>
        </w:rPr>
        <w:t xml:space="preserve"> of a lot must</w:t>
      </w:r>
    </w:p>
    <w:p>
      <w:pPr>
        <w:pStyle w:val="BlankClose"/>
      </w:pPr>
    </w:p>
    <w:p>
      <w:pPr>
        <w:pStyle w:val="nzIndenta"/>
      </w:pPr>
      <w:r>
        <w:tab/>
        <w:t>(b)</w:t>
      </w:r>
      <w:r>
        <w:tab/>
        <w:t>in paragraph (a) delete “</w:t>
      </w:r>
      <w:r>
        <w:rPr>
          <w:sz w:val="22"/>
        </w:rPr>
        <w:t>that he owns, occupies or resides in for any</w:t>
      </w:r>
      <w:r>
        <w:t>” and insert:</w:t>
      </w:r>
    </w:p>
    <w:p>
      <w:pPr>
        <w:pStyle w:val="BlankOpen"/>
      </w:pPr>
    </w:p>
    <w:p>
      <w:pPr>
        <w:pStyle w:val="nzIndenta"/>
      </w:pPr>
      <w:r>
        <w:tab/>
      </w:r>
      <w:r>
        <w:tab/>
      </w:r>
      <w:r>
        <w:rPr>
          <w:sz w:val="22"/>
          <w:szCs w:val="22"/>
        </w:rPr>
        <w:t>f</w:t>
      </w:r>
      <w:r>
        <w:rPr>
          <w:sz w:val="22"/>
        </w:rPr>
        <w:t>or a</w:t>
      </w:r>
    </w:p>
    <w:p>
      <w:pPr>
        <w:pStyle w:val="BlankClose"/>
      </w:pPr>
    </w:p>
    <w:p>
      <w:pPr>
        <w:pStyle w:val="nzIndenta"/>
      </w:pPr>
      <w:r>
        <w:tab/>
        <w:t>(c)</w:t>
      </w:r>
      <w:r>
        <w:tab/>
        <w:t>in paragraph (b) delete “</w:t>
      </w:r>
      <w:r>
        <w:rPr>
          <w:sz w:val="22"/>
        </w:rPr>
        <w:t>any</w:t>
      </w:r>
      <w:r>
        <w:t>” and insert:</w:t>
      </w:r>
    </w:p>
    <w:p>
      <w:pPr>
        <w:pStyle w:val="BlankOpen"/>
      </w:pPr>
    </w:p>
    <w:p>
      <w:pPr>
        <w:pStyle w:val="nzIndenta"/>
      </w:pPr>
      <w:r>
        <w:tab/>
      </w:r>
      <w:r>
        <w:tab/>
      </w:r>
      <w:r>
        <w:rPr>
          <w:sz w:val="22"/>
        </w:rPr>
        <w:t>the</w:t>
      </w:r>
    </w:p>
    <w:p>
      <w:pPr>
        <w:pStyle w:val="BlankClose"/>
      </w:pPr>
    </w:p>
    <w:p>
      <w:pPr>
        <w:pStyle w:val="nzIndenta"/>
      </w:pPr>
      <w:r>
        <w:tab/>
        <w:t>(d)</w:t>
      </w:r>
      <w:r>
        <w:tab/>
        <w:t>in paragraph (c) delete “</w:t>
      </w:r>
      <w:r>
        <w:rPr>
          <w:sz w:val="22"/>
        </w:rPr>
        <w:t>subject to section 42(15) of the Act, keep any</w:t>
      </w:r>
      <w:r>
        <w:t>” and insert:</w:t>
      </w:r>
    </w:p>
    <w:p>
      <w:pPr>
        <w:pStyle w:val="BlankOpen"/>
      </w:pPr>
    </w:p>
    <w:p>
      <w:pPr>
        <w:pStyle w:val="nzIndenta"/>
      </w:pPr>
      <w:r>
        <w:tab/>
      </w:r>
      <w:r>
        <w:tab/>
      </w:r>
      <w:r>
        <w:rPr>
          <w:sz w:val="22"/>
          <w:szCs w:val="22"/>
        </w:rPr>
        <w:t>keep</w:t>
      </w:r>
    </w:p>
    <w:p>
      <w:pPr>
        <w:pStyle w:val="BlankClose"/>
      </w:pPr>
    </w:p>
    <w:p>
      <w:pPr>
        <w:pStyle w:val="nzIndenta"/>
      </w:pPr>
      <w:r>
        <w:tab/>
        <w:t>(e)</w:t>
      </w:r>
      <w:r>
        <w:tab/>
        <w:t>in paragraph (c) after “lot” delete “</w:t>
      </w:r>
      <w:r>
        <w:rPr>
          <w:sz w:val="22"/>
        </w:rPr>
        <w:t>that he owns, occupies or resides in</w:t>
      </w:r>
      <w:r>
        <w:t>”;</w:t>
      </w:r>
    </w:p>
    <w:p>
      <w:pPr>
        <w:pStyle w:val="nzIndenta"/>
      </w:pPr>
      <w:r>
        <w:tab/>
        <w:t>(f)</w:t>
      </w:r>
      <w:r>
        <w:tab/>
        <w:t>in paragraph (c) delete “</w:t>
      </w:r>
      <w:r>
        <w:rPr>
          <w:sz w:val="22"/>
        </w:rPr>
        <w:t>him</w:t>
      </w:r>
      <w:r>
        <w:t>” and insert:</w:t>
      </w:r>
    </w:p>
    <w:p>
      <w:pPr>
        <w:pStyle w:val="BlankOpen"/>
      </w:pPr>
    </w:p>
    <w:p>
      <w:pPr>
        <w:pStyle w:val="nzIndenta"/>
      </w:pPr>
      <w:r>
        <w:tab/>
      </w:r>
      <w:r>
        <w:tab/>
      </w:r>
      <w:r>
        <w:rPr>
          <w:sz w:val="22"/>
        </w:rPr>
        <w:t>that person</w:t>
      </w:r>
    </w:p>
    <w:p>
      <w:pPr>
        <w:pStyle w:val="BlankClose"/>
      </w:pPr>
    </w:p>
    <w:p>
      <w:pPr>
        <w:pStyle w:val="nzSectAltNote"/>
      </w:pPr>
      <w:r>
        <w:tab/>
        <w:t>Note:</w:t>
      </w:r>
      <w:r>
        <w:tab/>
        <w:t>The heading to amended by</w:t>
      </w:r>
      <w:r>
        <w:noBreakHyphen/>
        <w:t>law 12 is to read:</w:t>
      </w:r>
    </w:p>
    <w:p>
      <w:pPr>
        <w:pStyle w:val="nzSectAltHeading"/>
      </w:pPr>
      <w:r>
        <w:rPr>
          <w:b w:val="0"/>
        </w:rPr>
        <w:tab/>
      </w:r>
      <w:r>
        <w:rPr>
          <w:b w:val="0"/>
        </w:rPr>
        <w:tab/>
      </w:r>
      <w:r>
        <w:t>Additional duties of owners and occupiers</w:t>
      </w:r>
    </w:p>
    <w:p>
      <w:pPr>
        <w:pStyle w:val="nzHeading5"/>
      </w:pPr>
      <w:bookmarkStart w:id="2041" w:name="_Toc530474618"/>
      <w:bookmarkStart w:id="2042" w:name="_Toc530475213"/>
      <w:r>
        <w:rPr>
          <w:rStyle w:val="CharSectno"/>
        </w:rPr>
        <w:t>111</w:t>
      </w:r>
      <w:r>
        <w:t>.</w:t>
      </w:r>
      <w:r>
        <w:tab/>
        <w:t>Schedule 2 by</w:t>
      </w:r>
      <w:r>
        <w:noBreakHyphen/>
        <w:t>law 13 amended</w:t>
      </w:r>
      <w:bookmarkEnd w:id="2041"/>
      <w:bookmarkEnd w:id="2042"/>
    </w:p>
    <w:p>
      <w:pPr>
        <w:pStyle w:val="nzSubsection"/>
      </w:pPr>
      <w:r>
        <w:tab/>
      </w:r>
      <w:r>
        <w:tab/>
        <w:t>In Schedule 2 by</w:t>
      </w:r>
      <w:r>
        <w:noBreakHyphen/>
        <w:t>law 13:</w:t>
      </w:r>
    </w:p>
    <w:p>
      <w:pPr>
        <w:pStyle w:val="nzIndenta"/>
      </w:pPr>
      <w:r>
        <w:tab/>
        <w:t>(a)</w:t>
      </w:r>
      <w:r>
        <w:tab/>
        <w:t>delete “</w:t>
      </w:r>
      <w:r>
        <w:rPr>
          <w:sz w:val="22"/>
        </w:rPr>
        <w:t>A proprietor of a lot shall not alter</w:t>
      </w:r>
      <w:r>
        <w:t>” and insert:</w:t>
      </w:r>
    </w:p>
    <w:p>
      <w:pPr>
        <w:pStyle w:val="BlankOpen"/>
      </w:pPr>
    </w:p>
    <w:p>
      <w:pPr>
        <w:pStyle w:val="nzIndenta"/>
      </w:pPr>
      <w:r>
        <w:tab/>
      </w:r>
      <w:r>
        <w:tab/>
      </w:r>
      <w:r>
        <w:rPr>
          <w:sz w:val="22"/>
        </w:rPr>
        <w:t xml:space="preserve">An owner of a lot must not alter or permit the alteration of </w:t>
      </w:r>
    </w:p>
    <w:p>
      <w:pPr>
        <w:pStyle w:val="BlankClose"/>
      </w:pPr>
    </w:p>
    <w:p>
      <w:pPr>
        <w:pStyle w:val="nzIndenta"/>
      </w:pPr>
      <w:r>
        <w:tab/>
        <w:t>(b)</w:t>
      </w:r>
      <w:r>
        <w:tab/>
        <w:t>delete “</w:t>
      </w:r>
      <w:r>
        <w:rPr>
          <w:sz w:val="22"/>
        </w:rPr>
        <w:t>shall</w:t>
      </w:r>
      <w:r>
        <w:t>” and insert:</w:t>
      </w:r>
    </w:p>
    <w:p>
      <w:pPr>
        <w:pStyle w:val="BlankOpen"/>
      </w:pPr>
    </w:p>
    <w:p>
      <w:pPr>
        <w:pStyle w:val="nzIndenta"/>
      </w:pPr>
      <w:r>
        <w:tab/>
      </w:r>
      <w:r>
        <w:tab/>
      </w:r>
      <w:r>
        <w:rPr>
          <w:sz w:val="22"/>
          <w:szCs w:val="22"/>
        </w:rPr>
        <w:t>must</w:t>
      </w:r>
    </w:p>
    <w:p>
      <w:pPr>
        <w:pStyle w:val="BlankClose"/>
      </w:pPr>
    </w:p>
    <w:p>
      <w:pPr>
        <w:pStyle w:val="nzHeading5"/>
      </w:pPr>
      <w:bookmarkStart w:id="2043" w:name="_Toc530474619"/>
      <w:bookmarkStart w:id="2044" w:name="_Toc530475214"/>
      <w:r>
        <w:rPr>
          <w:rStyle w:val="CharSectno"/>
        </w:rPr>
        <w:t>112</w:t>
      </w:r>
      <w:r>
        <w:t>.</w:t>
      </w:r>
      <w:r>
        <w:tab/>
        <w:t>Schedule 2 by</w:t>
      </w:r>
      <w:r>
        <w:noBreakHyphen/>
        <w:t>law 14 amended</w:t>
      </w:r>
      <w:bookmarkEnd w:id="2043"/>
      <w:bookmarkEnd w:id="2044"/>
    </w:p>
    <w:p>
      <w:pPr>
        <w:pStyle w:val="nzSubsection"/>
      </w:pPr>
      <w:r>
        <w:tab/>
      </w:r>
      <w:r>
        <w:tab/>
        <w:t>In Schedule 2 by</w:t>
      </w:r>
      <w:r>
        <w:noBreakHyphen/>
        <w:t>law 14 “</w:t>
      </w:r>
      <w:r>
        <w:rPr>
          <w:sz w:val="22"/>
          <w:szCs w:val="22"/>
        </w:rPr>
        <w:t>A proprietor, occupier or other resident of a lot shall</w:t>
      </w:r>
      <w:r>
        <w:t>” and insert:</w:t>
      </w:r>
    </w:p>
    <w:p>
      <w:pPr>
        <w:pStyle w:val="BlankOpen"/>
      </w:pPr>
    </w:p>
    <w:p>
      <w:pPr>
        <w:pStyle w:val="nzSubsection"/>
      </w:pPr>
      <w:r>
        <w:tab/>
      </w:r>
      <w:r>
        <w:tab/>
      </w:r>
      <w:r>
        <w:rPr>
          <w:sz w:val="22"/>
          <w:szCs w:val="22"/>
        </w:rPr>
        <w:t>An owner or occupier</w:t>
      </w:r>
      <w:r>
        <w:rPr>
          <w:snapToGrid w:val="0"/>
          <w:sz w:val="22"/>
          <w:szCs w:val="22"/>
        </w:rPr>
        <w:t xml:space="preserve"> of a lot must</w:t>
      </w:r>
    </w:p>
    <w:p>
      <w:pPr>
        <w:pStyle w:val="BlankClose"/>
      </w:pPr>
    </w:p>
    <w:p>
      <w:pPr>
        <w:pStyle w:val="nzHeading5"/>
      </w:pPr>
      <w:bookmarkStart w:id="2045" w:name="_Toc530474620"/>
      <w:bookmarkStart w:id="2046" w:name="_Toc530475215"/>
      <w:r>
        <w:rPr>
          <w:rStyle w:val="CharSectno"/>
        </w:rPr>
        <w:t>113</w:t>
      </w:r>
      <w:r>
        <w:t>.</w:t>
      </w:r>
      <w:r>
        <w:tab/>
        <w:t>Schedule 2 by</w:t>
      </w:r>
      <w:r>
        <w:noBreakHyphen/>
        <w:t>law 15 inserted</w:t>
      </w:r>
      <w:bookmarkEnd w:id="2045"/>
      <w:bookmarkEnd w:id="2046"/>
    </w:p>
    <w:p>
      <w:pPr>
        <w:pStyle w:val="nzSubsection"/>
      </w:pPr>
      <w:r>
        <w:tab/>
      </w:r>
      <w:r>
        <w:tab/>
        <w:t>After Schedule 2 by</w:t>
      </w:r>
      <w:r>
        <w:noBreakHyphen/>
        <w:t>law 14 insert:</w:t>
      </w:r>
    </w:p>
    <w:p>
      <w:pPr>
        <w:pStyle w:val="BlankOpen"/>
      </w:pPr>
    </w:p>
    <w:p>
      <w:pPr>
        <w:pStyle w:val="nzHeading5"/>
      </w:pPr>
      <w:bookmarkStart w:id="2047" w:name="_Toc530474621"/>
      <w:bookmarkStart w:id="2048" w:name="_Toc530475216"/>
      <w:r>
        <w:t>15.</w:t>
      </w:r>
      <w:r>
        <w:tab/>
        <w:t>Decoration of, and affixing items to, inner surface of lot</w:t>
      </w:r>
      <w:bookmarkEnd w:id="2047"/>
      <w:bookmarkEnd w:id="2048"/>
    </w:p>
    <w:p>
      <w:pPr>
        <w:pStyle w:val="nz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BlankClose"/>
      </w:pPr>
    </w:p>
    <w:p>
      <w:pPr>
        <w:pStyle w:val="nzHeading5"/>
      </w:pPr>
      <w:bookmarkStart w:id="2049" w:name="_Toc530474622"/>
      <w:bookmarkStart w:id="2050" w:name="_Toc530475217"/>
      <w:r>
        <w:rPr>
          <w:rStyle w:val="CharSectno"/>
        </w:rPr>
        <w:t>114</w:t>
      </w:r>
      <w:r>
        <w:t>.</w:t>
      </w:r>
      <w:r>
        <w:tab/>
        <w:t>Schedule 2A replaced</w:t>
      </w:r>
      <w:bookmarkEnd w:id="2049"/>
      <w:bookmarkEnd w:id="2050"/>
    </w:p>
    <w:p>
      <w:pPr>
        <w:pStyle w:val="nzSubsection"/>
      </w:pPr>
      <w:r>
        <w:tab/>
      </w:r>
      <w:r>
        <w:tab/>
        <w:t>Delete Schedule 2A and insert:</w:t>
      </w:r>
    </w:p>
    <w:p>
      <w:pPr>
        <w:pStyle w:val="BlankOpen"/>
      </w:pPr>
    </w:p>
    <w:p>
      <w:pPr>
        <w:pStyle w:val="nzHeading2"/>
      </w:pPr>
      <w:bookmarkStart w:id="2051" w:name="_Toc517437824"/>
      <w:bookmarkStart w:id="2052" w:name="_Toc517438366"/>
      <w:bookmarkStart w:id="2053" w:name="_Toc517440703"/>
      <w:bookmarkStart w:id="2054" w:name="_Toc517447740"/>
      <w:bookmarkStart w:id="2055" w:name="_Toc517450218"/>
      <w:bookmarkStart w:id="2056" w:name="_Toc517450760"/>
      <w:bookmarkStart w:id="2057" w:name="_Toc517857216"/>
      <w:bookmarkStart w:id="2058" w:name="_Toc518293343"/>
      <w:bookmarkStart w:id="2059" w:name="_Toc522744571"/>
      <w:bookmarkStart w:id="2060" w:name="_Toc522747694"/>
      <w:bookmarkStart w:id="2061" w:name="_Toc529183532"/>
      <w:bookmarkStart w:id="2062" w:name="_Toc529188295"/>
      <w:bookmarkStart w:id="2063" w:name="_Toc529434808"/>
      <w:bookmarkStart w:id="2064" w:name="_Toc529524699"/>
      <w:bookmarkStart w:id="2065" w:name="_Toc530474623"/>
      <w:bookmarkStart w:id="2066" w:name="_Toc530475218"/>
      <w:r>
        <w:t>Schedule 2A — Special provisions for single tier strata schemes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nzHeading3"/>
      </w:pPr>
      <w:bookmarkStart w:id="2067" w:name="_Toc517437825"/>
      <w:bookmarkStart w:id="2068" w:name="_Toc517438367"/>
      <w:bookmarkStart w:id="2069" w:name="_Toc517440704"/>
      <w:bookmarkStart w:id="2070" w:name="_Toc517447741"/>
      <w:bookmarkStart w:id="2071" w:name="_Toc517450219"/>
      <w:bookmarkStart w:id="2072" w:name="_Toc517450761"/>
      <w:bookmarkStart w:id="2073" w:name="_Toc517857217"/>
      <w:bookmarkStart w:id="2074" w:name="_Toc518293344"/>
      <w:bookmarkStart w:id="2075" w:name="_Toc522744572"/>
      <w:bookmarkStart w:id="2076" w:name="_Toc522747695"/>
      <w:bookmarkStart w:id="2077" w:name="_Toc529183533"/>
      <w:bookmarkStart w:id="2078" w:name="_Toc529188296"/>
      <w:bookmarkStart w:id="2079" w:name="_Toc529434809"/>
      <w:bookmarkStart w:id="2080" w:name="_Toc529524700"/>
      <w:bookmarkStart w:id="2081" w:name="_Toc530474624"/>
      <w:bookmarkStart w:id="2082" w:name="_Toc530475219"/>
      <w:r>
        <w:t>Part 1 — Introduction</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zHeading5"/>
      </w:pPr>
      <w:bookmarkStart w:id="2083" w:name="_Toc530474625"/>
      <w:bookmarkStart w:id="2084" w:name="_Toc530475220"/>
      <w:r>
        <w:t>1.</w:t>
      </w:r>
      <w:r>
        <w:tab/>
        <w:t>Application of Schedule</w:t>
      </w:r>
      <w:bookmarkEnd w:id="2083"/>
      <w:bookmarkEnd w:id="2084"/>
    </w:p>
    <w:p>
      <w:pPr>
        <w:pStyle w:val="nzSubsection"/>
      </w:pPr>
      <w:r>
        <w:tab/>
        <w:t>(1)</w:t>
      </w:r>
      <w:r>
        <w:tab/>
        <w:t>This Schedule contains special provisions that apply to a single tier strata scheme.</w:t>
      </w:r>
    </w:p>
    <w:p>
      <w:pPr>
        <w:pStyle w:val="nzSubsection"/>
      </w:pPr>
      <w:r>
        <w:tab/>
        <w:t>(2)</w:t>
      </w:r>
      <w:r>
        <w:tab/>
        <w:t>To the extent of any inconsistency between this Schedule and other provisions of this Act, this Schedule prevails.</w:t>
      </w:r>
    </w:p>
    <w:p>
      <w:pPr>
        <w:pStyle w:val="nzHeading5"/>
      </w:pPr>
      <w:bookmarkStart w:id="2085" w:name="_Toc530474626"/>
      <w:bookmarkStart w:id="2086" w:name="_Toc530475221"/>
      <w:r>
        <w:t>2.</w:t>
      </w:r>
      <w:r>
        <w:tab/>
        <w:t>Meaning of lot and structural cubic space</w:t>
      </w:r>
      <w:bookmarkEnd w:id="2085"/>
      <w:bookmarkEnd w:id="2086"/>
    </w:p>
    <w:p>
      <w:pPr>
        <w:pStyle w:val="nz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nzDefstart"/>
      </w:pPr>
      <w:r>
        <w:rPr>
          <w:b/>
        </w:rPr>
        <w:tab/>
      </w:r>
      <w:r>
        <w:rPr>
          <w:rStyle w:val="CharDefText"/>
        </w:rPr>
        <w:t>lot,</w:t>
      </w:r>
      <w:r>
        <w:t xml:space="preserve">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nzDefpara"/>
      </w:pPr>
      <w:r>
        <w:tab/>
        <w:t>(a)</w:t>
      </w:r>
      <w:r>
        <w:tab/>
        <w:t>the boundaries of the cubic space are fixed under clause 3AB; or</w:t>
      </w:r>
    </w:p>
    <w:p>
      <w:pPr>
        <w:pStyle w:val="nzDefpara"/>
      </w:pPr>
      <w:r>
        <w:tab/>
        <w:t>(b)</w:t>
      </w:r>
      <w:r>
        <w:tab/>
        <w:t>the boundaries are not so fixed and that structural cubic space —</w:t>
      </w:r>
    </w:p>
    <w:p>
      <w:pPr>
        <w:pStyle w:val="nzDefsubpara"/>
      </w:pPr>
      <w:r>
        <w:tab/>
        <w:t>(i)</w:t>
      </w:r>
      <w:r>
        <w:tab/>
        <w:t>has boundaries described in accordance with the regulations; and</w:t>
      </w:r>
    </w:p>
    <w:p>
      <w:pPr>
        <w:pStyle w:val="nzDefsubpara"/>
      </w:pPr>
      <w:r>
        <w:tab/>
        <w:t>(ii)</w:t>
      </w:r>
      <w:r>
        <w:tab/>
        <w:t>is shown in that floor plan as part of a lot;</w:t>
      </w:r>
    </w:p>
    <w:p>
      <w:pPr>
        <w:pStyle w:val="nzDefstart"/>
      </w:pPr>
      <w:r>
        <w:tab/>
      </w:r>
      <w:r>
        <w:rPr>
          <w:rStyle w:val="CharDefText"/>
        </w:rPr>
        <w:t>structural cubic space</w:t>
      </w:r>
      <w:r>
        <w:t xml:space="preserve"> means —</w:t>
      </w:r>
    </w:p>
    <w:p>
      <w:pPr>
        <w:pStyle w:val="nzDefpara"/>
      </w:pPr>
      <w:r>
        <w:tab/>
        <w:t>(a)</w:t>
      </w:r>
      <w:r>
        <w:tab/>
        <w:t>cubic space occupied by a vertical structural member, not being a wall, of a building; and</w:t>
      </w:r>
    </w:p>
    <w:p>
      <w:pPr>
        <w:pStyle w:val="nzDefpara"/>
      </w:pPr>
      <w:r>
        <w:tab/>
        <w:t>(b)</w:t>
      </w:r>
      <w:r>
        <w:tab/>
        <w:t>utility conduits in a building; and</w:t>
      </w:r>
    </w:p>
    <w:p>
      <w:pPr>
        <w:pStyle w:val="nzDefpara"/>
      </w:pPr>
      <w:r>
        <w:tab/>
        <w:t>(c)</w:t>
      </w:r>
      <w:r>
        <w:tab/>
        <w:t>cubic space enclosed by a structure enclosing utility conduits,</w:t>
      </w:r>
    </w:p>
    <w:p>
      <w:pPr>
        <w:pStyle w:val="nzDefstart"/>
      </w:pPr>
      <w:r>
        <w:tab/>
        <w:t>but, except if clause 3AB applies, does not include utility conduits that are for the exclusive use or enjoyment of 1 lot.</w:t>
      </w:r>
    </w:p>
    <w:p>
      <w:pPr>
        <w:pStyle w:val="nzHeading5"/>
      </w:pPr>
      <w:bookmarkStart w:id="2087" w:name="_Toc530474627"/>
      <w:bookmarkStart w:id="2088" w:name="_Toc530475222"/>
      <w:r>
        <w:t>2A.</w:t>
      </w:r>
      <w:r>
        <w:tab/>
        <w:t>Dividing fences</w:t>
      </w:r>
      <w:bookmarkEnd w:id="2087"/>
      <w:bookmarkEnd w:id="2088"/>
    </w:p>
    <w:p>
      <w:pPr>
        <w:pStyle w:val="nzSubsection"/>
      </w:pPr>
      <w:r>
        <w:tab/>
      </w:r>
      <w:r>
        <w:tab/>
        <w:t>Sections 213 and 214 apply to a single tier strata scheme as if it were a survey</w:t>
      </w:r>
      <w:r>
        <w:noBreakHyphen/>
        <w:t>strata scheme.</w:t>
      </w:r>
    </w:p>
    <w:p>
      <w:pPr>
        <w:pStyle w:val="nzHeading5"/>
      </w:pPr>
      <w:bookmarkStart w:id="2089" w:name="_Toc530474628"/>
      <w:bookmarkStart w:id="2090" w:name="_Toc530475223"/>
      <w:r>
        <w:t>3.</w:t>
      </w:r>
      <w:r>
        <w:tab/>
        <w:t>Terms used</w:t>
      </w:r>
      <w:bookmarkEnd w:id="2089"/>
      <w:bookmarkEnd w:id="2090"/>
    </w:p>
    <w:p>
      <w:pPr>
        <w:pStyle w:val="nzSubsection"/>
      </w:pPr>
      <w:r>
        <w:tab/>
      </w:r>
      <w:r>
        <w:tab/>
        <w:t>In this Schedule —</w:t>
      </w:r>
    </w:p>
    <w:p>
      <w:pPr>
        <w:pStyle w:val="nz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nzDefstart"/>
      </w:pPr>
      <w:r>
        <w:tab/>
      </w:r>
      <w:r>
        <w:rPr>
          <w:rStyle w:val="CharDefText"/>
        </w:rPr>
        <w:t>single tier strata scheme</w:t>
      </w:r>
      <w:r>
        <w:t xml:space="preserve"> means a strata scheme —</w:t>
      </w:r>
    </w:p>
    <w:p>
      <w:pPr>
        <w:pStyle w:val="nzDefpara"/>
      </w:pPr>
      <w:r>
        <w:tab/>
        <w:t>(a)</w:t>
      </w:r>
      <w:r>
        <w:tab/>
        <w:t>in which no lot or part of a lot is above or below another lot; or</w:t>
      </w:r>
    </w:p>
    <w:p>
      <w:pPr>
        <w:pStyle w:val="nzDefpara"/>
      </w:pPr>
      <w:r>
        <w:tab/>
        <w:t>(b)</w:t>
      </w:r>
      <w:r>
        <w:tab/>
        <w:t>that would come within paragraph (a) except for any lot that has a permitted boundary deviation.</w:t>
      </w:r>
    </w:p>
    <w:p>
      <w:pPr>
        <w:pStyle w:val="nzHeading2"/>
      </w:pPr>
      <w:bookmarkStart w:id="2091" w:name="_Toc517437830"/>
      <w:bookmarkStart w:id="2092" w:name="_Toc517438372"/>
      <w:bookmarkStart w:id="2093" w:name="_Toc517440709"/>
      <w:bookmarkStart w:id="2094" w:name="_Toc517447746"/>
      <w:bookmarkStart w:id="2095" w:name="_Toc517450224"/>
      <w:bookmarkStart w:id="2096" w:name="_Toc517450766"/>
      <w:bookmarkStart w:id="2097" w:name="_Toc517857222"/>
      <w:bookmarkStart w:id="2098" w:name="_Toc518293349"/>
      <w:bookmarkStart w:id="2099" w:name="_Toc522744577"/>
      <w:bookmarkStart w:id="2100" w:name="_Toc522747700"/>
      <w:bookmarkStart w:id="2101" w:name="_Toc529183538"/>
      <w:bookmarkStart w:id="2102" w:name="_Toc529188301"/>
      <w:bookmarkStart w:id="2103" w:name="_Toc529434814"/>
      <w:bookmarkStart w:id="2104" w:name="_Toc529524705"/>
      <w:bookmarkStart w:id="2105" w:name="_Toc530474629"/>
      <w:bookmarkStart w:id="2106" w:name="_Toc530475224"/>
      <w:r>
        <w:t>Part 2 — Lot boundaries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nzHeading5"/>
      </w:pPr>
      <w:bookmarkStart w:id="2107" w:name="_Toc530474630"/>
      <w:bookmarkStart w:id="2108" w:name="_Toc530475225"/>
      <w:r>
        <w:t>4.</w:t>
      </w:r>
      <w:r>
        <w:tab/>
        <w:t>Order for extension of period for reinstatement of building without affecting boundary</w:t>
      </w:r>
      <w:bookmarkEnd w:id="2107"/>
      <w:bookmarkEnd w:id="2108"/>
    </w:p>
    <w:p>
      <w:pPr>
        <w:pStyle w:val="nz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nzSubsection"/>
        <w:rPr>
          <w:snapToGrid w:val="0"/>
        </w:rPr>
      </w:pPr>
      <w:r>
        <w:rPr>
          <w:snapToGrid w:val="0"/>
        </w:rPr>
        <w:tab/>
        <w:t>(2)</w:t>
      </w:r>
      <w:r>
        <w:rPr>
          <w:snapToGrid w:val="0"/>
        </w:rPr>
        <w:tab/>
        <w:t>An application to the Tribunal for an order under this clause can be made by —</w:t>
      </w:r>
    </w:p>
    <w:p>
      <w:pPr>
        <w:pStyle w:val="nzIndenta"/>
        <w:rPr>
          <w:snapToGrid w:val="0"/>
        </w:rPr>
      </w:pPr>
      <w:r>
        <w:rPr>
          <w:snapToGrid w:val="0"/>
        </w:rPr>
        <w:tab/>
        <w:t>(a)</w:t>
      </w:r>
      <w:r>
        <w:rPr>
          <w:snapToGrid w:val="0"/>
        </w:rPr>
        <w:tab/>
        <w:t>the owner of the lot; or</w:t>
      </w:r>
    </w:p>
    <w:p>
      <w:pPr>
        <w:pStyle w:val="nzIndenta"/>
        <w:rPr>
          <w:snapToGrid w:val="0"/>
        </w:rPr>
      </w:pPr>
      <w:r>
        <w:rPr>
          <w:snapToGrid w:val="0"/>
        </w:rPr>
        <w:tab/>
        <w:t>(b)</w:t>
      </w:r>
      <w:r>
        <w:rPr>
          <w:snapToGrid w:val="0"/>
        </w:rPr>
        <w:tab/>
        <w:t>a registered mortgagee of the lot.</w:t>
      </w:r>
    </w:p>
    <w:p>
      <w:pPr>
        <w:pStyle w:val="nz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nzSubsection"/>
      </w:pPr>
      <w:r>
        <w:tab/>
        <w:t>(4)</w:t>
      </w:r>
      <w:r>
        <w:tab/>
        <w:t>An order under this clause is an order extending the period within which the destroyed part of the building may be reinstated.</w:t>
      </w:r>
    </w:p>
    <w:p>
      <w:pPr>
        <w:pStyle w:val="nzSubsection"/>
      </w:pPr>
      <w:r>
        <w:tab/>
        <w:t>(5)</w:t>
      </w:r>
      <w:r>
        <w:tab/>
        <w:t>The period is not to be extended so that the period is more than 5 years from the time the destruction occurred.</w:t>
      </w:r>
    </w:p>
    <w:p>
      <w:pPr>
        <w:pStyle w:val="nzSubsection"/>
      </w:pPr>
      <w:r>
        <w:tab/>
        <w:t>(6)</w:t>
      </w:r>
      <w:r>
        <w:tab/>
        <w:t>An order can only be made under this clause if the Tribunal is satisfied that there are reasonable grounds for the delay in completing the reinstatement.</w:t>
      </w:r>
    </w:p>
    <w:p>
      <w:pPr>
        <w:pStyle w:val="nzHeading3"/>
      </w:pPr>
      <w:bookmarkStart w:id="2109" w:name="_Toc517437832"/>
      <w:bookmarkStart w:id="2110" w:name="_Toc517438374"/>
      <w:bookmarkStart w:id="2111" w:name="_Toc517440711"/>
      <w:bookmarkStart w:id="2112" w:name="_Toc517447748"/>
      <w:bookmarkStart w:id="2113" w:name="_Toc517450226"/>
      <w:bookmarkStart w:id="2114" w:name="_Toc517450768"/>
      <w:bookmarkStart w:id="2115" w:name="_Toc517857224"/>
      <w:bookmarkStart w:id="2116" w:name="_Toc518293351"/>
      <w:bookmarkStart w:id="2117" w:name="_Toc522744579"/>
      <w:bookmarkStart w:id="2118" w:name="_Toc522747702"/>
      <w:bookmarkStart w:id="2119" w:name="_Toc529183540"/>
      <w:bookmarkStart w:id="2120" w:name="_Toc529188303"/>
      <w:bookmarkStart w:id="2121" w:name="_Toc529434816"/>
      <w:bookmarkStart w:id="2122" w:name="_Toc529524707"/>
      <w:bookmarkStart w:id="2123" w:name="_Toc530474631"/>
      <w:bookmarkStart w:id="2124" w:name="_Toc530475226"/>
      <w:r>
        <w:t>Part 3 — Statutory easement</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nzHeading3"/>
      </w:pPr>
      <w:bookmarkStart w:id="2125" w:name="_Toc517437833"/>
      <w:bookmarkStart w:id="2126" w:name="_Toc517438375"/>
      <w:bookmarkStart w:id="2127" w:name="_Toc517440712"/>
      <w:bookmarkStart w:id="2128" w:name="_Toc517447749"/>
      <w:bookmarkStart w:id="2129" w:name="_Toc517450227"/>
      <w:bookmarkStart w:id="2130" w:name="_Toc517450769"/>
      <w:bookmarkStart w:id="2131" w:name="_Toc517857225"/>
      <w:bookmarkStart w:id="2132" w:name="_Toc518293352"/>
      <w:bookmarkStart w:id="2133" w:name="_Toc522744580"/>
      <w:bookmarkStart w:id="2134" w:name="_Toc522747703"/>
      <w:bookmarkStart w:id="2135" w:name="_Toc529183541"/>
      <w:bookmarkStart w:id="2136" w:name="_Toc529188304"/>
      <w:bookmarkStart w:id="2137" w:name="_Toc529434817"/>
      <w:bookmarkStart w:id="2138" w:name="_Toc529524708"/>
      <w:bookmarkStart w:id="2139" w:name="_Toc530474632"/>
      <w:bookmarkStart w:id="2140" w:name="_Toc530475227"/>
      <w:r>
        <w:t>Part 4 — Subdivision</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nzHeading3"/>
      </w:pPr>
      <w:bookmarkStart w:id="2141" w:name="_Toc517437834"/>
      <w:bookmarkStart w:id="2142" w:name="_Toc517438376"/>
      <w:bookmarkStart w:id="2143" w:name="_Toc517440713"/>
      <w:bookmarkStart w:id="2144" w:name="_Toc517447750"/>
      <w:bookmarkStart w:id="2145" w:name="_Toc517450228"/>
      <w:bookmarkStart w:id="2146" w:name="_Toc517450770"/>
      <w:bookmarkStart w:id="2147" w:name="_Toc517857226"/>
      <w:bookmarkStart w:id="2148" w:name="_Toc518293353"/>
      <w:bookmarkStart w:id="2149" w:name="_Toc522744581"/>
      <w:bookmarkStart w:id="2150" w:name="_Toc522747704"/>
      <w:bookmarkStart w:id="2151" w:name="_Toc529183542"/>
      <w:bookmarkStart w:id="2152" w:name="_Toc529188305"/>
      <w:bookmarkStart w:id="2153" w:name="_Toc529434818"/>
      <w:bookmarkStart w:id="2154" w:name="_Toc529524709"/>
      <w:bookmarkStart w:id="2155" w:name="_Toc530474633"/>
      <w:bookmarkStart w:id="2156" w:name="_Toc530475228"/>
      <w:r>
        <w:t>Division 1 — Merger of common property into lots in certain strata schemes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nzHeading4"/>
      </w:pPr>
      <w:bookmarkStart w:id="2157" w:name="_Toc517437835"/>
      <w:bookmarkStart w:id="2158" w:name="_Toc517438377"/>
      <w:bookmarkStart w:id="2159" w:name="_Toc517440714"/>
      <w:bookmarkStart w:id="2160" w:name="_Toc517447751"/>
      <w:bookmarkStart w:id="2161" w:name="_Toc517450229"/>
      <w:bookmarkStart w:id="2162" w:name="_Toc517450771"/>
      <w:bookmarkStart w:id="2163" w:name="_Toc517857227"/>
      <w:bookmarkStart w:id="2164" w:name="_Toc518293354"/>
      <w:bookmarkStart w:id="2165" w:name="_Toc522744582"/>
      <w:bookmarkStart w:id="2166" w:name="_Toc522747705"/>
      <w:bookmarkStart w:id="2167" w:name="_Toc529183543"/>
      <w:bookmarkStart w:id="2168" w:name="_Toc529188306"/>
      <w:bookmarkStart w:id="2169" w:name="_Toc529434819"/>
      <w:bookmarkStart w:id="2170" w:name="_Toc529524710"/>
      <w:bookmarkStart w:id="2171" w:name="_Toc530474634"/>
      <w:bookmarkStart w:id="2172" w:name="_Toc530475229"/>
      <w:r>
        <w:t>Subdivision 1 — Preliminary</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nzHeading4"/>
      </w:pPr>
      <w:bookmarkStart w:id="2173" w:name="_Toc517437836"/>
      <w:bookmarkStart w:id="2174" w:name="_Toc517438378"/>
      <w:bookmarkStart w:id="2175" w:name="_Toc517440715"/>
      <w:bookmarkStart w:id="2176" w:name="_Toc517447752"/>
      <w:bookmarkStart w:id="2177" w:name="_Toc517450230"/>
      <w:bookmarkStart w:id="2178" w:name="_Toc517450772"/>
      <w:bookmarkStart w:id="2179" w:name="_Toc517857228"/>
      <w:bookmarkStart w:id="2180" w:name="_Toc518293355"/>
      <w:bookmarkStart w:id="2181" w:name="_Toc522744583"/>
      <w:bookmarkStart w:id="2182" w:name="_Toc522747706"/>
      <w:bookmarkStart w:id="2183" w:name="_Toc529183544"/>
      <w:bookmarkStart w:id="2184" w:name="_Toc529188307"/>
      <w:bookmarkStart w:id="2185" w:name="_Toc529434820"/>
      <w:bookmarkStart w:id="2186" w:name="_Toc529524711"/>
      <w:bookmarkStart w:id="2187" w:name="_Toc530474635"/>
      <w:bookmarkStart w:id="2188" w:name="_Toc530475230"/>
      <w:r>
        <w:t>Subdivision 2 — Merger by resolution of buildings that are common property</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nzHeading4"/>
      </w:pPr>
      <w:bookmarkStart w:id="2189" w:name="_Toc517437837"/>
      <w:bookmarkStart w:id="2190" w:name="_Toc517438379"/>
      <w:bookmarkStart w:id="2191" w:name="_Toc517440716"/>
      <w:bookmarkStart w:id="2192" w:name="_Toc517447753"/>
      <w:bookmarkStart w:id="2193" w:name="_Toc517450231"/>
      <w:bookmarkStart w:id="2194" w:name="_Toc517450773"/>
      <w:bookmarkStart w:id="2195" w:name="_Toc517857229"/>
      <w:bookmarkStart w:id="2196" w:name="_Toc518293356"/>
      <w:bookmarkStart w:id="2197" w:name="_Toc522744584"/>
      <w:bookmarkStart w:id="2198" w:name="_Toc522747707"/>
      <w:bookmarkStart w:id="2199" w:name="_Toc529183545"/>
      <w:bookmarkStart w:id="2200" w:name="_Toc529188308"/>
      <w:bookmarkStart w:id="2201" w:name="_Toc529434821"/>
      <w:bookmarkStart w:id="2202" w:name="_Toc529524712"/>
      <w:bookmarkStart w:id="2203" w:name="_Toc530474636"/>
      <w:bookmarkStart w:id="2204" w:name="_Toc530475231"/>
      <w:r>
        <w:t>Subdivision 3 — Merger by resolution of land that is common property</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nzHeading3"/>
      </w:pPr>
      <w:bookmarkStart w:id="2205" w:name="_Toc517437838"/>
      <w:bookmarkStart w:id="2206" w:name="_Toc517438380"/>
      <w:bookmarkStart w:id="2207" w:name="_Toc517440717"/>
      <w:bookmarkStart w:id="2208" w:name="_Toc517447754"/>
      <w:bookmarkStart w:id="2209" w:name="_Toc517450232"/>
      <w:bookmarkStart w:id="2210" w:name="_Toc517450774"/>
      <w:bookmarkStart w:id="2211" w:name="_Toc517857230"/>
      <w:bookmarkStart w:id="2212" w:name="_Toc518293357"/>
      <w:bookmarkStart w:id="2213" w:name="_Toc522744585"/>
      <w:bookmarkStart w:id="2214" w:name="_Toc522747708"/>
      <w:bookmarkStart w:id="2215" w:name="_Toc529183546"/>
      <w:bookmarkStart w:id="2216" w:name="_Toc529188309"/>
      <w:bookmarkStart w:id="2217" w:name="_Toc529434822"/>
      <w:bookmarkStart w:id="2218" w:name="_Toc529524713"/>
      <w:bookmarkStart w:id="2219" w:name="_Toc530474637"/>
      <w:bookmarkStart w:id="2220" w:name="_Toc530475232"/>
      <w:r>
        <w:t>Division 2 — Conversion of strata schemes to survey</w:t>
      </w:r>
      <w:r>
        <w:noBreakHyphen/>
        <w:t>strata schemes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nzHeading3"/>
      </w:pPr>
      <w:bookmarkStart w:id="2221" w:name="_Toc517437839"/>
      <w:bookmarkStart w:id="2222" w:name="_Toc517438381"/>
      <w:bookmarkStart w:id="2223" w:name="_Toc517440718"/>
      <w:bookmarkStart w:id="2224" w:name="_Toc517447755"/>
      <w:bookmarkStart w:id="2225" w:name="_Toc517450233"/>
      <w:bookmarkStart w:id="2226" w:name="_Toc517450775"/>
      <w:bookmarkStart w:id="2227" w:name="_Toc517857231"/>
      <w:bookmarkStart w:id="2228" w:name="_Toc518293358"/>
      <w:bookmarkStart w:id="2229" w:name="_Toc522744586"/>
      <w:bookmarkStart w:id="2230" w:name="_Toc522747709"/>
      <w:bookmarkStart w:id="2231" w:name="_Toc529183547"/>
      <w:bookmarkStart w:id="2232" w:name="_Toc529188310"/>
      <w:bookmarkStart w:id="2233" w:name="_Toc529434823"/>
      <w:bookmarkStart w:id="2234" w:name="_Toc529524714"/>
      <w:bookmarkStart w:id="2235" w:name="_Toc530474638"/>
      <w:bookmarkStart w:id="2236" w:name="_Toc530475233"/>
      <w:r>
        <w:t>Part 5 — Insurance</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BlankClose"/>
      </w:pPr>
    </w:p>
    <w:p>
      <w:pPr>
        <w:pStyle w:val="nzPermNoteHeading"/>
      </w:pPr>
      <w:r>
        <w:tab/>
        <w:t>Note:</w:t>
      </w:r>
    </w:p>
    <w:p>
      <w:pPr>
        <w:pStyle w:val="nzPermNoteText"/>
      </w:pPr>
      <w:r>
        <w:tab/>
      </w:r>
      <w:r>
        <w:tab/>
        <w:t>Clauses are inserted into Schedule 2A through renumbering and relocation of provisions by Division 6.</w:t>
      </w:r>
    </w:p>
    <w:p>
      <w:pPr>
        <w:pStyle w:val="nzHeading5"/>
      </w:pPr>
      <w:bookmarkStart w:id="2237" w:name="_Toc530474639"/>
      <w:bookmarkStart w:id="2238" w:name="_Toc530475234"/>
      <w:r>
        <w:rPr>
          <w:rStyle w:val="CharSectno"/>
        </w:rPr>
        <w:t>115</w:t>
      </w:r>
      <w:r>
        <w:t>.</w:t>
      </w:r>
      <w:r>
        <w:tab/>
        <w:t>Schedule 3 heading amended</w:t>
      </w:r>
      <w:bookmarkEnd w:id="2237"/>
      <w:bookmarkEnd w:id="2238"/>
    </w:p>
    <w:p>
      <w:pPr>
        <w:pStyle w:val="nzSubsection"/>
      </w:pPr>
      <w:r>
        <w:tab/>
        <w:t>(1)</w:t>
      </w:r>
      <w:r>
        <w:tab/>
        <w:t>In the heading to Schedule 3 after “</w:t>
      </w:r>
      <w:r>
        <w:rPr>
          <w:b/>
          <w:sz w:val="28"/>
          <w:szCs w:val="28"/>
        </w:rPr>
        <w:t>provisions</w:t>
      </w:r>
      <w:r>
        <w:rPr>
          <w:szCs w:val="24"/>
        </w:rPr>
        <w:t>” insert:</w:t>
      </w:r>
    </w:p>
    <w:p>
      <w:pPr>
        <w:pStyle w:val="BlankOpen"/>
      </w:pPr>
    </w:p>
    <w:p>
      <w:pPr>
        <w:pStyle w:val="nzSubsection"/>
      </w:pPr>
      <w:r>
        <w:rPr>
          <w:b/>
          <w:sz w:val="28"/>
          <w:szCs w:val="28"/>
        </w:rPr>
        <w:tab/>
      </w:r>
      <w:r>
        <w:rPr>
          <w:b/>
          <w:sz w:val="28"/>
          <w:szCs w:val="28"/>
        </w:rPr>
        <w:tab/>
        <w:t xml:space="preserve">for transition from </w:t>
      </w:r>
      <w:r>
        <w:rPr>
          <w:b/>
          <w:i/>
          <w:sz w:val="28"/>
          <w:szCs w:val="28"/>
        </w:rPr>
        <w:t>Strata Titles Act 1966</w:t>
      </w:r>
      <w:r>
        <w:rPr>
          <w:b/>
          <w:sz w:val="28"/>
          <w:szCs w:val="28"/>
        </w:rPr>
        <w:t xml:space="preserve"> to this Act</w:t>
      </w:r>
    </w:p>
    <w:p>
      <w:pPr>
        <w:pStyle w:val="BlankClose"/>
      </w:pPr>
    </w:p>
    <w:p>
      <w:pPr>
        <w:pStyle w:val="nzSubsection"/>
      </w:pPr>
      <w:r>
        <w:tab/>
        <w:t>(2)</w:t>
      </w:r>
      <w:r>
        <w:tab/>
        <w:t>Delete the reference after the heading to Schedule 3.</w:t>
      </w:r>
    </w:p>
    <w:p>
      <w:pPr>
        <w:pStyle w:val="nzHeading5"/>
      </w:pPr>
      <w:bookmarkStart w:id="2239" w:name="_Toc530474640"/>
      <w:bookmarkStart w:id="2240" w:name="_Toc530475235"/>
      <w:r>
        <w:rPr>
          <w:rStyle w:val="CharSectno"/>
        </w:rPr>
        <w:t>116</w:t>
      </w:r>
      <w:r>
        <w:t>.</w:t>
      </w:r>
      <w:r>
        <w:tab/>
        <w:t>Schedule 4 heading amended</w:t>
      </w:r>
      <w:bookmarkEnd w:id="2239"/>
      <w:bookmarkEnd w:id="2240"/>
    </w:p>
    <w:p>
      <w:pPr>
        <w:pStyle w:val="nzSubsection"/>
      </w:pPr>
      <w:r>
        <w:tab/>
        <w:t>(1)</w:t>
      </w:r>
      <w:r>
        <w:tab/>
        <w:t>In the heading to Schedule 4 after “</w:t>
      </w:r>
      <w:r>
        <w:rPr>
          <w:b/>
          <w:sz w:val="28"/>
          <w:szCs w:val="28"/>
        </w:rPr>
        <w:t>provisions</w:t>
      </w:r>
      <w:r>
        <w:rPr>
          <w:szCs w:val="24"/>
        </w:rPr>
        <w:t>” insert:</w:t>
      </w:r>
    </w:p>
    <w:p>
      <w:pPr>
        <w:pStyle w:val="BlankOpen"/>
      </w:pPr>
    </w:p>
    <w:p>
      <w:pPr>
        <w:pStyle w:val="nzSubsection"/>
      </w:pPr>
      <w:r>
        <w:rPr>
          <w:b/>
          <w:sz w:val="28"/>
          <w:szCs w:val="28"/>
        </w:rPr>
        <w:tab/>
      </w:r>
      <w:r>
        <w:rPr>
          <w:b/>
          <w:sz w:val="28"/>
          <w:szCs w:val="28"/>
        </w:rPr>
        <w:tab/>
        <w:t xml:space="preserve">for the </w:t>
      </w:r>
      <w:r>
        <w:rPr>
          <w:b/>
          <w:i/>
          <w:sz w:val="28"/>
          <w:szCs w:val="28"/>
        </w:rPr>
        <w:t>Strata Titles Amendment Act 1995</w:t>
      </w:r>
      <w:r>
        <w:rPr>
          <w:b/>
          <w:sz w:val="28"/>
          <w:szCs w:val="28"/>
        </w:rPr>
        <w:t xml:space="preserve"> </w:t>
      </w:r>
    </w:p>
    <w:p>
      <w:pPr>
        <w:pStyle w:val="BlankClose"/>
      </w:pPr>
    </w:p>
    <w:p>
      <w:pPr>
        <w:pStyle w:val="nzSubsection"/>
      </w:pPr>
      <w:r>
        <w:tab/>
        <w:t>(2)</w:t>
      </w:r>
      <w:r>
        <w:tab/>
        <w:t>Delete the reference after the heading to Schedule 4.</w:t>
      </w:r>
    </w:p>
    <w:p>
      <w:pPr>
        <w:pStyle w:val="nzHeading3"/>
      </w:pPr>
      <w:bookmarkStart w:id="2241" w:name="_Toc517437842"/>
      <w:bookmarkStart w:id="2242" w:name="_Toc517438384"/>
      <w:bookmarkStart w:id="2243" w:name="_Toc517440721"/>
      <w:bookmarkStart w:id="2244" w:name="_Toc517447758"/>
      <w:bookmarkStart w:id="2245" w:name="_Toc517450236"/>
      <w:bookmarkStart w:id="2246" w:name="_Toc517450778"/>
      <w:bookmarkStart w:id="2247" w:name="_Toc517857234"/>
      <w:bookmarkStart w:id="2248" w:name="_Toc518293361"/>
      <w:bookmarkStart w:id="2249" w:name="_Toc522744589"/>
      <w:bookmarkStart w:id="2250" w:name="_Toc522747712"/>
      <w:bookmarkStart w:id="2251" w:name="_Toc529183550"/>
      <w:bookmarkStart w:id="2252" w:name="_Toc529188313"/>
      <w:bookmarkStart w:id="2253" w:name="_Toc529434826"/>
      <w:bookmarkStart w:id="2254" w:name="_Toc529524717"/>
      <w:bookmarkStart w:id="2255" w:name="_Toc530474641"/>
      <w:bookmarkStart w:id="2256" w:name="_Toc530475236"/>
      <w:r>
        <w:rPr>
          <w:rStyle w:val="CharDivNo"/>
        </w:rPr>
        <w:t>Division 6</w:t>
      </w:r>
      <w:r>
        <w:t> — </w:t>
      </w:r>
      <w:r>
        <w:rPr>
          <w:rStyle w:val="CharDivText"/>
        </w:rPr>
        <w:t>Sections relocated to Schedule 2A</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nzHeading5"/>
      </w:pPr>
      <w:bookmarkStart w:id="2257" w:name="_Toc530474642"/>
      <w:bookmarkStart w:id="2258" w:name="_Toc530475237"/>
      <w:r>
        <w:rPr>
          <w:rStyle w:val="CharSectno"/>
        </w:rPr>
        <w:t>117</w:t>
      </w:r>
      <w:r>
        <w:t>.</w:t>
      </w:r>
      <w:r>
        <w:tab/>
        <w:t>Sections relocated to Schedule 2A</w:t>
      </w:r>
      <w:bookmarkEnd w:id="2257"/>
      <w:bookmarkEnd w:id="2258"/>
    </w:p>
    <w:p>
      <w:pPr>
        <w:pStyle w:val="nzSubsection"/>
      </w:pPr>
      <w:r>
        <w:tab/>
      </w:r>
      <w:r>
        <w:tab/>
        <w:t>The sections listed in column 1 of the Table below are, after their amendment by Part 2 Division 2 of this Act (if relevant), redesignated as clauses of Schedule 2A (as inserted by section 114 of this Act) and relocated (in the order in which they appear in the Table) to the Parts, Divisions and Subdivisions of that Schedule as set out in columns 2 and 4 of the Table.</w:t>
      </w:r>
    </w:p>
    <w:p>
      <w:pPr>
        <w:pStyle w:val="THeading"/>
      </w:pPr>
      <w:r>
        <w:t>Table</w:t>
      </w:r>
    </w:p>
    <w:tbl>
      <w:tblPr>
        <w:tblStyle w:val="TableGrid"/>
        <w:tblW w:w="0" w:type="auto"/>
        <w:tblInd w:w="675" w:type="dxa"/>
        <w:tblLayout w:type="fixed"/>
        <w:tblLook w:val="04A0" w:firstRow="1" w:lastRow="0" w:firstColumn="1" w:lastColumn="0" w:noHBand="0" w:noVBand="1"/>
      </w:tblPr>
      <w:tblGrid>
        <w:gridCol w:w="1127"/>
        <w:gridCol w:w="1610"/>
        <w:gridCol w:w="1918"/>
        <w:gridCol w:w="1866"/>
      </w:tblGrid>
      <w:tr>
        <w:trPr>
          <w:cantSplit/>
          <w:tblHeader/>
        </w:trPr>
        <w:tc>
          <w:tcPr>
            <w:tcW w:w="1127" w:type="dxa"/>
          </w:tcPr>
          <w:p>
            <w:pPr>
              <w:pStyle w:val="TableAm"/>
              <w:jc w:val="center"/>
              <w:rPr>
                <w:b/>
              </w:rPr>
            </w:pPr>
            <w:r>
              <w:rPr>
                <w:b/>
              </w:rPr>
              <w:t>Section number</w:t>
            </w:r>
          </w:p>
        </w:tc>
        <w:tc>
          <w:tcPr>
            <w:tcW w:w="1610" w:type="dxa"/>
          </w:tcPr>
          <w:p>
            <w:pPr>
              <w:pStyle w:val="TableAm"/>
              <w:jc w:val="center"/>
              <w:rPr>
                <w:b/>
              </w:rPr>
            </w:pPr>
            <w:r>
              <w:rPr>
                <w:b/>
              </w:rPr>
              <w:t>Redesignated clause number</w:t>
            </w:r>
          </w:p>
        </w:tc>
        <w:tc>
          <w:tcPr>
            <w:tcW w:w="1918" w:type="dxa"/>
          </w:tcPr>
          <w:p>
            <w:pPr>
              <w:pStyle w:val="TableAm"/>
              <w:jc w:val="center"/>
              <w:rPr>
                <w:b/>
              </w:rPr>
            </w:pPr>
            <w:r>
              <w:rPr>
                <w:b/>
              </w:rPr>
              <w:t>Clause heading</w:t>
            </w:r>
          </w:p>
        </w:tc>
        <w:tc>
          <w:tcPr>
            <w:tcW w:w="1866" w:type="dxa"/>
          </w:tcPr>
          <w:p>
            <w:pPr>
              <w:pStyle w:val="TableAm"/>
              <w:jc w:val="center"/>
              <w:rPr>
                <w:b/>
              </w:rPr>
            </w:pPr>
            <w:r>
              <w:rPr>
                <w:b/>
              </w:rPr>
              <w:t>Relocation of clause</w:t>
            </w:r>
          </w:p>
        </w:tc>
      </w:tr>
      <w:tr>
        <w:trPr>
          <w:cantSplit/>
        </w:trPr>
        <w:tc>
          <w:tcPr>
            <w:tcW w:w="1127" w:type="dxa"/>
          </w:tcPr>
          <w:p>
            <w:pPr>
              <w:pStyle w:val="TableAm"/>
            </w:pPr>
            <w:r>
              <w:t>s. 3A</w:t>
            </w:r>
          </w:p>
        </w:tc>
        <w:tc>
          <w:tcPr>
            <w:tcW w:w="1610" w:type="dxa"/>
          </w:tcPr>
          <w:p>
            <w:pPr>
              <w:pStyle w:val="TableAm"/>
            </w:pPr>
            <w:r>
              <w:t>cl. 3A</w:t>
            </w:r>
          </w:p>
        </w:tc>
        <w:tc>
          <w:tcPr>
            <w:tcW w:w="1918" w:type="dxa"/>
          </w:tcPr>
          <w:p>
            <w:pPr>
              <w:pStyle w:val="TableAm"/>
              <w:rPr>
                <w:b/>
              </w:rPr>
            </w:pPr>
            <w:r>
              <w:rPr>
                <w:b/>
                <w:sz w:val="20"/>
              </w:rPr>
              <w:t>Single tier strata schemes to which clause 3AB applies</w:t>
            </w:r>
          </w:p>
        </w:tc>
        <w:tc>
          <w:tcPr>
            <w:tcW w:w="1866" w:type="dxa"/>
          </w:tcPr>
          <w:p>
            <w:pPr>
              <w:pStyle w:val="TableAm"/>
            </w:pPr>
            <w:r>
              <w:t xml:space="preserve">Schedule 2A </w:t>
            </w:r>
          </w:p>
          <w:p>
            <w:pPr>
              <w:pStyle w:val="TableAm"/>
            </w:pPr>
            <w:r>
              <w:t>Part 2</w:t>
            </w:r>
          </w:p>
        </w:tc>
      </w:tr>
      <w:tr>
        <w:trPr>
          <w:cantSplit/>
        </w:trPr>
        <w:tc>
          <w:tcPr>
            <w:tcW w:w="1127" w:type="dxa"/>
          </w:tcPr>
          <w:p>
            <w:pPr>
              <w:pStyle w:val="TableAm"/>
            </w:pPr>
            <w:r>
              <w:t>s. 3AB</w:t>
            </w:r>
          </w:p>
        </w:tc>
        <w:tc>
          <w:tcPr>
            <w:tcW w:w="1610" w:type="dxa"/>
          </w:tcPr>
          <w:p>
            <w:pPr>
              <w:pStyle w:val="TableAm"/>
            </w:pPr>
            <w:r>
              <w:t>cl. 3AB</w:t>
            </w:r>
          </w:p>
        </w:tc>
        <w:tc>
          <w:tcPr>
            <w:tcW w:w="1918" w:type="dxa"/>
          </w:tcPr>
          <w:p>
            <w:pPr>
              <w:pStyle w:val="TableAm"/>
              <w:rPr>
                <w:b/>
                <w:sz w:val="20"/>
              </w:rPr>
            </w:pPr>
            <w:r>
              <w:rPr>
                <w:b/>
                <w:sz w:val="20"/>
              </w:rPr>
              <w:t>Alternative boundaries for lots in single tier strata schemes</w:t>
            </w:r>
          </w:p>
        </w:tc>
        <w:tc>
          <w:tcPr>
            <w:tcW w:w="1866" w:type="dxa"/>
          </w:tcPr>
          <w:p>
            <w:pPr>
              <w:pStyle w:val="TableAm"/>
            </w:pPr>
            <w:r>
              <w:t>Schedule 2A</w:t>
            </w:r>
          </w:p>
          <w:p>
            <w:pPr>
              <w:pStyle w:val="TableAm"/>
            </w:pPr>
            <w:r>
              <w:t>Part 2</w:t>
            </w:r>
          </w:p>
        </w:tc>
      </w:tr>
      <w:tr>
        <w:trPr>
          <w:cantSplit/>
        </w:trPr>
        <w:tc>
          <w:tcPr>
            <w:tcW w:w="1127" w:type="dxa"/>
          </w:tcPr>
          <w:p>
            <w:pPr>
              <w:pStyle w:val="TableAm"/>
            </w:pPr>
            <w:r>
              <w:t>s. 12A</w:t>
            </w:r>
          </w:p>
        </w:tc>
        <w:tc>
          <w:tcPr>
            <w:tcW w:w="1610" w:type="dxa"/>
          </w:tcPr>
          <w:p>
            <w:pPr>
              <w:pStyle w:val="TableAm"/>
            </w:pPr>
            <w:r>
              <w:t>cl. 12A</w:t>
            </w:r>
          </w:p>
        </w:tc>
        <w:tc>
          <w:tcPr>
            <w:tcW w:w="1918" w:type="dxa"/>
          </w:tcPr>
          <w:p>
            <w:pPr>
              <w:pStyle w:val="TableAm"/>
              <w:rPr>
                <w:b/>
                <w:sz w:val="20"/>
              </w:rPr>
            </w:pPr>
            <w:r>
              <w:rPr>
                <w:b/>
                <w:sz w:val="20"/>
              </w:rPr>
              <w:t>Easement for access for certain work</w:t>
            </w:r>
          </w:p>
        </w:tc>
        <w:tc>
          <w:tcPr>
            <w:tcW w:w="1866" w:type="dxa"/>
          </w:tcPr>
          <w:p>
            <w:pPr>
              <w:pStyle w:val="TableAm"/>
            </w:pPr>
            <w:r>
              <w:t>Schedule 2A</w:t>
            </w:r>
          </w:p>
          <w:p>
            <w:pPr>
              <w:pStyle w:val="TableAm"/>
            </w:pPr>
            <w:r>
              <w:t>Part 3</w:t>
            </w:r>
          </w:p>
        </w:tc>
      </w:tr>
      <w:tr>
        <w:trPr>
          <w:cantSplit/>
        </w:trPr>
        <w:tc>
          <w:tcPr>
            <w:tcW w:w="1127" w:type="dxa"/>
          </w:tcPr>
          <w:p>
            <w:pPr>
              <w:pStyle w:val="TableAm"/>
            </w:pPr>
            <w:r>
              <w:t>s. 21A</w:t>
            </w:r>
          </w:p>
        </w:tc>
        <w:tc>
          <w:tcPr>
            <w:tcW w:w="1610" w:type="dxa"/>
          </w:tcPr>
          <w:p>
            <w:pPr>
              <w:pStyle w:val="TableAm"/>
            </w:pPr>
            <w:r>
              <w:t>cl. 21A</w:t>
            </w:r>
          </w:p>
        </w:tc>
        <w:tc>
          <w:tcPr>
            <w:tcW w:w="1918" w:type="dxa"/>
          </w:tcPr>
          <w:p>
            <w:pPr>
              <w:pStyle w:val="TableAm"/>
              <w:rPr>
                <w:b/>
                <w:sz w:val="20"/>
              </w:rPr>
            </w:pPr>
            <w:r>
              <w:rPr>
                <w:b/>
                <w:sz w:val="20"/>
              </w:rPr>
              <w:t>Term used: existing small strata scheme</w:t>
            </w:r>
          </w:p>
        </w:tc>
        <w:tc>
          <w:tcPr>
            <w:tcW w:w="1866" w:type="dxa"/>
          </w:tcPr>
          <w:p>
            <w:pPr>
              <w:pStyle w:val="TableAm"/>
            </w:pPr>
            <w:r>
              <w:t>Schedule 2A</w:t>
            </w:r>
          </w:p>
          <w:p>
            <w:pPr>
              <w:pStyle w:val="TableAm"/>
            </w:pPr>
            <w:r>
              <w:t>Part 4 Division 1</w:t>
            </w:r>
          </w:p>
          <w:p>
            <w:pPr>
              <w:pStyle w:val="TableAm"/>
            </w:pPr>
            <w:r>
              <w:t>Subdivision 1</w:t>
            </w:r>
          </w:p>
        </w:tc>
      </w:tr>
      <w:tr>
        <w:trPr>
          <w:cantSplit/>
        </w:trPr>
        <w:tc>
          <w:tcPr>
            <w:tcW w:w="1127" w:type="dxa"/>
          </w:tcPr>
          <w:p>
            <w:pPr>
              <w:pStyle w:val="TableAm"/>
            </w:pPr>
            <w:r>
              <w:t>s. 21B</w:t>
            </w:r>
          </w:p>
        </w:tc>
        <w:tc>
          <w:tcPr>
            <w:tcW w:w="1610" w:type="dxa"/>
          </w:tcPr>
          <w:p>
            <w:pPr>
              <w:pStyle w:val="TableAm"/>
            </w:pPr>
            <w:r>
              <w:t>cl. 21B</w:t>
            </w:r>
          </w:p>
        </w:tc>
        <w:tc>
          <w:tcPr>
            <w:tcW w:w="1918" w:type="dxa"/>
          </w:tcPr>
          <w:p>
            <w:pPr>
              <w:pStyle w:val="TableAm"/>
              <w:rPr>
                <w:b/>
                <w:sz w:val="20"/>
              </w:rPr>
            </w:pPr>
            <w:r>
              <w:rPr>
                <w:b/>
                <w:sz w:val="20"/>
              </w:rPr>
              <w:t>Division only applies to single tier strata schemes</w:t>
            </w:r>
          </w:p>
        </w:tc>
        <w:tc>
          <w:tcPr>
            <w:tcW w:w="1866" w:type="dxa"/>
          </w:tcPr>
          <w:p>
            <w:pPr>
              <w:pStyle w:val="TableAm"/>
            </w:pPr>
            <w:r>
              <w:t xml:space="preserve">Schedule 2A </w:t>
            </w:r>
          </w:p>
          <w:p>
            <w:pPr>
              <w:pStyle w:val="TableAm"/>
            </w:pPr>
            <w:r>
              <w:t>Part 4 Division 1</w:t>
            </w:r>
          </w:p>
          <w:p>
            <w:pPr>
              <w:pStyle w:val="TableAm"/>
            </w:pPr>
            <w:r>
              <w:t>Subdivision 1</w:t>
            </w:r>
          </w:p>
        </w:tc>
      </w:tr>
      <w:tr>
        <w:trPr>
          <w:cantSplit/>
        </w:trPr>
        <w:tc>
          <w:tcPr>
            <w:tcW w:w="1127" w:type="dxa"/>
          </w:tcPr>
          <w:p>
            <w:pPr>
              <w:pStyle w:val="TableAm"/>
            </w:pPr>
            <w:r>
              <w:t>s. 21C</w:t>
            </w:r>
          </w:p>
        </w:tc>
        <w:tc>
          <w:tcPr>
            <w:tcW w:w="1610" w:type="dxa"/>
          </w:tcPr>
          <w:p>
            <w:pPr>
              <w:pStyle w:val="TableAm"/>
            </w:pPr>
            <w:r>
              <w:t>cl. 21C</w:t>
            </w:r>
          </w:p>
        </w:tc>
        <w:tc>
          <w:tcPr>
            <w:tcW w:w="1918" w:type="dxa"/>
          </w:tcPr>
          <w:p>
            <w:pPr>
              <w:pStyle w:val="TableAm"/>
              <w:rPr>
                <w:b/>
                <w:sz w:val="20"/>
              </w:rPr>
            </w:pPr>
            <w:r>
              <w:rPr>
                <w:b/>
                <w:sz w:val="20"/>
              </w:rPr>
              <w:t>Procedures cannot be invoked more than once</w:t>
            </w:r>
          </w:p>
        </w:tc>
        <w:tc>
          <w:tcPr>
            <w:tcW w:w="1866" w:type="dxa"/>
          </w:tcPr>
          <w:p>
            <w:pPr>
              <w:pStyle w:val="TableAm"/>
            </w:pPr>
            <w:r>
              <w:t>Schedule 2A</w:t>
            </w:r>
          </w:p>
          <w:p>
            <w:pPr>
              <w:pStyle w:val="TableAm"/>
            </w:pPr>
            <w:r>
              <w:t>Part 4 Division 1</w:t>
            </w:r>
          </w:p>
          <w:p>
            <w:pPr>
              <w:pStyle w:val="TableAm"/>
            </w:pPr>
            <w:r>
              <w:t>Subdivision 1</w:t>
            </w:r>
          </w:p>
        </w:tc>
      </w:tr>
      <w:tr>
        <w:trPr>
          <w:cantSplit/>
        </w:trPr>
        <w:tc>
          <w:tcPr>
            <w:tcW w:w="1127" w:type="dxa"/>
          </w:tcPr>
          <w:p>
            <w:pPr>
              <w:pStyle w:val="TableAm"/>
            </w:pPr>
            <w:r>
              <w:t>s. 21D</w:t>
            </w:r>
          </w:p>
        </w:tc>
        <w:tc>
          <w:tcPr>
            <w:tcW w:w="1610" w:type="dxa"/>
          </w:tcPr>
          <w:p>
            <w:pPr>
              <w:pStyle w:val="TableAm"/>
            </w:pPr>
            <w:r>
              <w:t>cl. 21D</w:t>
            </w:r>
          </w:p>
        </w:tc>
        <w:tc>
          <w:tcPr>
            <w:tcW w:w="1918" w:type="dxa"/>
          </w:tcPr>
          <w:p>
            <w:pPr>
              <w:pStyle w:val="TableAm"/>
              <w:rPr>
                <w:b/>
                <w:sz w:val="20"/>
              </w:rPr>
            </w:pPr>
            <w:r>
              <w:rPr>
                <w:b/>
                <w:sz w:val="20"/>
              </w:rPr>
              <w:t>Saving</w:t>
            </w:r>
          </w:p>
        </w:tc>
        <w:tc>
          <w:tcPr>
            <w:tcW w:w="1866" w:type="dxa"/>
          </w:tcPr>
          <w:p>
            <w:pPr>
              <w:pStyle w:val="TableAm"/>
            </w:pPr>
            <w:r>
              <w:t>Schedule 2A</w:t>
            </w:r>
          </w:p>
          <w:p>
            <w:pPr>
              <w:pStyle w:val="TableAm"/>
            </w:pPr>
            <w:r>
              <w:t>Part 4 Division 1</w:t>
            </w:r>
          </w:p>
          <w:p>
            <w:pPr>
              <w:pStyle w:val="TableAm"/>
            </w:pPr>
            <w:r>
              <w:t>Subdivision 1</w:t>
            </w:r>
          </w:p>
        </w:tc>
      </w:tr>
      <w:tr>
        <w:trPr>
          <w:cantSplit/>
        </w:trPr>
        <w:tc>
          <w:tcPr>
            <w:tcW w:w="1127" w:type="dxa"/>
          </w:tcPr>
          <w:p>
            <w:pPr>
              <w:pStyle w:val="TableAm"/>
            </w:pPr>
            <w:r>
              <w:t>s. 21E</w:t>
            </w:r>
          </w:p>
        </w:tc>
        <w:tc>
          <w:tcPr>
            <w:tcW w:w="1610" w:type="dxa"/>
          </w:tcPr>
          <w:p>
            <w:pPr>
              <w:pStyle w:val="TableAm"/>
            </w:pPr>
            <w:r>
              <w:t>cl. 21E</w:t>
            </w:r>
          </w:p>
        </w:tc>
        <w:tc>
          <w:tcPr>
            <w:tcW w:w="1918" w:type="dxa"/>
          </w:tcPr>
          <w:p>
            <w:pPr>
              <w:pStyle w:val="TableAm"/>
              <w:rPr>
                <w:b/>
                <w:sz w:val="20"/>
              </w:rPr>
            </w:pPr>
            <w:r>
              <w:rPr>
                <w:b/>
                <w:sz w:val="20"/>
              </w:rPr>
              <w:t>Application of this Subdivision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21F</w:t>
            </w:r>
          </w:p>
        </w:tc>
        <w:tc>
          <w:tcPr>
            <w:tcW w:w="1610" w:type="dxa"/>
          </w:tcPr>
          <w:p>
            <w:pPr>
              <w:pStyle w:val="TableAm"/>
            </w:pPr>
            <w:r>
              <w:t>cl. 21F</w:t>
            </w:r>
          </w:p>
        </w:tc>
        <w:tc>
          <w:tcPr>
            <w:tcW w:w="1918" w:type="dxa"/>
          </w:tcPr>
          <w:p>
            <w:pPr>
              <w:pStyle w:val="TableAm"/>
              <w:rPr>
                <w:b/>
                <w:sz w:val="20"/>
              </w:rPr>
            </w:pPr>
            <w:r>
              <w:rPr>
                <w:b/>
                <w:sz w:val="20"/>
              </w:rPr>
              <w:t>Resolution by strata company</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21G</w:t>
            </w:r>
          </w:p>
        </w:tc>
        <w:tc>
          <w:tcPr>
            <w:tcW w:w="1610" w:type="dxa"/>
          </w:tcPr>
          <w:p>
            <w:pPr>
              <w:pStyle w:val="TableAm"/>
            </w:pPr>
            <w:r>
              <w:t>cl. 21G</w:t>
            </w:r>
          </w:p>
        </w:tc>
        <w:tc>
          <w:tcPr>
            <w:tcW w:w="1918" w:type="dxa"/>
          </w:tcPr>
          <w:p>
            <w:pPr>
              <w:pStyle w:val="TableAm"/>
              <w:rPr>
                <w:b/>
                <w:sz w:val="20"/>
              </w:rPr>
            </w:pPr>
            <w:r>
              <w:rPr>
                <w:b/>
                <w:sz w:val="20"/>
              </w:rPr>
              <w:t>Notice of resolution may be lodged for registration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21H</w:t>
            </w:r>
          </w:p>
        </w:tc>
        <w:tc>
          <w:tcPr>
            <w:tcW w:w="1610" w:type="dxa"/>
          </w:tcPr>
          <w:p>
            <w:pPr>
              <w:pStyle w:val="TableAm"/>
            </w:pPr>
            <w:r>
              <w:t>cl. 21H</w:t>
            </w:r>
          </w:p>
        </w:tc>
        <w:tc>
          <w:tcPr>
            <w:tcW w:w="1918" w:type="dxa"/>
          </w:tcPr>
          <w:p>
            <w:pPr>
              <w:pStyle w:val="TableAm"/>
              <w:rPr>
                <w:b/>
                <w:sz w:val="20"/>
              </w:rPr>
            </w:pPr>
            <w:r>
              <w:rPr>
                <w:b/>
                <w:sz w:val="20"/>
              </w:rPr>
              <w:t>Registration of notice of resolution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21I</w:t>
            </w:r>
          </w:p>
        </w:tc>
        <w:tc>
          <w:tcPr>
            <w:tcW w:w="1610" w:type="dxa"/>
          </w:tcPr>
          <w:p>
            <w:pPr>
              <w:pStyle w:val="TableAm"/>
            </w:pPr>
            <w:r>
              <w:t>cl. 21I</w:t>
            </w:r>
          </w:p>
        </w:tc>
        <w:tc>
          <w:tcPr>
            <w:tcW w:w="1918" w:type="dxa"/>
          </w:tcPr>
          <w:p>
            <w:pPr>
              <w:pStyle w:val="TableAm"/>
              <w:rPr>
                <w:b/>
                <w:sz w:val="20"/>
              </w:rPr>
            </w:pPr>
            <w:r>
              <w:rPr>
                <w:b/>
                <w:sz w:val="20"/>
              </w:rPr>
              <w:t>Effect of registration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21J</w:t>
            </w:r>
          </w:p>
        </w:tc>
        <w:tc>
          <w:tcPr>
            <w:tcW w:w="1610" w:type="dxa"/>
          </w:tcPr>
          <w:p>
            <w:pPr>
              <w:pStyle w:val="TableAm"/>
            </w:pPr>
            <w:r>
              <w:t>cl. 21J</w:t>
            </w:r>
          </w:p>
        </w:tc>
        <w:tc>
          <w:tcPr>
            <w:tcW w:w="1918" w:type="dxa"/>
          </w:tcPr>
          <w:p>
            <w:pPr>
              <w:pStyle w:val="TableAm"/>
              <w:rPr>
                <w:b/>
                <w:sz w:val="20"/>
              </w:rPr>
            </w:pPr>
            <w:r>
              <w:rPr>
                <w:b/>
                <w:sz w:val="20"/>
              </w:rPr>
              <w:t>Registrar of Titles to amend strata plan</w:t>
            </w:r>
          </w:p>
        </w:tc>
        <w:tc>
          <w:tcPr>
            <w:tcW w:w="1866" w:type="dxa"/>
          </w:tcPr>
          <w:p>
            <w:pPr>
              <w:pStyle w:val="TableAm"/>
            </w:pPr>
            <w:r>
              <w:t>Schedule 2A</w:t>
            </w:r>
          </w:p>
          <w:p>
            <w:pPr>
              <w:pStyle w:val="TableAm"/>
            </w:pPr>
            <w:r>
              <w:t>Part 4 Division 1</w:t>
            </w:r>
          </w:p>
          <w:p>
            <w:pPr>
              <w:pStyle w:val="TableAm"/>
            </w:pPr>
            <w:r>
              <w:t>Subdivision 2</w:t>
            </w:r>
          </w:p>
        </w:tc>
      </w:tr>
      <w:tr>
        <w:trPr>
          <w:cantSplit/>
        </w:trPr>
        <w:tc>
          <w:tcPr>
            <w:tcW w:w="1127" w:type="dxa"/>
          </w:tcPr>
          <w:p>
            <w:pPr>
              <w:pStyle w:val="TableAm"/>
            </w:pPr>
            <w:r>
              <w:t>s. 21P</w:t>
            </w:r>
          </w:p>
        </w:tc>
        <w:tc>
          <w:tcPr>
            <w:tcW w:w="1610" w:type="dxa"/>
          </w:tcPr>
          <w:p>
            <w:pPr>
              <w:pStyle w:val="TableAm"/>
            </w:pPr>
            <w:r>
              <w:t>cl. 21P</w:t>
            </w:r>
          </w:p>
        </w:tc>
        <w:tc>
          <w:tcPr>
            <w:tcW w:w="1918" w:type="dxa"/>
          </w:tcPr>
          <w:p>
            <w:pPr>
              <w:pStyle w:val="TableAm"/>
              <w:rPr>
                <w:b/>
                <w:sz w:val="20"/>
              </w:rPr>
            </w:pPr>
            <w:r>
              <w:rPr>
                <w:b/>
                <w:sz w:val="20"/>
              </w:rPr>
              <w:t>Application of this Subdivision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21Q</w:t>
            </w:r>
          </w:p>
        </w:tc>
        <w:tc>
          <w:tcPr>
            <w:tcW w:w="1610" w:type="dxa"/>
          </w:tcPr>
          <w:p>
            <w:pPr>
              <w:pStyle w:val="TableAm"/>
            </w:pPr>
            <w:r>
              <w:t>cl. 21Q</w:t>
            </w:r>
          </w:p>
        </w:tc>
        <w:tc>
          <w:tcPr>
            <w:tcW w:w="1918" w:type="dxa"/>
          </w:tcPr>
          <w:p>
            <w:pPr>
              <w:pStyle w:val="TableAm"/>
              <w:rPr>
                <w:b/>
                <w:sz w:val="20"/>
              </w:rPr>
            </w:pPr>
            <w:r>
              <w:rPr>
                <w:b/>
                <w:sz w:val="20"/>
              </w:rPr>
              <w:t>Resolution by strata company</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21R</w:t>
            </w:r>
          </w:p>
        </w:tc>
        <w:tc>
          <w:tcPr>
            <w:tcW w:w="1610" w:type="dxa"/>
          </w:tcPr>
          <w:p>
            <w:pPr>
              <w:pStyle w:val="TableAm"/>
            </w:pPr>
            <w:r>
              <w:t>cl. 21R</w:t>
            </w:r>
          </w:p>
        </w:tc>
        <w:tc>
          <w:tcPr>
            <w:tcW w:w="1918" w:type="dxa"/>
          </w:tcPr>
          <w:p>
            <w:pPr>
              <w:pStyle w:val="TableAm"/>
              <w:rPr>
                <w:b/>
                <w:sz w:val="20"/>
              </w:rPr>
            </w:pPr>
            <w:r>
              <w:rPr>
                <w:b/>
                <w:sz w:val="20"/>
              </w:rPr>
              <w:t>Further provisions as to contents of resolution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21S</w:t>
            </w:r>
          </w:p>
        </w:tc>
        <w:tc>
          <w:tcPr>
            <w:tcW w:w="1610" w:type="dxa"/>
          </w:tcPr>
          <w:p>
            <w:pPr>
              <w:pStyle w:val="TableAm"/>
            </w:pPr>
            <w:r>
              <w:t>cl. 21S</w:t>
            </w:r>
          </w:p>
        </w:tc>
        <w:tc>
          <w:tcPr>
            <w:tcW w:w="1918" w:type="dxa"/>
          </w:tcPr>
          <w:p>
            <w:pPr>
              <w:pStyle w:val="TableAm"/>
              <w:rPr>
                <w:b/>
                <w:sz w:val="20"/>
              </w:rPr>
            </w:pPr>
            <w:r>
              <w:rPr>
                <w:b/>
                <w:sz w:val="20"/>
              </w:rPr>
              <w:t>Notice of resolution may be lodged for registration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21T</w:t>
            </w:r>
          </w:p>
        </w:tc>
        <w:tc>
          <w:tcPr>
            <w:tcW w:w="1610" w:type="dxa"/>
          </w:tcPr>
          <w:p>
            <w:pPr>
              <w:pStyle w:val="TableAm"/>
            </w:pPr>
            <w:r>
              <w:t>cl. 21T</w:t>
            </w:r>
          </w:p>
        </w:tc>
        <w:tc>
          <w:tcPr>
            <w:tcW w:w="1918" w:type="dxa"/>
          </w:tcPr>
          <w:p>
            <w:pPr>
              <w:pStyle w:val="TableAm"/>
              <w:rPr>
                <w:b/>
                <w:sz w:val="20"/>
              </w:rPr>
            </w:pPr>
            <w:r>
              <w:rPr>
                <w:b/>
                <w:sz w:val="20"/>
              </w:rPr>
              <w:t>Documents to accompany notice</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21U</w:t>
            </w:r>
          </w:p>
        </w:tc>
        <w:tc>
          <w:tcPr>
            <w:tcW w:w="1610" w:type="dxa"/>
          </w:tcPr>
          <w:p>
            <w:pPr>
              <w:pStyle w:val="TableAm"/>
            </w:pPr>
            <w:r>
              <w:t>cl. 21U</w:t>
            </w:r>
          </w:p>
        </w:tc>
        <w:tc>
          <w:tcPr>
            <w:tcW w:w="1918" w:type="dxa"/>
          </w:tcPr>
          <w:p>
            <w:pPr>
              <w:pStyle w:val="TableAm"/>
              <w:rPr>
                <w:b/>
                <w:sz w:val="20"/>
              </w:rPr>
            </w:pPr>
            <w:r>
              <w:rPr>
                <w:b/>
                <w:sz w:val="20"/>
              </w:rPr>
              <w:t>Certificate of licensed surveyor</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21V</w:t>
            </w:r>
          </w:p>
        </w:tc>
        <w:tc>
          <w:tcPr>
            <w:tcW w:w="1610" w:type="dxa"/>
          </w:tcPr>
          <w:p>
            <w:pPr>
              <w:pStyle w:val="TableAm"/>
            </w:pPr>
            <w:r>
              <w:t>cl. 21V</w:t>
            </w:r>
          </w:p>
        </w:tc>
        <w:tc>
          <w:tcPr>
            <w:tcW w:w="1918" w:type="dxa"/>
          </w:tcPr>
          <w:p>
            <w:pPr>
              <w:pStyle w:val="TableAm"/>
              <w:rPr>
                <w:b/>
                <w:sz w:val="20"/>
              </w:rPr>
            </w:pPr>
            <w:r>
              <w:rPr>
                <w:b/>
                <w:sz w:val="20"/>
              </w:rPr>
              <w:t>Transfers etc. to give effect to notice of resolution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21W</w:t>
            </w:r>
          </w:p>
        </w:tc>
        <w:tc>
          <w:tcPr>
            <w:tcW w:w="1610" w:type="dxa"/>
          </w:tcPr>
          <w:p>
            <w:pPr>
              <w:pStyle w:val="TableAm"/>
            </w:pPr>
            <w:r>
              <w:t>cl. 21W</w:t>
            </w:r>
          </w:p>
        </w:tc>
        <w:tc>
          <w:tcPr>
            <w:tcW w:w="1918" w:type="dxa"/>
          </w:tcPr>
          <w:p>
            <w:pPr>
              <w:pStyle w:val="TableAm"/>
              <w:rPr>
                <w:b/>
                <w:sz w:val="20"/>
              </w:rPr>
            </w:pPr>
            <w:r>
              <w:rPr>
                <w:b/>
                <w:sz w:val="20"/>
              </w:rPr>
              <w:t>Creation of easements for parking etc.</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21X</w:t>
            </w:r>
          </w:p>
        </w:tc>
        <w:tc>
          <w:tcPr>
            <w:tcW w:w="1610" w:type="dxa"/>
          </w:tcPr>
          <w:p>
            <w:pPr>
              <w:pStyle w:val="TableAm"/>
            </w:pPr>
            <w:r>
              <w:t>cl. 21X</w:t>
            </w:r>
          </w:p>
        </w:tc>
        <w:tc>
          <w:tcPr>
            <w:tcW w:w="1918" w:type="dxa"/>
          </w:tcPr>
          <w:p>
            <w:pPr>
              <w:pStyle w:val="TableAm"/>
              <w:rPr>
                <w:b/>
                <w:sz w:val="20"/>
              </w:rPr>
            </w:pPr>
            <w:r>
              <w:rPr>
                <w:b/>
                <w:sz w:val="20"/>
              </w:rPr>
              <w:t>Registration of notice of resolution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21Y</w:t>
            </w:r>
          </w:p>
        </w:tc>
        <w:tc>
          <w:tcPr>
            <w:tcW w:w="1610" w:type="dxa"/>
          </w:tcPr>
          <w:p>
            <w:pPr>
              <w:pStyle w:val="TableAm"/>
            </w:pPr>
            <w:r>
              <w:t>cl. 21Y</w:t>
            </w:r>
          </w:p>
        </w:tc>
        <w:tc>
          <w:tcPr>
            <w:tcW w:w="1918" w:type="dxa"/>
          </w:tcPr>
          <w:p>
            <w:pPr>
              <w:pStyle w:val="TableAm"/>
              <w:rPr>
                <w:b/>
                <w:sz w:val="20"/>
              </w:rPr>
            </w:pPr>
            <w:r>
              <w:rPr>
                <w:b/>
                <w:sz w:val="20"/>
              </w:rPr>
              <w:t>Effect of registration</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21Z</w:t>
            </w:r>
          </w:p>
        </w:tc>
        <w:tc>
          <w:tcPr>
            <w:tcW w:w="1610" w:type="dxa"/>
          </w:tcPr>
          <w:p>
            <w:pPr>
              <w:pStyle w:val="TableAm"/>
            </w:pPr>
            <w:r>
              <w:t>cl. 21Z</w:t>
            </w:r>
          </w:p>
        </w:tc>
        <w:tc>
          <w:tcPr>
            <w:tcW w:w="1918" w:type="dxa"/>
          </w:tcPr>
          <w:p>
            <w:pPr>
              <w:pStyle w:val="TableAm"/>
              <w:rPr>
                <w:b/>
                <w:sz w:val="20"/>
              </w:rPr>
            </w:pPr>
            <w:r>
              <w:rPr>
                <w:b/>
                <w:sz w:val="20"/>
              </w:rPr>
              <w:t>Registrar of Titles to make necessary amendments</w:t>
            </w:r>
          </w:p>
        </w:tc>
        <w:tc>
          <w:tcPr>
            <w:tcW w:w="1866" w:type="dxa"/>
          </w:tcPr>
          <w:p>
            <w:pPr>
              <w:pStyle w:val="TableAm"/>
            </w:pPr>
            <w:r>
              <w:t>Schedule 2A</w:t>
            </w:r>
          </w:p>
          <w:p>
            <w:pPr>
              <w:pStyle w:val="TableAm"/>
            </w:pPr>
            <w:r>
              <w:t>Part 4 Division 1</w:t>
            </w:r>
          </w:p>
          <w:p>
            <w:pPr>
              <w:pStyle w:val="TableAm"/>
            </w:pPr>
            <w:r>
              <w:t>Subdivision 3</w:t>
            </w:r>
          </w:p>
        </w:tc>
      </w:tr>
      <w:tr>
        <w:trPr>
          <w:cantSplit/>
        </w:trPr>
        <w:tc>
          <w:tcPr>
            <w:tcW w:w="1127" w:type="dxa"/>
          </w:tcPr>
          <w:p>
            <w:pPr>
              <w:pStyle w:val="TableAm"/>
            </w:pPr>
            <w:r>
              <w:t>s. 31A</w:t>
            </w:r>
          </w:p>
        </w:tc>
        <w:tc>
          <w:tcPr>
            <w:tcW w:w="1610" w:type="dxa"/>
          </w:tcPr>
          <w:p>
            <w:pPr>
              <w:pStyle w:val="TableAm"/>
            </w:pPr>
            <w:r>
              <w:t>cl. 31A</w:t>
            </w:r>
          </w:p>
        </w:tc>
        <w:tc>
          <w:tcPr>
            <w:tcW w:w="1918" w:type="dxa"/>
          </w:tcPr>
          <w:p>
            <w:pPr>
              <w:pStyle w:val="TableAm"/>
              <w:rPr>
                <w:b/>
                <w:sz w:val="20"/>
              </w:rPr>
            </w:pPr>
            <w:r>
              <w:rPr>
                <w:b/>
                <w:sz w:val="20"/>
              </w:rPr>
              <w:t>Division only applies to single tier strata schemes registered before 1 January 1998</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31B</w:t>
            </w:r>
          </w:p>
        </w:tc>
        <w:tc>
          <w:tcPr>
            <w:tcW w:w="1610" w:type="dxa"/>
          </w:tcPr>
          <w:p>
            <w:pPr>
              <w:pStyle w:val="TableAm"/>
            </w:pPr>
            <w:r>
              <w:t>cl. 31B</w:t>
            </w:r>
          </w:p>
        </w:tc>
        <w:tc>
          <w:tcPr>
            <w:tcW w:w="1918" w:type="dxa"/>
          </w:tcPr>
          <w:p>
            <w:pPr>
              <w:pStyle w:val="TableAm"/>
              <w:rPr>
                <w:b/>
                <w:sz w:val="20"/>
              </w:rPr>
            </w:pPr>
            <w:r>
              <w:rPr>
                <w:b/>
                <w:sz w:val="20"/>
              </w:rPr>
              <w:t>Saving</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31C</w:t>
            </w:r>
          </w:p>
        </w:tc>
        <w:tc>
          <w:tcPr>
            <w:tcW w:w="1610" w:type="dxa"/>
          </w:tcPr>
          <w:p>
            <w:pPr>
              <w:pStyle w:val="TableAm"/>
            </w:pPr>
            <w:r>
              <w:t>cl. 31C</w:t>
            </w:r>
          </w:p>
        </w:tc>
        <w:tc>
          <w:tcPr>
            <w:tcW w:w="1918" w:type="dxa"/>
          </w:tcPr>
          <w:p>
            <w:pPr>
              <w:pStyle w:val="TableAm"/>
              <w:rPr>
                <w:b/>
                <w:sz w:val="20"/>
              </w:rPr>
            </w:pPr>
            <w:r>
              <w:rPr>
                <w:b/>
                <w:sz w:val="20"/>
              </w:rPr>
              <w:t>Resolution by strata company</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31D</w:t>
            </w:r>
          </w:p>
        </w:tc>
        <w:tc>
          <w:tcPr>
            <w:tcW w:w="1610" w:type="dxa"/>
          </w:tcPr>
          <w:p>
            <w:pPr>
              <w:pStyle w:val="TableAm"/>
            </w:pPr>
            <w:r>
              <w:t>cl. 31D</w:t>
            </w:r>
          </w:p>
        </w:tc>
        <w:tc>
          <w:tcPr>
            <w:tcW w:w="1918" w:type="dxa"/>
          </w:tcPr>
          <w:p>
            <w:pPr>
              <w:pStyle w:val="TableAm"/>
              <w:rPr>
                <w:b/>
                <w:sz w:val="20"/>
              </w:rPr>
            </w:pPr>
            <w:r>
              <w:rPr>
                <w:b/>
                <w:sz w:val="20"/>
              </w:rPr>
              <w:t>Notice of resolution may be lodged for registration</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31E</w:t>
            </w:r>
          </w:p>
        </w:tc>
        <w:tc>
          <w:tcPr>
            <w:tcW w:w="1610" w:type="dxa"/>
          </w:tcPr>
          <w:p>
            <w:pPr>
              <w:pStyle w:val="TableAm"/>
            </w:pPr>
            <w:r>
              <w:t>cl. 31E</w:t>
            </w:r>
          </w:p>
        </w:tc>
        <w:tc>
          <w:tcPr>
            <w:tcW w:w="1918" w:type="dxa"/>
          </w:tcPr>
          <w:p>
            <w:pPr>
              <w:pStyle w:val="TableAm"/>
              <w:rPr>
                <w:b/>
                <w:sz w:val="20"/>
              </w:rPr>
            </w:pPr>
            <w:r>
              <w:rPr>
                <w:b/>
                <w:sz w:val="20"/>
              </w:rPr>
              <w:t>Documents to accompany notice</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31F</w:t>
            </w:r>
          </w:p>
        </w:tc>
        <w:tc>
          <w:tcPr>
            <w:tcW w:w="1610" w:type="dxa"/>
          </w:tcPr>
          <w:p>
            <w:pPr>
              <w:pStyle w:val="TableAm"/>
            </w:pPr>
            <w:r>
              <w:t>cl. 31F</w:t>
            </w:r>
          </w:p>
        </w:tc>
        <w:tc>
          <w:tcPr>
            <w:tcW w:w="1918" w:type="dxa"/>
          </w:tcPr>
          <w:p>
            <w:pPr>
              <w:pStyle w:val="TableAm"/>
              <w:rPr>
                <w:b/>
                <w:sz w:val="20"/>
              </w:rPr>
            </w:pPr>
            <w:r>
              <w:rPr>
                <w:b/>
                <w:sz w:val="20"/>
              </w:rPr>
              <w:t>Certificate of licensed surveyor</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31G</w:t>
            </w:r>
          </w:p>
        </w:tc>
        <w:tc>
          <w:tcPr>
            <w:tcW w:w="1610" w:type="dxa"/>
          </w:tcPr>
          <w:p>
            <w:pPr>
              <w:pStyle w:val="TableAm"/>
            </w:pPr>
            <w:r>
              <w:t>cl. 31G</w:t>
            </w:r>
          </w:p>
        </w:tc>
        <w:tc>
          <w:tcPr>
            <w:tcW w:w="1918" w:type="dxa"/>
          </w:tcPr>
          <w:p>
            <w:pPr>
              <w:pStyle w:val="TableAm"/>
              <w:rPr>
                <w:b/>
                <w:sz w:val="20"/>
              </w:rPr>
            </w:pPr>
            <w:r>
              <w:rPr>
                <w:b/>
                <w:sz w:val="20"/>
              </w:rPr>
              <w:t>Creation of easements</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31H</w:t>
            </w:r>
          </w:p>
        </w:tc>
        <w:tc>
          <w:tcPr>
            <w:tcW w:w="1610" w:type="dxa"/>
          </w:tcPr>
          <w:p>
            <w:pPr>
              <w:pStyle w:val="TableAm"/>
            </w:pPr>
            <w:r>
              <w:t>cl. 31H</w:t>
            </w:r>
          </w:p>
        </w:tc>
        <w:tc>
          <w:tcPr>
            <w:tcW w:w="1918" w:type="dxa"/>
          </w:tcPr>
          <w:p>
            <w:pPr>
              <w:pStyle w:val="TableAm"/>
              <w:rPr>
                <w:b/>
                <w:sz w:val="20"/>
              </w:rPr>
            </w:pPr>
            <w:r>
              <w:rPr>
                <w:b/>
                <w:sz w:val="20"/>
              </w:rPr>
              <w:t>Transfers etc. to give effect to resolution</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31I</w:t>
            </w:r>
          </w:p>
        </w:tc>
        <w:tc>
          <w:tcPr>
            <w:tcW w:w="1610" w:type="dxa"/>
          </w:tcPr>
          <w:p>
            <w:pPr>
              <w:pStyle w:val="TableAm"/>
            </w:pPr>
            <w:r>
              <w:t>cl. 31I</w:t>
            </w:r>
          </w:p>
        </w:tc>
        <w:tc>
          <w:tcPr>
            <w:tcW w:w="1918" w:type="dxa"/>
          </w:tcPr>
          <w:p>
            <w:pPr>
              <w:pStyle w:val="TableAm"/>
              <w:rPr>
                <w:b/>
                <w:sz w:val="20"/>
              </w:rPr>
            </w:pPr>
            <w:r>
              <w:rPr>
                <w:b/>
                <w:sz w:val="20"/>
              </w:rPr>
              <w:t>Registration of notice of resolution</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31J</w:t>
            </w:r>
          </w:p>
        </w:tc>
        <w:tc>
          <w:tcPr>
            <w:tcW w:w="1610" w:type="dxa"/>
          </w:tcPr>
          <w:p>
            <w:pPr>
              <w:pStyle w:val="TableAm"/>
            </w:pPr>
            <w:r>
              <w:t>cl. 31J</w:t>
            </w:r>
          </w:p>
        </w:tc>
        <w:tc>
          <w:tcPr>
            <w:tcW w:w="1918" w:type="dxa"/>
          </w:tcPr>
          <w:p>
            <w:pPr>
              <w:pStyle w:val="TableAm"/>
              <w:rPr>
                <w:b/>
                <w:sz w:val="20"/>
              </w:rPr>
            </w:pPr>
            <w:r>
              <w:rPr>
                <w:b/>
                <w:sz w:val="20"/>
              </w:rPr>
              <w:t>Effect of registration</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31K</w:t>
            </w:r>
          </w:p>
        </w:tc>
        <w:tc>
          <w:tcPr>
            <w:tcW w:w="1610" w:type="dxa"/>
          </w:tcPr>
          <w:p>
            <w:pPr>
              <w:pStyle w:val="TableAm"/>
            </w:pPr>
            <w:r>
              <w:t>cl. 31K</w:t>
            </w:r>
          </w:p>
        </w:tc>
        <w:tc>
          <w:tcPr>
            <w:tcW w:w="1918" w:type="dxa"/>
          </w:tcPr>
          <w:p>
            <w:pPr>
              <w:pStyle w:val="TableAm"/>
              <w:rPr>
                <w:b/>
                <w:sz w:val="20"/>
              </w:rPr>
            </w:pPr>
            <w:r>
              <w:rPr>
                <w:b/>
                <w:sz w:val="20"/>
              </w:rPr>
              <w:t>Registrar of Titles to make necessary amendments</w:t>
            </w:r>
          </w:p>
        </w:tc>
        <w:tc>
          <w:tcPr>
            <w:tcW w:w="1866" w:type="dxa"/>
          </w:tcPr>
          <w:p>
            <w:pPr>
              <w:pStyle w:val="TableAm"/>
            </w:pPr>
            <w:r>
              <w:t>Schedule 2A</w:t>
            </w:r>
          </w:p>
          <w:p>
            <w:pPr>
              <w:pStyle w:val="TableAm"/>
            </w:pPr>
            <w:r>
              <w:t>Part 4 Division 2</w:t>
            </w:r>
          </w:p>
        </w:tc>
      </w:tr>
      <w:tr>
        <w:trPr>
          <w:cantSplit/>
        </w:trPr>
        <w:tc>
          <w:tcPr>
            <w:tcW w:w="1127" w:type="dxa"/>
          </w:tcPr>
          <w:p>
            <w:pPr>
              <w:pStyle w:val="TableAm"/>
            </w:pPr>
            <w:r>
              <w:t>s. 53A</w:t>
            </w:r>
          </w:p>
        </w:tc>
        <w:tc>
          <w:tcPr>
            <w:tcW w:w="1610" w:type="dxa"/>
          </w:tcPr>
          <w:p>
            <w:pPr>
              <w:pStyle w:val="TableAm"/>
            </w:pPr>
            <w:r>
              <w:t>cl. 53A</w:t>
            </w:r>
          </w:p>
        </w:tc>
        <w:tc>
          <w:tcPr>
            <w:tcW w:w="1918" w:type="dxa"/>
          </w:tcPr>
          <w:p>
            <w:pPr>
              <w:pStyle w:val="TableAm"/>
              <w:rPr>
                <w:b/>
                <w:sz w:val="20"/>
              </w:rPr>
            </w:pPr>
            <w:r>
              <w:rPr>
                <w:b/>
                <w:sz w:val="20"/>
              </w:rPr>
              <w:t>References in this Part</w:t>
            </w:r>
          </w:p>
        </w:tc>
        <w:tc>
          <w:tcPr>
            <w:tcW w:w="1866" w:type="dxa"/>
          </w:tcPr>
          <w:p>
            <w:pPr>
              <w:pStyle w:val="TableAm"/>
            </w:pPr>
            <w:r>
              <w:t>Schedule 2A</w:t>
            </w:r>
          </w:p>
          <w:p>
            <w:pPr>
              <w:pStyle w:val="TableAm"/>
            </w:pPr>
            <w:r>
              <w:t>Part 5</w:t>
            </w:r>
          </w:p>
        </w:tc>
      </w:tr>
      <w:tr>
        <w:trPr>
          <w:cantSplit/>
        </w:trPr>
        <w:tc>
          <w:tcPr>
            <w:tcW w:w="1127" w:type="dxa"/>
          </w:tcPr>
          <w:p>
            <w:pPr>
              <w:pStyle w:val="TableAm"/>
            </w:pPr>
            <w:r>
              <w:t>s. 53B</w:t>
            </w:r>
          </w:p>
        </w:tc>
        <w:tc>
          <w:tcPr>
            <w:tcW w:w="1610" w:type="dxa"/>
          </w:tcPr>
          <w:p>
            <w:pPr>
              <w:pStyle w:val="TableAm"/>
            </w:pPr>
            <w:r>
              <w:t>cl. 53B</w:t>
            </w:r>
          </w:p>
        </w:tc>
        <w:tc>
          <w:tcPr>
            <w:tcW w:w="1918" w:type="dxa"/>
          </w:tcPr>
          <w:p>
            <w:pPr>
              <w:pStyle w:val="TableAm"/>
              <w:rPr>
                <w:b/>
                <w:sz w:val="20"/>
              </w:rPr>
            </w:pPr>
            <w:r>
              <w:rPr>
                <w:b/>
                <w:sz w:val="20"/>
              </w:rPr>
              <w:t>Insurance for lots in single tier strata schemes</w:t>
            </w:r>
          </w:p>
        </w:tc>
        <w:tc>
          <w:tcPr>
            <w:tcW w:w="1866" w:type="dxa"/>
          </w:tcPr>
          <w:p>
            <w:pPr>
              <w:pStyle w:val="TableAm"/>
            </w:pPr>
            <w:r>
              <w:t>Schedule 2A</w:t>
            </w:r>
          </w:p>
          <w:p>
            <w:pPr>
              <w:pStyle w:val="TableAm"/>
            </w:pPr>
            <w:r>
              <w:t>Part 5</w:t>
            </w:r>
          </w:p>
        </w:tc>
      </w:tr>
      <w:tr>
        <w:trPr>
          <w:cantSplit/>
        </w:trPr>
        <w:tc>
          <w:tcPr>
            <w:tcW w:w="1127" w:type="dxa"/>
          </w:tcPr>
          <w:p>
            <w:pPr>
              <w:pStyle w:val="TableAm"/>
            </w:pPr>
            <w:r>
              <w:t>s. 53C</w:t>
            </w:r>
          </w:p>
        </w:tc>
        <w:tc>
          <w:tcPr>
            <w:tcW w:w="1610" w:type="dxa"/>
          </w:tcPr>
          <w:p>
            <w:pPr>
              <w:pStyle w:val="TableAm"/>
            </w:pPr>
            <w:r>
              <w:t>cl. 53C</w:t>
            </w:r>
          </w:p>
        </w:tc>
        <w:tc>
          <w:tcPr>
            <w:tcW w:w="1918" w:type="dxa"/>
          </w:tcPr>
          <w:p>
            <w:pPr>
              <w:pStyle w:val="TableAm"/>
              <w:rPr>
                <w:b/>
                <w:sz w:val="20"/>
              </w:rPr>
            </w:pPr>
            <w:r>
              <w:rPr>
                <w:b/>
                <w:sz w:val="20"/>
              </w:rPr>
              <w:t>Insurance for common property in single tier strata schemes</w:t>
            </w:r>
          </w:p>
        </w:tc>
        <w:tc>
          <w:tcPr>
            <w:tcW w:w="1866" w:type="dxa"/>
          </w:tcPr>
          <w:p>
            <w:pPr>
              <w:pStyle w:val="TableAm"/>
            </w:pPr>
            <w:r>
              <w:t>Schedule 2A</w:t>
            </w:r>
          </w:p>
          <w:p>
            <w:pPr>
              <w:pStyle w:val="TableAm"/>
            </w:pPr>
            <w:r>
              <w:t>Part 5</w:t>
            </w:r>
          </w:p>
        </w:tc>
      </w:tr>
      <w:tr>
        <w:trPr>
          <w:cantSplit/>
        </w:trPr>
        <w:tc>
          <w:tcPr>
            <w:tcW w:w="1127" w:type="dxa"/>
          </w:tcPr>
          <w:p>
            <w:pPr>
              <w:pStyle w:val="TableAm"/>
            </w:pPr>
            <w:r>
              <w:t>s. 53D</w:t>
            </w:r>
          </w:p>
        </w:tc>
        <w:tc>
          <w:tcPr>
            <w:tcW w:w="1610" w:type="dxa"/>
          </w:tcPr>
          <w:p>
            <w:pPr>
              <w:pStyle w:val="TableAm"/>
            </w:pPr>
            <w:r>
              <w:t>cl. 53D</w:t>
            </w:r>
          </w:p>
        </w:tc>
        <w:tc>
          <w:tcPr>
            <w:tcW w:w="1918" w:type="dxa"/>
          </w:tcPr>
          <w:p>
            <w:pPr>
              <w:pStyle w:val="TableAm"/>
              <w:rPr>
                <w:b/>
                <w:sz w:val="20"/>
              </w:rPr>
            </w:pPr>
            <w:r>
              <w:rPr>
                <w:b/>
                <w:sz w:val="20"/>
              </w:rPr>
              <w:t>Strata company’s obligations if it has insurance function in single tier strata scheme</w:t>
            </w:r>
          </w:p>
        </w:tc>
        <w:tc>
          <w:tcPr>
            <w:tcW w:w="1866" w:type="dxa"/>
          </w:tcPr>
          <w:p>
            <w:pPr>
              <w:pStyle w:val="TableAm"/>
            </w:pPr>
            <w:r>
              <w:t>Schedule 2A</w:t>
            </w:r>
          </w:p>
          <w:p>
            <w:pPr>
              <w:pStyle w:val="TableAm"/>
            </w:pPr>
            <w:r>
              <w:t>Part 5</w:t>
            </w:r>
          </w:p>
        </w:tc>
      </w:tr>
      <w:tr>
        <w:trPr>
          <w:cantSplit/>
        </w:trPr>
        <w:tc>
          <w:tcPr>
            <w:tcW w:w="1127" w:type="dxa"/>
          </w:tcPr>
          <w:p>
            <w:pPr>
              <w:pStyle w:val="TableAm"/>
            </w:pPr>
            <w:r>
              <w:t>s. 53E</w:t>
            </w:r>
          </w:p>
        </w:tc>
        <w:tc>
          <w:tcPr>
            <w:tcW w:w="1610" w:type="dxa"/>
          </w:tcPr>
          <w:p>
            <w:pPr>
              <w:pStyle w:val="TableAm"/>
            </w:pPr>
            <w:r>
              <w:t>cl. 53E</w:t>
            </w:r>
          </w:p>
        </w:tc>
        <w:tc>
          <w:tcPr>
            <w:tcW w:w="1918" w:type="dxa"/>
          </w:tcPr>
          <w:p>
            <w:pPr>
              <w:pStyle w:val="TableAm"/>
              <w:rPr>
                <w:b/>
                <w:sz w:val="20"/>
              </w:rPr>
            </w:pPr>
            <w:r>
              <w:rPr>
                <w:b/>
                <w:sz w:val="20"/>
              </w:rPr>
              <w:t>Recovery of premium by strata company or owner if no administrative fund in single tier strata schemes</w:t>
            </w:r>
          </w:p>
        </w:tc>
        <w:tc>
          <w:tcPr>
            <w:tcW w:w="1866" w:type="dxa"/>
          </w:tcPr>
          <w:p>
            <w:pPr>
              <w:pStyle w:val="TableAm"/>
            </w:pPr>
            <w:r>
              <w:t>Schedule 2A</w:t>
            </w:r>
          </w:p>
          <w:p>
            <w:pPr>
              <w:pStyle w:val="TableAm"/>
            </w:pPr>
            <w:r>
              <w:t>Part 5</w:t>
            </w:r>
          </w:p>
        </w:tc>
      </w:tr>
    </w:tbl>
    <w:p>
      <w:pPr>
        <w:pStyle w:val="nzHeading5"/>
      </w:pPr>
      <w:bookmarkStart w:id="2259" w:name="_Toc530474643"/>
      <w:bookmarkStart w:id="2260" w:name="_Toc530475238"/>
      <w:r>
        <w:rPr>
          <w:rStyle w:val="CharSectno"/>
        </w:rPr>
        <w:t>118</w:t>
      </w:r>
      <w:r>
        <w:t>.</w:t>
      </w:r>
      <w:r>
        <w:tab/>
        <w:t>References to redesignated provisions in other laws or other documents</w:t>
      </w:r>
      <w:bookmarkEnd w:id="2259"/>
      <w:bookmarkEnd w:id="2260"/>
    </w:p>
    <w:p>
      <w:pPr>
        <w:pStyle w:val="nzSubsection"/>
      </w:pPr>
      <w:r>
        <w:tab/>
      </w:r>
      <w:r>
        <w:tab/>
        <w:t>A reference in another law or another document to a provision redesignated under this Division is a reference to the provision as redesignated unless the contrary intention appears.</w:t>
      </w:r>
    </w:p>
    <w:p>
      <w:pPr>
        <w:pStyle w:val="nzHeading3"/>
      </w:pPr>
      <w:bookmarkStart w:id="2261" w:name="_Toc517437845"/>
      <w:bookmarkStart w:id="2262" w:name="_Toc517438387"/>
      <w:bookmarkStart w:id="2263" w:name="_Toc517440724"/>
      <w:bookmarkStart w:id="2264" w:name="_Toc517447761"/>
      <w:bookmarkStart w:id="2265" w:name="_Toc517450239"/>
      <w:bookmarkStart w:id="2266" w:name="_Toc517450781"/>
      <w:bookmarkStart w:id="2267" w:name="_Toc517857237"/>
      <w:bookmarkStart w:id="2268" w:name="_Toc518293364"/>
      <w:bookmarkStart w:id="2269" w:name="_Toc522744592"/>
      <w:bookmarkStart w:id="2270" w:name="_Toc522747715"/>
      <w:bookmarkStart w:id="2271" w:name="_Toc529183553"/>
      <w:bookmarkStart w:id="2272" w:name="_Toc529188316"/>
      <w:bookmarkStart w:id="2273" w:name="_Toc529434829"/>
      <w:bookmarkStart w:id="2274" w:name="_Toc529524720"/>
      <w:bookmarkStart w:id="2275" w:name="_Toc530474644"/>
      <w:bookmarkStart w:id="2276" w:name="_Toc530475239"/>
      <w:r>
        <w:rPr>
          <w:rStyle w:val="CharDivNo"/>
        </w:rPr>
        <w:t>Division 7</w:t>
      </w:r>
      <w:r>
        <w:t> — </w:t>
      </w:r>
      <w:r>
        <w:rPr>
          <w:rStyle w:val="CharDivText"/>
        </w:rPr>
        <w:t>Insertion of transitional provisions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nzHeading5"/>
      </w:pPr>
      <w:bookmarkStart w:id="2277" w:name="_Toc530474645"/>
      <w:bookmarkStart w:id="2278" w:name="_Toc530475240"/>
      <w:r>
        <w:rPr>
          <w:rStyle w:val="CharSectno"/>
        </w:rPr>
        <w:t>119</w:t>
      </w:r>
      <w:r>
        <w:t>.</w:t>
      </w:r>
      <w:r>
        <w:tab/>
        <w:t>Schedule 5 inserted</w:t>
      </w:r>
      <w:bookmarkEnd w:id="2277"/>
      <w:bookmarkEnd w:id="2278"/>
    </w:p>
    <w:p>
      <w:pPr>
        <w:pStyle w:val="nzSubsection"/>
      </w:pPr>
      <w:r>
        <w:tab/>
      </w:r>
      <w:r>
        <w:tab/>
        <w:t>After Schedule 4 insert:</w:t>
      </w:r>
    </w:p>
    <w:p>
      <w:pPr>
        <w:pStyle w:val="BlankOpen"/>
      </w:pPr>
    </w:p>
    <w:p>
      <w:pPr>
        <w:pStyle w:val="nzHeading2"/>
      </w:pPr>
      <w:bookmarkStart w:id="2279" w:name="_Toc517437847"/>
      <w:bookmarkStart w:id="2280" w:name="_Toc517438389"/>
      <w:bookmarkStart w:id="2281" w:name="_Toc517440726"/>
      <w:bookmarkStart w:id="2282" w:name="_Toc517447763"/>
      <w:bookmarkStart w:id="2283" w:name="_Toc517450241"/>
      <w:bookmarkStart w:id="2284" w:name="_Toc517450783"/>
      <w:bookmarkStart w:id="2285" w:name="_Toc517857239"/>
      <w:bookmarkStart w:id="2286" w:name="_Toc518293366"/>
      <w:bookmarkStart w:id="2287" w:name="_Toc522744594"/>
      <w:bookmarkStart w:id="2288" w:name="_Toc522747717"/>
      <w:bookmarkStart w:id="2289" w:name="_Toc529183555"/>
      <w:bookmarkStart w:id="2290" w:name="_Toc529188318"/>
      <w:bookmarkStart w:id="2291" w:name="_Toc529434831"/>
      <w:bookmarkStart w:id="2292" w:name="_Toc529524722"/>
      <w:bookmarkStart w:id="2293" w:name="_Toc530474646"/>
      <w:bookmarkStart w:id="2294" w:name="_Toc530475241"/>
      <w:r>
        <w:t xml:space="preserve">Schedule 5 — Transitional provisions for </w:t>
      </w:r>
      <w:r>
        <w:rPr>
          <w:i/>
        </w:rPr>
        <w:t>Strata Titles Amendment Act 2018</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nzHeading5"/>
        <w:rPr>
          <w:snapToGrid w:val="0"/>
        </w:rPr>
      </w:pPr>
      <w:bookmarkStart w:id="2295" w:name="_Toc530474647"/>
      <w:bookmarkStart w:id="2296" w:name="_Toc530475242"/>
      <w:r>
        <w:rPr>
          <w:snapToGrid w:val="0"/>
        </w:rPr>
        <w:t>1.</w:t>
      </w:r>
      <w:r>
        <w:rPr>
          <w:snapToGrid w:val="0"/>
        </w:rPr>
        <w:tab/>
        <w:t>Terms used</w:t>
      </w:r>
      <w:bookmarkEnd w:id="2295"/>
      <w:bookmarkEnd w:id="2296"/>
    </w:p>
    <w:p>
      <w:pPr>
        <w:pStyle w:val="nzSubsection"/>
        <w:rPr>
          <w:snapToGrid w:val="0"/>
        </w:rPr>
      </w:pPr>
      <w:r>
        <w:rPr>
          <w:snapToGrid w:val="0"/>
        </w:rPr>
        <w:tab/>
      </w:r>
      <w:r>
        <w:rPr>
          <w:snapToGrid w:val="0"/>
        </w:rPr>
        <w:tab/>
        <w:t>In this Schedule —</w:t>
      </w:r>
    </w:p>
    <w:p>
      <w:pPr>
        <w:pStyle w:val="nzDefstart"/>
        <w:rPr>
          <w:rStyle w:val="CharDefText"/>
          <w:b w:val="0"/>
        </w:rPr>
      </w:pPr>
      <w:r>
        <w:tab/>
      </w:r>
      <w:r>
        <w:rPr>
          <w:rStyle w:val="CharDefText"/>
        </w:rPr>
        <w:t>amending Act means the Strata Titles Amendment Act 2018;</w:t>
      </w:r>
    </w:p>
    <w:p>
      <w:pPr>
        <w:pStyle w:val="nzDefstart"/>
      </w:pPr>
      <w:r>
        <w:tab/>
      </w:r>
      <w:r>
        <w:rPr>
          <w:rStyle w:val="CharDefText"/>
        </w:rPr>
        <w:t>commencement day</w:t>
      </w:r>
      <w:r>
        <w:t xml:space="preserve"> means the day on which section 4 of the amending Act comes into operation.</w:t>
      </w:r>
    </w:p>
    <w:p>
      <w:pPr>
        <w:pStyle w:val="nzHeading5"/>
      </w:pPr>
      <w:bookmarkStart w:id="2297" w:name="_Toc530474648"/>
      <w:bookmarkStart w:id="2298" w:name="_Toc530475243"/>
      <w:r>
        <w:t>2.</w:t>
      </w:r>
      <w:r>
        <w:tab/>
        <w:t>Continuance of strata titles schemes</w:t>
      </w:r>
      <w:bookmarkEnd w:id="2297"/>
      <w:bookmarkEnd w:id="2298"/>
    </w:p>
    <w:p>
      <w:pPr>
        <w:pStyle w:val="nzSubsection"/>
      </w:pPr>
      <w:r>
        <w:tab/>
        <w:t>(1)</w:t>
      </w:r>
      <w:r>
        <w:tab/>
        <w:t>The coming into operation of the amending Act does not affect the continued existence of the following —</w:t>
      </w:r>
    </w:p>
    <w:p>
      <w:pPr>
        <w:pStyle w:val="nzIndenta"/>
      </w:pPr>
      <w:r>
        <w:tab/>
        <w:t>(a)</w:t>
      </w:r>
      <w:r>
        <w:tab/>
        <w:t>a strata scheme or survey</w:t>
      </w:r>
      <w:r>
        <w:noBreakHyphen/>
        <w:t>strata scheme;</w:t>
      </w:r>
    </w:p>
    <w:p>
      <w:pPr>
        <w:pStyle w:val="nzIndenta"/>
      </w:pPr>
      <w:r>
        <w:tab/>
        <w:t>(b)</w:t>
      </w:r>
      <w:r>
        <w:tab/>
        <w:t>a lot or common property in a strata scheme or survey</w:t>
      </w:r>
      <w:r>
        <w:noBreakHyphen/>
        <w:t>strata scheme;</w:t>
      </w:r>
    </w:p>
    <w:p>
      <w:pPr>
        <w:pStyle w:val="nzIndenta"/>
      </w:pPr>
      <w:r>
        <w:tab/>
        <w:t>(c)</w:t>
      </w:r>
      <w:r>
        <w:tab/>
        <w:t>an estate or interest in a lot or common property in a strata scheme or survey</w:t>
      </w:r>
      <w:r>
        <w:noBreakHyphen/>
        <w:t>strata scheme;</w:t>
      </w:r>
    </w:p>
    <w:p>
      <w:pPr>
        <w:pStyle w:val="nzIndenta"/>
      </w:pPr>
      <w:r>
        <w:tab/>
        <w:t>(d)</w:t>
      </w:r>
      <w:r>
        <w:tab/>
        <w:t>a strata company, its council or its officers.</w:t>
      </w:r>
    </w:p>
    <w:p>
      <w:pPr>
        <w:pStyle w:val="nz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nz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nzHeading5"/>
      </w:pPr>
      <w:bookmarkStart w:id="2299" w:name="_Toc530474649"/>
      <w:bookmarkStart w:id="2300" w:name="_Toc530475244"/>
      <w:r>
        <w:t>3.</w:t>
      </w:r>
      <w:r>
        <w:tab/>
        <w:t>Scheme notice</w:t>
      </w:r>
      <w:bookmarkEnd w:id="2299"/>
      <w:bookmarkEnd w:id="2300"/>
    </w:p>
    <w:p>
      <w:pPr>
        <w:pStyle w:val="nzSubsection"/>
      </w:pPr>
      <w:r>
        <w:tab/>
      </w:r>
      <w:r>
        <w:tab/>
        <w:t>The name of a strata titles scheme and the address for service of a strata company remains as it is immediately before commencement day and may be amended as if specified in a scheme notice.</w:t>
      </w:r>
    </w:p>
    <w:p>
      <w:pPr>
        <w:pStyle w:val="nzHeading5"/>
      </w:pPr>
      <w:bookmarkStart w:id="2301" w:name="_Toc530474650"/>
      <w:bookmarkStart w:id="2302" w:name="_Toc530475245"/>
      <w:r>
        <w:t>4.</w:t>
      </w:r>
      <w:r>
        <w:tab/>
        <w:t>Scheme by</w:t>
      </w:r>
      <w:r>
        <w:noBreakHyphen/>
        <w:t>laws</w:t>
      </w:r>
      <w:bookmarkEnd w:id="2301"/>
      <w:bookmarkEnd w:id="2302"/>
    </w:p>
    <w:p>
      <w:pPr>
        <w:pStyle w:val="nz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nz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nzSubsection"/>
      </w:pPr>
      <w:r>
        <w:tab/>
        <w:t>(3)</w:t>
      </w:r>
      <w:r>
        <w:tab/>
        <w:t>A by</w:t>
      </w:r>
      <w:r>
        <w:noBreakHyphen/>
        <w:t>law under section 42(8) as in force immediately before commencement day is taken to be an exclusive use by</w:t>
      </w:r>
      <w:r>
        <w:noBreakHyphen/>
        <w:t>law subject to this Act.</w:t>
      </w:r>
    </w:p>
    <w:p>
      <w:pPr>
        <w:pStyle w:val="nz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nzSubsection"/>
      </w:pPr>
      <w:r>
        <w:tab/>
        <w:t>(5)</w:t>
      </w:r>
      <w:r>
        <w:tab/>
        <w:t>By</w:t>
      </w:r>
      <w:r>
        <w:noBreakHyphen/>
        <w:t>laws made by a strata company before commencement day in accordance with the Act as in force when the by</w:t>
      </w:r>
      <w:r>
        <w:noBreakHyphen/>
        <w:t>laws were made —</w:t>
      </w:r>
    </w:p>
    <w:p>
      <w:pPr>
        <w:pStyle w:val="nz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nz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nzSubsection"/>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nz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nzHeading5"/>
      </w:pPr>
      <w:bookmarkStart w:id="2303" w:name="_Toc530474651"/>
      <w:bookmarkStart w:id="2304" w:name="_Toc530475246"/>
      <w:r>
        <w:t>5.</w:t>
      </w:r>
      <w:r>
        <w:tab/>
        <w:t>Schedule of unit entitlements</w:t>
      </w:r>
      <w:bookmarkEnd w:id="2303"/>
      <w:bookmarkEnd w:id="2304"/>
    </w:p>
    <w:p>
      <w:pPr>
        <w:pStyle w:val="nz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nzHeading5"/>
      </w:pPr>
      <w:bookmarkStart w:id="2305" w:name="_Toc530474652"/>
      <w:bookmarkStart w:id="2306" w:name="_Toc530475247"/>
      <w:r>
        <w:t>6.</w:t>
      </w:r>
      <w:r>
        <w:tab/>
        <w:t>Council members and officers</w:t>
      </w:r>
      <w:bookmarkEnd w:id="2305"/>
      <w:bookmarkEnd w:id="2306"/>
    </w:p>
    <w:p>
      <w:pPr>
        <w:pStyle w:val="nzSubsection"/>
      </w:pPr>
      <w:r>
        <w:tab/>
        <w:t>(1)</w:t>
      </w:r>
      <w:r>
        <w:tab/>
        <w:t>A member of the council or officer of a strata company who continues in that capacity on commencement day —</w:t>
      </w:r>
    </w:p>
    <w:p>
      <w:pPr>
        <w:pStyle w:val="nz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nzIndenta"/>
      </w:pPr>
      <w:r>
        <w:tab/>
        <w:t>(b)</w:t>
      </w:r>
      <w:r>
        <w:tab/>
        <w:t>in the case of a member of the council, must not vote on a matter in which the member has an interest required to be disclosed under paragraph (a).</w:t>
      </w:r>
    </w:p>
    <w:p>
      <w:pPr>
        <w:pStyle w:val="nzSubsection"/>
      </w:pPr>
      <w:r>
        <w:tab/>
        <w:t>(2)</w:t>
      </w:r>
      <w:r>
        <w:tab/>
        <w:t>Subclause (1) does not apply to an interest arising solely from the fact that the member or officer is the owner of a lot in the strata titles scheme.</w:t>
      </w:r>
    </w:p>
    <w:p>
      <w:pPr>
        <w:pStyle w:val="nzSubsection"/>
      </w:pPr>
      <w:r>
        <w:tab/>
        <w:t>(3)</w:t>
      </w:r>
      <w:r>
        <w:tab/>
        <w:t>Subclause (1)(a) does not apply to matters of which the member or officer has already informed the council in writing but subclause (1)(b) does apply to such matters.</w:t>
      </w:r>
    </w:p>
    <w:p>
      <w:pPr>
        <w:pStyle w:val="nzHeading5"/>
      </w:pPr>
      <w:bookmarkStart w:id="2307" w:name="_Toc530474653"/>
      <w:bookmarkStart w:id="2308" w:name="_Toc530475248"/>
      <w:r>
        <w:t>7.</w:t>
      </w:r>
      <w:r>
        <w:tab/>
        <w:t>Applications lodged with Registrar of Titles before commencement day</w:t>
      </w:r>
      <w:bookmarkEnd w:id="2307"/>
      <w:bookmarkEnd w:id="2308"/>
    </w:p>
    <w:p>
      <w:pPr>
        <w:pStyle w:val="nz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nzIndenta"/>
      </w:pPr>
      <w:r>
        <w:tab/>
        <w:t>(a)</w:t>
      </w:r>
      <w:r>
        <w:tab/>
        <w:t>application for registration of plan of re</w:t>
      </w:r>
      <w:r>
        <w:noBreakHyphen/>
        <w:t>subdivision under section 8A as in force immediately before commencement day;</w:t>
      </w:r>
    </w:p>
    <w:p>
      <w:pPr>
        <w:pStyle w:val="nzIndenta"/>
      </w:pPr>
      <w:r>
        <w:tab/>
        <w:t>(b)</w:t>
      </w:r>
      <w:r>
        <w:tab/>
        <w:t>application for registration of strata/survey</w:t>
      </w:r>
      <w:r>
        <w:noBreakHyphen/>
        <w:t>strata plan of consolidation under section 9 as in force immediately before commencement day;</w:t>
      </w:r>
    </w:p>
    <w:p>
      <w:pPr>
        <w:pStyle w:val="nzIndenta"/>
      </w:pPr>
      <w:r>
        <w:tab/>
        <w:t>(c)</w:t>
      </w:r>
      <w:r>
        <w:tab/>
        <w:t>application for registration of conversion of 1 or more lots into common property under section 10 as in force immediately before commencement day;</w:t>
      </w:r>
    </w:p>
    <w:p>
      <w:pPr>
        <w:pStyle w:val="nzIndenta"/>
      </w:pPr>
      <w:r>
        <w:tab/>
        <w:t>(d)</w:t>
      </w:r>
      <w:r>
        <w:tab/>
        <w:t>application for registration of a transfer of land under section 18 as in force immediately before commencement day;</w:t>
      </w:r>
    </w:p>
    <w:p>
      <w:pPr>
        <w:pStyle w:val="nz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nzIndenta"/>
      </w:pPr>
      <w:r>
        <w:tab/>
        <w:t>(f)</w:t>
      </w:r>
      <w:r>
        <w:tab/>
        <w:t>an application for registration of a transfer of common property under section 19 as in force immediately before commencement day;</w:t>
      </w:r>
    </w:p>
    <w:p>
      <w:pPr>
        <w:pStyle w:val="nzIndenta"/>
      </w:pPr>
      <w:r>
        <w:tab/>
        <w:t>(g)</w:t>
      </w:r>
      <w:r>
        <w:tab/>
        <w:t>an application for registration of the creation or surrendering of an easement or restrictive covenant under section 20 as in force immediately before commencement day.</w:t>
      </w:r>
    </w:p>
    <w:p>
      <w:pPr>
        <w:pStyle w:val="nz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nzHeading5"/>
      </w:pPr>
      <w:bookmarkStart w:id="2309" w:name="_Toc530474654"/>
      <w:bookmarkStart w:id="2310" w:name="_Toc530475249"/>
      <w:r>
        <w:t>8.</w:t>
      </w:r>
      <w:r>
        <w:tab/>
        <w:t>Approvals and certificates</w:t>
      </w:r>
      <w:bookmarkEnd w:id="2309"/>
      <w:bookmarkEnd w:id="2310"/>
    </w:p>
    <w:p>
      <w:pPr>
        <w:pStyle w:val="nzSubsection"/>
      </w:pPr>
      <w:r>
        <w:tab/>
        <w:t>(1)</w:t>
      </w:r>
      <w:r>
        <w:tab/>
        <w:t>For the purposes of an application to the Registrar of Titles involving registration of scheme documents or amendments of scheme documents prepared before commencement day —</w:t>
      </w:r>
    </w:p>
    <w:p>
      <w:pPr>
        <w:pStyle w:val="nz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nz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nz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nzHeading5"/>
      </w:pPr>
      <w:bookmarkStart w:id="2311" w:name="_Toc530474655"/>
      <w:bookmarkStart w:id="2312" w:name="_Toc530475250"/>
      <w:r>
        <w:t>9.</w:t>
      </w:r>
      <w:r>
        <w:tab/>
        <w:t>Utility service easement</w:t>
      </w:r>
      <w:bookmarkEnd w:id="2311"/>
      <w:bookmarkEnd w:id="2312"/>
    </w:p>
    <w:p>
      <w:pPr>
        <w:pStyle w:val="nzSubsection"/>
      </w:pPr>
      <w:r>
        <w:tab/>
      </w:r>
      <w:r>
        <w:tab/>
        <w:t>A utility service easement applies to utility conduits whether installed before, on or after commencement day.</w:t>
      </w:r>
    </w:p>
    <w:p>
      <w:pPr>
        <w:pStyle w:val="nzHeading5"/>
      </w:pPr>
      <w:bookmarkStart w:id="2313" w:name="_Toc530474656"/>
      <w:bookmarkStart w:id="2314" w:name="_Toc530475251"/>
      <w:r>
        <w:t>10.</w:t>
      </w:r>
      <w:r>
        <w:tab/>
        <w:t>Scheme developers</w:t>
      </w:r>
      <w:bookmarkEnd w:id="2313"/>
      <w:bookmarkEnd w:id="2314"/>
    </w:p>
    <w:p>
      <w:pPr>
        <w:pStyle w:val="nz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nzSubsection"/>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nz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nz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nzSubsection"/>
      </w:pPr>
      <w:r>
        <w:tab/>
        <w:t>(3)</w:t>
      </w:r>
      <w:r>
        <w:tab/>
        <w:t>Subclause (2) does not apply to —</w:t>
      </w:r>
    </w:p>
    <w:p>
      <w:pPr>
        <w:pStyle w:val="nzIndenta"/>
      </w:pPr>
      <w:r>
        <w:tab/>
        <w:t>(a)</w:t>
      </w:r>
      <w:r>
        <w:tab/>
        <w:t>matters of which the scheme developer has already informed the strata company in writing; or</w:t>
      </w:r>
    </w:p>
    <w:p>
      <w:pPr>
        <w:pStyle w:val="nzIndenta"/>
      </w:pPr>
      <w:r>
        <w:tab/>
        <w:t>(b)</w:t>
      </w:r>
      <w:r>
        <w:tab/>
        <w:t>a contract, lease or licence relating to a subdivision given effect by registration of a strata titles scheme or an amendment of a strata titles scheme before commencement day.</w:t>
      </w:r>
    </w:p>
    <w:p>
      <w:pPr>
        <w:pStyle w:val="nzHeading5"/>
      </w:pPr>
      <w:bookmarkStart w:id="2315" w:name="_Toc530474657"/>
      <w:bookmarkStart w:id="2316" w:name="_Toc530475252"/>
      <w:r>
        <w:t>11.</w:t>
      </w:r>
      <w:r>
        <w:tab/>
        <w:t>Structural alteration of lot</w:t>
      </w:r>
      <w:bookmarkEnd w:id="2315"/>
      <w:bookmarkEnd w:id="2316"/>
    </w:p>
    <w:p>
      <w:pPr>
        <w:pStyle w:val="nzSubsection"/>
      </w:pPr>
      <w:r>
        <w:tab/>
      </w:r>
      <w:r>
        <w:tab/>
        <w:t>An application to the Tribunal under section 90 may relate to a structural alteration made before commencement day.</w:t>
      </w:r>
    </w:p>
    <w:p>
      <w:pPr>
        <w:pStyle w:val="nzHeading5"/>
      </w:pPr>
      <w:bookmarkStart w:id="2317" w:name="_Toc530474658"/>
      <w:bookmarkStart w:id="2318" w:name="_Toc530475253"/>
      <w:r>
        <w:t>12.</w:t>
      </w:r>
      <w:r>
        <w:tab/>
        <w:t>Records and correspondence</w:t>
      </w:r>
      <w:bookmarkEnd w:id="2317"/>
      <w:bookmarkEnd w:id="2318"/>
    </w:p>
    <w:p>
      <w:pPr>
        <w:pStyle w:val="nz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nzHeading5"/>
      </w:pPr>
      <w:bookmarkStart w:id="2319" w:name="_Toc530474659"/>
      <w:bookmarkStart w:id="2320" w:name="_Toc530475254"/>
      <w:r>
        <w:t>13.</w:t>
      </w:r>
      <w:r>
        <w:tab/>
        <w:t>Strata managers</w:t>
      </w:r>
      <w:bookmarkEnd w:id="2319"/>
      <w:bookmarkEnd w:id="2320"/>
    </w:p>
    <w:p>
      <w:pPr>
        <w:pStyle w:val="nz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nzSubsection"/>
      </w:pPr>
      <w:r>
        <w:tab/>
        <w:t>(2)</w:t>
      </w:r>
      <w:r>
        <w:tab/>
        <w:t>Subclause (1) —</w:t>
      </w:r>
    </w:p>
    <w:p>
      <w:pPr>
        <w:pStyle w:val="nzIndenta"/>
      </w:pPr>
      <w:r>
        <w:tab/>
        <w:t>(a)</w:t>
      </w:r>
      <w:r>
        <w:tab/>
        <w:t>applies even if the functions could not be authorised under a strata management contract and even if the strata manager does not meet the requirements set out in section 144; and</w:t>
      </w:r>
    </w:p>
    <w:p>
      <w:pPr>
        <w:pStyle w:val="nzIndenta"/>
      </w:pPr>
      <w:r>
        <w:tab/>
        <w:t>(b)</w:t>
      </w:r>
      <w:r>
        <w:tab/>
        <w:t>is subject to the variation or termination of the contract or volunteer agreement.</w:t>
      </w:r>
    </w:p>
    <w:p>
      <w:pPr>
        <w:pStyle w:val="nz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nz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nzSubsection"/>
      </w:pPr>
      <w:r>
        <w:tab/>
        <w:t>(5)</w:t>
      </w:r>
      <w:r>
        <w:tab/>
        <w:t>A strata manager to whom this clause applies must inform the strata company in writing, as soon as practicable on or after commencement day, of —</w:t>
      </w:r>
    </w:p>
    <w:p>
      <w:pPr>
        <w:pStyle w:val="nzIndenta"/>
      </w:pPr>
      <w:r>
        <w:tab/>
        <w:t>(a)</w:t>
      </w:r>
      <w:r>
        <w:tab/>
        <w:t>any direct or indirect pecuniary or other interest that the strata manager has that conflicts or may conflict with the performance of the strata manager’s functions; and</w:t>
      </w:r>
    </w:p>
    <w:p>
      <w:pPr>
        <w:pStyle w:val="nz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nzSubsection"/>
      </w:pPr>
      <w:r>
        <w:tab/>
        <w:t>(6)</w:t>
      </w:r>
      <w:r>
        <w:tab/>
        <w:t>Subclause (5) does not apply to —</w:t>
      </w:r>
    </w:p>
    <w:p>
      <w:pPr>
        <w:pStyle w:val="nzIndenta"/>
      </w:pPr>
      <w:r>
        <w:tab/>
        <w:t>(a)</w:t>
      </w:r>
      <w:r>
        <w:tab/>
        <w:t>remuneration or any other benefit that is less than an amount or value specified in or calculated in accordance with the regulations; or</w:t>
      </w:r>
    </w:p>
    <w:p>
      <w:pPr>
        <w:pStyle w:val="nzIndenta"/>
      </w:pPr>
      <w:r>
        <w:tab/>
        <w:t>(b)</w:t>
      </w:r>
      <w:r>
        <w:tab/>
        <w:t>matters of which the strata manager has already informed the strata company in writing.</w:t>
      </w:r>
    </w:p>
    <w:p>
      <w:pPr>
        <w:pStyle w:val="nzHeading5"/>
      </w:pPr>
      <w:bookmarkStart w:id="2321" w:name="_Toc530474660"/>
      <w:bookmarkStart w:id="2322" w:name="_Toc530475255"/>
      <w:r>
        <w:t>14.</w:t>
      </w:r>
      <w:r>
        <w:tab/>
        <w:t>Scheme disputes</w:t>
      </w:r>
      <w:bookmarkEnd w:id="2321"/>
      <w:bookmarkEnd w:id="2322"/>
    </w:p>
    <w:p>
      <w:pPr>
        <w:pStyle w:val="nzSubsection"/>
      </w:pPr>
      <w:r>
        <w:tab/>
        <w:t>(1)</w:t>
      </w:r>
      <w:r>
        <w:tab/>
        <w:t>A scheme dispute may involve an event that occurred, or a matter that arose, before commencement day.</w:t>
      </w:r>
    </w:p>
    <w:p>
      <w:pPr>
        <w:pStyle w:val="nzSubsection"/>
      </w:pPr>
      <w:r>
        <w:tab/>
        <w:t>(2)</w:t>
      </w:r>
      <w:r>
        <w:tab/>
        <w:t>In determining a scheme dispute, the Tribunal may apply the objectives set out in section 119 as if that section had been in force when the event occurred or the matter arose.</w:t>
      </w:r>
    </w:p>
    <w:p>
      <w:pPr>
        <w:pStyle w:val="nzHeading5"/>
      </w:pPr>
      <w:bookmarkStart w:id="2323" w:name="_Toc530474661"/>
      <w:bookmarkStart w:id="2324" w:name="_Toc530475256"/>
      <w:r>
        <w:t>15.</w:t>
      </w:r>
      <w:r>
        <w:tab/>
        <w:t>Administrators</w:t>
      </w:r>
      <w:bookmarkEnd w:id="2323"/>
      <w:bookmarkEnd w:id="2324"/>
    </w:p>
    <w:p>
      <w:pPr>
        <w:pStyle w:val="nz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nzHeading5"/>
      </w:pPr>
      <w:bookmarkStart w:id="2325" w:name="_Toc530474662"/>
      <w:bookmarkStart w:id="2326" w:name="_Toc530475257"/>
      <w:r>
        <w:t>16.</w:t>
      </w:r>
      <w:r>
        <w:tab/>
        <w:t>Schedule 2A</w:t>
      </w:r>
      <w:bookmarkEnd w:id="2325"/>
      <w:bookmarkEnd w:id="2326"/>
    </w:p>
    <w:p>
      <w:pPr>
        <w:pStyle w:val="nz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nzHeading5"/>
      </w:pPr>
      <w:bookmarkStart w:id="2327" w:name="_Toc530474663"/>
      <w:bookmarkStart w:id="2328" w:name="_Toc530475258"/>
      <w:r>
        <w:t>17.</w:t>
      </w:r>
      <w:r>
        <w:tab/>
        <w:t>Short form easements and restrictive covenants</w:t>
      </w:r>
      <w:bookmarkEnd w:id="2327"/>
      <w:bookmarkEnd w:id="2328"/>
    </w:p>
    <w:p>
      <w:pPr>
        <w:pStyle w:val="nz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nzIndenta"/>
      </w:pPr>
      <w:r>
        <w:tab/>
        <w:t>(a)</w:t>
      </w:r>
      <w:r>
        <w:tab/>
        <w:t>an easement of that class that is in force immediately before commencement day is taken to be a short form easement or restrictive covenant of the specified kind; and</w:t>
      </w:r>
    </w:p>
    <w:p>
      <w:pPr>
        <w:pStyle w:val="nzIndenta"/>
      </w:pPr>
      <w:r>
        <w:tab/>
        <w:t>(b)</w:t>
      </w:r>
      <w:r>
        <w:tab/>
        <w:t>the rights and obligations under the easement are those applicable to the specified short form easement or restrictive covenant.</w:t>
      </w:r>
    </w:p>
    <w:p>
      <w:pPr>
        <w:pStyle w:val="nzSubsection"/>
      </w:pPr>
      <w:r>
        <w:tab/>
        <w:t>(2)</w:t>
      </w:r>
      <w:r>
        <w:tab/>
        <w:t>An easement created under section 5D to which subclause (1) does not apply and in force immediately before commencement day —</w:t>
      </w:r>
    </w:p>
    <w:p>
      <w:pPr>
        <w:pStyle w:val="nzIndenta"/>
      </w:pPr>
      <w:r>
        <w:tab/>
        <w:t>(a)</w:t>
      </w:r>
      <w:r>
        <w:tab/>
        <w:t>continues in force on the same terms and conditions as if the amending Act had not been enacted; but</w:t>
      </w:r>
    </w:p>
    <w:p>
      <w:pPr>
        <w:pStyle w:val="nzIndenta"/>
      </w:pPr>
      <w:r>
        <w:tab/>
        <w:t>(b)</w:t>
      </w:r>
      <w:r>
        <w:tab/>
        <w:t>may be discharged by amendment to the scheme plan as if it were a short form easement or restrictive covenant.</w:t>
      </w:r>
    </w:p>
    <w:p>
      <w:pPr>
        <w:pStyle w:val="nzHeading5"/>
      </w:pPr>
      <w:bookmarkStart w:id="2329" w:name="_Toc530474664"/>
      <w:bookmarkStart w:id="2330" w:name="_Toc530475259"/>
      <w:r>
        <w:t>18.</w:t>
      </w:r>
      <w:r>
        <w:tab/>
        <w:t>Restricted use conditions</w:t>
      </w:r>
      <w:bookmarkEnd w:id="2329"/>
      <w:bookmarkEnd w:id="2330"/>
    </w:p>
    <w:p>
      <w:pPr>
        <w:pStyle w:val="nzSubsection"/>
      </w:pPr>
      <w:r>
        <w:tab/>
        <w:t>(1)</w:t>
      </w:r>
      <w:r>
        <w:tab/>
        <w:t>A restriction on the use to which a parcel or part of a parcel may be put under section 6 as in force immediately before commencement day is taken to be a restricted use condition.</w:t>
      </w:r>
    </w:p>
    <w:p>
      <w:pPr>
        <w:pStyle w:val="nzSubsection"/>
      </w:pPr>
      <w:r>
        <w:tab/>
        <w:t>(2)</w:t>
      </w:r>
      <w:r>
        <w:tab/>
        <w:t>A reference to a retired person in such a restricted use condition is a reference to that term within the meaning of section 6A as in force immediately before commencement day.</w:t>
      </w:r>
    </w:p>
    <w:p>
      <w:pPr>
        <w:pStyle w:val="nzHeading5"/>
      </w:pPr>
      <w:bookmarkStart w:id="2331" w:name="_Toc530474665"/>
      <w:bookmarkStart w:id="2332" w:name="_Toc530475260"/>
      <w:r>
        <w:t>19.</w:t>
      </w:r>
      <w:r>
        <w:tab/>
        <w:t>Approvals for structural alterations</w:t>
      </w:r>
      <w:bookmarkEnd w:id="2331"/>
      <w:bookmarkEnd w:id="2332"/>
    </w:p>
    <w:p>
      <w:pPr>
        <w:pStyle w:val="nzSubsection"/>
      </w:pPr>
      <w:r>
        <w:tab/>
      </w:r>
      <w:r>
        <w:tab/>
        <w:t>An approval under section 7 or 7A as in force immediately before commencement day is taken to be an approval under section 87 or 88 respectively.</w:t>
      </w:r>
    </w:p>
    <w:p>
      <w:pPr>
        <w:pStyle w:val="nzHeading5"/>
      </w:pPr>
      <w:bookmarkStart w:id="2333" w:name="_Toc530474666"/>
      <w:bookmarkStart w:id="2334" w:name="_Toc530475261"/>
      <w:r>
        <w:t>20.</w:t>
      </w:r>
      <w:r>
        <w:tab/>
        <w:t>Temporary common property</w:t>
      </w:r>
      <w:bookmarkEnd w:id="2333"/>
      <w:bookmarkEnd w:id="2334"/>
    </w:p>
    <w:p>
      <w:pPr>
        <w:pStyle w:val="nzSubsection"/>
      </w:pPr>
      <w:r>
        <w:tab/>
        <w:t>(1)</w:t>
      </w:r>
      <w:r>
        <w:tab/>
        <w:t>Land leased under section 18 as in force immediately before commencement day is taken to be leased under section 92.</w:t>
      </w:r>
    </w:p>
    <w:p>
      <w:pPr>
        <w:pStyle w:val="nz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nzHeading5"/>
      </w:pPr>
      <w:bookmarkStart w:id="2335" w:name="_Toc530474667"/>
      <w:bookmarkStart w:id="2336" w:name="_Toc530475262"/>
      <w:r>
        <w:t>21.</w:t>
      </w:r>
      <w:r>
        <w:tab/>
        <w:t>Termination of strata scheme by unanimous resolution</w:t>
      </w:r>
      <w:bookmarkEnd w:id="2335"/>
      <w:bookmarkEnd w:id="2336"/>
    </w:p>
    <w:p>
      <w:pPr>
        <w:pStyle w:val="nz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nzHeading5"/>
      </w:pPr>
      <w:bookmarkStart w:id="2337" w:name="_Toc530474668"/>
      <w:bookmarkStart w:id="2338" w:name="_Toc530475263"/>
      <w:r>
        <w:t>22.</w:t>
      </w:r>
      <w:r>
        <w:tab/>
        <w:t>Roll</w:t>
      </w:r>
      <w:bookmarkEnd w:id="2337"/>
      <w:bookmarkEnd w:id="2338"/>
    </w:p>
    <w:p>
      <w:pPr>
        <w:pStyle w:val="nzSubsection"/>
      </w:pPr>
      <w:r>
        <w:tab/>
      </w:r>
      <w:r>
        <w:tab/>
        <w:t>A roll kept by a strata company under section 35A as in force immediately before commencement day is taken to be a roll kept under section 105.</w:t>
      </w:r>
    </w:p>
    <w:p>
      <w:pPr>
        <w:pStyle w:val="nzHeading5"/>
      </w:pPr>
      <w:bookmarkStart w:id="2339" w:name="_Toc530474669"/>
      <w:bookmarkStart w:id="2340" w:name="_Toc530475264"/>
      <w:r>
        <w:t>23.</w:t>
      </w:r>
      <w:r>
        <w:tab/>
        <w:t>Financial management</w:t>
      </w:r>
      <w:bookmarkEnd w:id="2339"/>
      <w:bookmarkEnd w:id="2340"/>
    </w:p>
    <w:p>
      <w:pPr>
        <w:pStyle w:val="nzSubsection"/>
      </w:pPr>
      <w:r>
        <w:tab/>
        <w:t>(1)</w:t>
      </w:r>
      <w:r>
        <w:tab/>
        <w:t>An administrative fund of a strata company established under section 36 as in force immediately before commencement day is taken to be an administrative fund established under section 100.</w:t>
      </w:r>
    </w:p>
    <w:p>
      <w:pPr>
        <w:pStyle w:val="nzSubsection"/>
      </w:pPr>
      <w:r>
        <w:tab/>
        <w:t>(2)</w:t>
      </w:r>
      <w:r>
        <w:tab/>
        <w:t>A reserve fund of a strata company established under section 36 as in force immediately before commencement day is taken to be a reserve fund established under section 100.</w:t>
      </w:r>
    </w:p>
    <w:p>
      <w:pPr>
        <w:pStyle w:val="nz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nz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nzHeading5"/>
      </w:pPr>
      <w:bookmarkStart w:id="2341" w:name="_Toc530474670"/>
      <w:bookmarkStart w:id="2342" w:name="_Toc530475265"/>
      <w:r>
        <w:t>24.</w:t>
      </w:r>
      <w:r>
        <w:tab/>
        <w:t>Extension of contract termination period</w:t>
      </w:r>
      <w:bookmarkEnd w:id="2341"/>
      <w:bookmarkEnd w:id="2342"/>
    </w:p>
    <w:p>
      <w:pPr>
        <w:pStyle w:val="nzSubsection"/>
      </w:pPr>
      <w:r>
        <w:tab/>
      </w:r>
      <w:r>
        <w:tab/>
        <w:t>Any extension of a period applying to a contract under section 39A as in force immediately before commencement day is taken to have been made under section 115.</w:t>
      </w:r>
    </w:p>
    <w:p>
      <w:pPr>
        <w:pStyle w:val="nzHeading5"/>
      </w:pPr>
      <w:bookmarkStart w:id="2343" w:name="_Toc530474671"/>
      <w:bookmarkStart w:id="2344" w:name="_Toc530475266"/>
      <w:r>
        <w:t>25.</w:t>
      </w:r>
      <w:r>
        <w:tab/>
        <w:t>Provision of information</w:t>
      </w:r>
      <w:bookmarkEnd w:id="2343"/>
      <w:bookmarkEnd w:id="2344"/>
    </w:p>
    <w:p>
      <w:pPr>
        <w:pStyle w:val="nz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nzHeading5"/>
      </w:pPr>
      <w:bookmarkStart w:id="2345" w:name="_Toc530474672"/>
      <w:bookmarkStart w:id="2346" w:name="_Toc530475267"/>
      <w:r>
        <w:t>26.</w:t>
      </w:r>
      <w:r>
        <w:tab/>
        <w:t>Authorisation of body corporate</w:t>
      </w:r>
      <w:bookmarkEnd w:id="2345"/>
      <w:bookmarkEnd w:id="2346"/>
    </w:p>
    <w:p>
      <w:pPr>
        <w:pStyle w:val="nzSubsection"/>
      </w:pPr>
      <w:r>
        <w:tab/>
      </w:r>
      <w:r>
        <w:tab/>
        <w:t>An authorisation of an individual under section 45 as in force immediately before commencement day is taken to have been given under section 136.</w:t>
      </w:r>
    </w:p>
    <w:p>
      <w:pPr>
        <w:pStyle w:val="nzHeading5"/>
      </w:pPr>
      <w:bookmarkStart w:id="2347" w:name="_Toc530474673"/>
      <w:bookmarkStart w:id="2348" w:name="_Toc530475268"/>
      <w:r>
        <w:t>27.</w:t>
      </w:r>
      <w:r>
        <w:tab/>
        <w:t>Restrictions on powers of expenditure</w:t>
      </w:r>
      <w:bookmarkEnd w:id="2347"/>
      <w:bookmarkEnd w:id="2348"/>
    </w:p>
    <w:p>
      <w:pPr>
        <w:pStyle w:val="nzSubsection"/>
      </w:pPr>
      <w:r>
        <w:tab/>
      </w:r>
      <w:r>
        <w:tab/>
        <w:t>A special resolution under section 47(1)(a) as in force immediately before commencement day is taken to be a special resolution under section 102(6)(a)(i).</w:t>
      </w:r>
    </w:p>
    <w:p>
      <w:pPr>
        <w:pStyle w:val="nzHeading5"/>
      </w:pPr>
      <w:bookmarkStart w:id="2349" w:name="_Toc530474674"/>
      <w:bookmarkStart w:id="2350" w:name="_Toc530475269"/>
      <w:r>
        <w:t>28.</w:t>
      </w:r>
      <w:r>
        <w:tab/>
        <w:t>Insurance in transitional period</w:t>
      </w:r>
      <w:bookmarkEnd w:id="2349"/>
      <w:bookmarkEnd w:id="2350"/>
    </w:p>
    <w:p>
      <w:pPr>
        <w:pStyle w:val="nz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nzHeading5"/>
      </w:pPr>
      <w:bookmarkStart w:id="2351" w:name="_Toc530474675"/>
      <w:bookmarkStart w:id="2352" w:name="_Toc530475270"/>
      <w:r>
        <w:t>29.</w:t>
      </w:r>
      <w:r>
        <w:tab/>
        <w:t>Protection of buyers</w:t>
      </w:r>
      <w:bookmarkEnd w:id="2351"/>
      <w:bookmarkEnd w:id="2352"/>
    </w:p>
    <w:p>
      <w:pPr>
        <w:pStyle w:val="nzSubsection"/>
      </w:pPr>
      <w:r>
        <w:tab/>
      </w:r>
      <w:r>
        <w:tab/>
        <w:t>Part 5 of the Act as in force immediately before commencement day continues to apply, as if the amending Act had not been enacted, to —</w:t>
      </w:r>
    </w:p>
    <w:p>
      <w:pPr>
        <w:pStyle w:val="nzIndenta"/>
      </w:pPr>
      <w:r>
        <w:tab/>
        <w:t>(a)</w:t>
      </w:r>
      <w:r>
        <w:tab/>
        <w:t>a contract for the sale and purchase of a lot in a strata titles scheme entered into before commencement day; and</w:t>
      </w:r>
    </w:p>
    <w:p>
      <w:pPr>
        <w:pStyle w:val="nzIndenta"/>
      </w:pPr>
      <w:r>
        <w:tab/>
        <w:t>(b)</w:t>
      </w:r>
      <w:r>
        <w:tab/>
        <w:t>the buyer and seller for the contract; and</w:t>
      </w:r>
    </w:p>
    <w:p>
      <w:pPr>
        <w:pStyle w:val="nzIndenta"/>
      </w:pPr>
      <w:r>
        <w:tab/>
        <w:t>(c)</w:t>
      </w:r>
      <w:r>
        <w:tab/>
        <w:t>any person who has been paid money in relation to that contract.</w:t>
      </w:r>
    </w:p>
    <w:p>
      <w:pPr>
        <w:pStyle w:val="nzHeading5"/>
      </w:pPr>
      <w:bookmarkStart w:id="2353" w:name="_Toc530474676"/>
      <w:bookmarkStart w:id="2354" w:name="_Toc530475271"/>
      <w:r>
        <w:t>30.</w:t>
      </w:r>
      <w:r>
        <w:tab/>
        <w:t>Proceedings</w:t>
      </w:r>
      <w:bookmarkEnd w:id="2353"/>
      <w:bookmarkEnd w:id="2354"/>
    </w:p>
    <w:p>
      <w:pPr>
        <w:pStyle w:val="nzSubsection"/>
      </w:pPr>
      <w:r>
        <w:tab/>
        <w:t>(1)</w:t>
      </w:r>
      <w:r>
        <w:tab/>
        <w:t>A proceeding in the District Court or Tribunal under this Act commenced before commencement day must be dealt with as if the amending Act had not been enacted.</w:t>
      </w:r>
    </w:p>
    <w:p>
      <w:pPr>
        <w:pStyle w:val="nz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nSubsection"/>
      </w:pPr>
      <w:r>
        <w:rPr>
          <w:vertAlign w:val="superscript"/>
        </w:rPr>
        <w:t>21</w:t>
      </w:r>
      <w:r>
        <w:tab/>
        <w:t xml:space="preserve">The </w:t>
      </w:r>
      <w:r>
        <w:rPr>
          <w:i/>
        </w:rPr>
        <w:t>Land Legislation (Postponement of Expiry) Proclamation 2018</w:t>
      </w:r>
      <w:r>
        <w:t xml:space="preserve"> published by </w:t>
      </w:r>
      <w:r>
        <w:rPr>
          <w:i/>
        </w:rPr>
        <w:t>Gazette</w:t>
      </w:r>
      <w:r>
        <w:t xml:space="preserve"> 21 Dec 2018 p. 4845-6 provides that the expiry of section 131A is postponed until the end of 31 December 2024.</w:t>
      </w:r>
    </w:p>
    <w:p>
      <w:pPr>
        <w:pStyle w:val="nSubsection"/>
        <w:spacing w:before="60"/>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356" w:name="_Toc525288733"/>
      <w:bookmarkStart w:id="2357" w:name="_Toc530554769"/>
      <w:bookmarkStart w:id="2358" w:name="_Toc530555105"/>
      <w:r>
        <w:rPr>
          <w:sz w:val="28"/>
        </w:rPr>
        <w:t>Defined terms</w:t>
      </w:r>
      <w:bookmarkEnd w:id="2356"/>
      <w:bookmarkEnd w:id="2357"/>
      <w:bookmarkEnd w:id="2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acquiring authority</w:t>
      </w:r>
      <w:r>
        <w:tab/>
        <w:t>29B(4)</w:t>
      </w:r>
    </w:p>
    <w:p>
      <w:pPr>
        <w:pStyle w:val="DefinedTerms"/>
      </w:pPr>
      <w:r>
        <w:t>administrator</w:t>
      </w:r>
      <w:r>
        <w:tab/>
        <w:t>3(1)</w:t>
      </w:r>
    </w:p>
    <w:p>
      <w:pPr>
        <w:pStyle w:val="DefinedTerms"/>
      </w:pPr>
      <w:r>
        <w:t>allowed period</w:t>
      </w:r>
      <w:r>
        <w:tab/>
        <w:t>7B(2)</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disposition statement</w:t>
      </w:r>
      <w:r>
        <w:tab/>
        <w:t>8B(2), 21V(2), 31H(2)</w:t>
      </w:r>
    </w:p>
    <w:p>
      <w:pPr>
        <w:pStyle w:val="DefinedTerms"/>
      </w:pPr>
      <w:r>
        <w:t>dominant lot</w:t>
      </w:r>
      <w:r>
        <w:tab/>
        <w:t>5D(2)</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w:t>
      </w:r>
    </w:p>
    <w:p>
      <w:pPr>
        <w:pStyle w:val="DefinedTerms"/>
      </w:pPr>
      <w:r>
        <w:t>proprietor in default</w:t>
      </w:r>
      <w:r>
        <w:tab/>
        <w:t>103B(1)</w:t>
      </w:r>
    </w:p>
    <w:p>
      <w:pPr>
        <w:pStyle w:val="DefinedTerms"/>
      </w:pPr>
      <w:r>
        <w:t>proxy</w:t>
      </w:r>
      <w:r>
        <w:tab/>
        <w:t>50A(1)</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 131A(2)</w:t>
      </w:r>
    </w:p>
    <w:p>
      <w:pPr>
        <w:pStyle w:val="DefinedTerms"/>
      </w:pPr>
      <w:r>
        <w:t>servient lot</w:t>
      </w:r>
      <w:r>
        <w:tab/>
        <w:t>5D(2)</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w:t>
      </w:r>
    </w:p>
    <w:p>
      <w:pPr>
        <w:pStyle w:val="DefinedTerms"/>
      </w:pPr>
      <w:r>
        <w:t>sketch plan</w:t>
      </w:r>
      <w:r>
        <w:tab/>
        <w:t>21T(1)</w:t>
      </w:r>
    </w:p>
    <w:p>
      <w:pPr>
        <w:pStyle w:val="DefinedTerms"/>
      </w:pPr>
      <w:r>
        <w:t>special resolution</w:t>
      </w:r>
      <w:r>
        <w:tab/>
        <w:t>3(1)</w:t>
      </w:r>
    </w:p>
    <w:p>
      <w:pPr>
        <w:pStyle w:val="DefinedTerms"/>
      </w:pPr>
      <w:r>
        <w:t>strata company</w:t>
      </w:r>
      <w:r>
        <w:tab/>
        <w:t>3(1), 53A,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termination day</w:t>
      </w:r>
      <w:r>
        <w:tab/>
        <w:t>Sch. 3 cl. 12(2)</w:t>
      </w:r>
    </w:p>
    <w:p>
      <w:pPr>
        <w:pStyle w:val="DefinedTerms"/>
      </w:pPr>
      <w:r>
        <w:t>transition period</w:t>
      </w:r>
      <w:r>
        <w:tab/>
        <w:t>123A(2), 123C(2), 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70" w:name="Schedule"/>
    <w:bookmarkEnd w:id="3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55" w:name="Compilation"/>
    <w:bookmarkEnd w:id="23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9" w:name="DefinedTerms"/>
    <w:bookmarkEnd w:id="23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0" w:name="Coversheet"/>
    <w:bookmarkEnd w:id="23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0D7B74"/>
    <w:multiLevelType w:val="hybridMultilevel"/>
    <w:tmpl w:val="B134BF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14"/>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47C2-71B3-4A09-B5C8-653BAFAE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542</Pages>
  <Words>148054</Words>
  <Characters>698815</Characters>
  <Application>Microsoft Office Word</Application>
  <DocSecurity>0</DocSecurity>
  <Lines>19966</Lines>
  <Paragraphs>10857</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836012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1985 - 07-f0-03</dc:title>
  <dc:subject/>
  <dc:creator/>
  <cp:keywords/>
  <dc:description/>
  <cp:lastModifiedBy>svcMRProcess</cp:lastModifiedBy>
  <cp:revision>4</cp:revision>
  <cp:lastPrinted>2018-09-21T02:17:00Z</cp:lastPrinted>
  <dcterms:created xsi:type="dcterms:W3CDTF">2019-05-11T01:32:00Z</dcterms:created>
  <dcterms:modified xsi:type="dcterms:W3CDTF">2019-05-11T01:32:00Z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19 Nov 2018</vt:lpwstr>
  </property>
  <property fmtid="{D5CDD505-2E9C-101B-9397-08002B2CF9AE}" pid="8" name="Suffix">
    <vt:lpwstr>07-f0-03</vt:lpwstr>
  </property>
  <property fmtid="{D5CDD505-2E9C-101B-9397-08002B2CF9AE}" pid="9" name="CommencementDate">
    <vt:lpwstr>20181119</vt:lpwstr>
  </property>
</Properties>
</file>