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(Submerged Lands)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02-f0-02</w:t>
      </w:r>
      <w:r>
        <w:fldChar w:fldCharType="end"/>
      </w:r>
      <w:r>
        <w:t>] and [</w:t>
      </w:r>
      <w:r>
        <w:fldChar w:fldCharType="begin"/>
      </w:r>
      <w:r>
        <w:instrText xml:space="preserve"> DocProperty ToAsAtDate</w:instrText>
      </w:r>
      <w:r>
        <w:fldChar w:fldCharType="separate"/>
      </w:r>
      <w:r>
        <w:t>28 Mar 2007</w:t>
      </w:r>
      <w:r>
        <w:fldChar w:fldCharType="end"/>
      </w:r>
      <w:r>
        <w:t xml:space="preserve">, </w:t>
      </w:r>
      <w:r>
        <w:fldChar w:fldCharType="begin"/>
      </w:r>
      <w:r>
        <w:instrText xml:space="preserve"> DocProperty ToSuffix</w:instrText>
      </w:r>
      <w:r>
        <w:fldChar w:fldCharType="separate"/>
      </w:r>
      <w:r>
        <w:t>02-g0-04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Petroleum (Submerged Lands) Act 1982 </w:t>
      </w:r>
    </w:p>
    <w:p>
      <w:pPr>
        <w:pStyle w:val="LongTitle"/>
        <w:rPr>
          <w:snapToGrid w:val="0"/>
        </w:rPr>
      </w:pPr>
      <w:r>
        <w:rPr>
          <w:snapToGrid w:val="0"/>
        </w:rPr>
        <w:t>A</w:t>
      </w:r>
      <w:bookmarkStart w:id="0" w:name="_GoBack"/>
      <w:bookmarkEnd w:id="0"/>
      <w:r>
        <w:rPr>
          <w:snapToGrid w:val="0"/>
        </w:rPr>
        <w:t xml:space="preserve">n Act to make provision with respect to the exploration for and the exploitation of the petroleum resources, and certain other resources, of certain submerged lands adjacent to the coast of Western Australia, to repeal the </w:t>
      </w:r>
      <w:r>
        <w:rPr>
          <w:i/>
          <w:snapToGrid w:val="0"/>
        </w:rPr>
        <w:t>Petroleum (Submerged Lands) Act 1967</w:t>
      </w:r>
      <w:r>
        <w:rPr>
          <w:snapToGrid w:val="0"/>
        </w:rPr>
        <w:t xml:space="preserve">, and for incidental and other purposes. </w:t>
      </w:r>
    </w:p>
    <w:p>
      <w:pPr>
        <w:pStyle w:val="Preamble1"/>
        <w:rPr>
          <w:snapToGrid w:val="0"/>
        </w:rPr>
      </w:pPr>
    </w:p>
    <w:p>
      <w:pPr>
        <w:pStyle w:val="Preamble2"/>
        <w:rPr>
          <w:snapToGrid w:val="0"/>
        </w:rPr>
      </w:pPr>
      <w:r>
        <w:rPr>
          <w:snapToGrid w:val="0"/>
        </w:rPr>
        <w:t>Whereas in accordance with international law Australia as a coastal State has sovereign rights over the continental shelf beyond the limits of Australian territorial waters for the purpose of exploring it and exploiting its natural resources:</w:t>
      </w:r>
    </w:p>
    <w:p>
      <w:pPr>
        <w:pStyle w:val="Preamble2"/>
        <w:rPr>
          <w:snapToGrid w:val="0"/>
        </w:rPr>
      </w:pPr>
      <w:r>
        <w:rPr>
          <w:snapToGrid w:val="0"/>
        </w:rPr>
        <w:t>And whereas Australia is a party to the Convention on the continental shelf signed at Geneva on 29 April 1958 in which those rights are defined:</w:t>
      </w:r>
    </w:p>
    <w:p>
      <w:pPr>
        <w:pStyle w:val="Preamble2"/>
        <w:rPr>
          <w:snapToGrid w:val="0"/>
        </w:rPr>
      </w:pPr>
      <w:r>
        <w:rPr>
          <w:snapToGrid w:val="0"/>
        </w:rPr>
        <w:t xml:space="preserve">And whereas by the </w:t>
      </w:r>
      <w:r>
        <w:rPr>
          <w:i/>
          <w:snapToGrid w:val="0"/>
        </w:rPr>
        <w:t>Seas and Submerged Lands Act 1973</w:t>
      </w:r>
      <w:r>
        <w:rPr>
          <w:snapToGrid w:val="0"/>
        </w:rPr>
        <w:t xml:space="preserve"> of the Commonwealth it is declared and enacted that the sovereignty in respect of the territorial sea of Australia and in respect of the airspace over it and in respect of its sea</w:t>
      </w:r>
      <w:r>
        <w:rPr>
          <w:snapToGrid w:val="0"/>
        </w:rPr>
        <w:noBreakHyphen/>
        <w:t>bed and subsoil, and the sovereignty in respect of certain internal waters of Australia and in respect of the airspace over those waters and in respect of the sea</w:t>
      </w:r>
      <w:r>
        <w:rPr>
          <w:snapToGrid w:val="0"/>
        </w:rPr>
        <w:noBreakHyphen/>
        <w:t xml:space="preserve">bed and subsoil beneath those waters, is vested in and exercisable by the Crown in right of the Commonwealth: </w:t>
      </w:r>
    </w:p>
    <w:p>
      <w:pPr>
        <w:pStyle w:val="Preamble2"/>
        <w:rPr>
          <w:snapToGrid w:val="0"/>
        </w:rPr>
      </w:pPr>
      <w:r>
        <w:rPr>
          <w:snapToGrid w:val="0"/>
        </w:rPr>
        <w:t>And whereas the Parliaments of the States and the Legislative Assembly of the Northern Territory have certain legislative powers in respect of the sea</w:t>
      </w:r>
      <w:r>
        <w:rPr>
          <w:snapToGrid w:val="0"/>
        </w:rPr>
        <w:noBreakHyphen/>
        <w:t>bed and subsoil referred to in the last preceding recital and the Parliament of the Commonwealth has vested in the Crown in right of each of the States and the Crown in right of the Northern Territory certain proprietary rights in respect of that sea</w:t>
      </w:r>
      <w:r>
        <w:rPr>
          <w:snapToGrid w:val="0"/>
        </w:rPr>
        <w:noBreakHyphen/>
        <w:t>bed and subsoil:</w:t>
      </w:r>
    </w:p>
    <w:p>
      <w:pPr>
        <w:pStyle w:val="Preamble2"/>
        <w:rPr>
          <w:snapToGrid w:val="0"/>
        </w:rPr>
      </w:pPr>
      <w:r>
        <w:rPr>
          <w:snapToGrid w:val="0"/>
        </w:rPr>
        <w:lastRenderedPageBreak/>
        <w:t>And whereas it has been agreed between the Commonwealth, the States and the Northern Territory that, in place of the scheme provided for by an Agreement between the Commonwealth and the States dated 16 October 1967 — </w:t>
      </w:r>
    </w:p>
    <w:p>
      <w:pPr>
        <w:pStyle w:val="Preamble3"/>
        <w:rPr>
          <w:snapToGrid w:val="0"/>
        </w:rPr>
      </w:pPr>
      <w:r>
        <w:rPr>
          <w:snapToGrid w:val="0"/>
        </w:rPr>
        <w:tab/>
        <w:t>(a)</w:t>
      </w:r>
      <w:r>
        <w:rPr>
          <w:snapToGrid w:val="0"/>
        </w:rPr>
        <w:tab/>
        <w:t>legislation of the Parliament of the Commonwealth in respect of the exploration for and the exploitation of the petroleum resources of submerged lands should be limited to the resources of lands beneath waters that are beyond the outer limits of the territorial sea adjacent to the States and the Northern Territory (being outer limits based, unless and until otherwise agreed, on the breadth of that sea being 3 nautical miles), and that the States and the Northern Territory should share in the administration of that legislation;</w:t>
      </w:r>
    </w:p>
    <w:p>
      <w:pPr>
        <w:pStyle w:val="Preamble3"/>
        <w:rPr>
          <w:snapToGrid w:val="0"/>
        </w:rPr>
      </w:pPr>
      <w:r>
        <w:rPr>
          <w:snapToGrid w:val="0"/>
        </w:rPr>
        <w:tab/>
        <w:t>(b)</w:t>
      </w:r>
      <w:r>
        <w:rPr>
          <w:snapToGrid w:val="0"/>
        </w:rPr>
        <w:tab/>
        <w:t>legislation of the Parliament of each State should apply in respect of the exploration for and the exploitation of the petroleum resources of such part of the submerged lands in an area adjacent to the State as is on the landward side of the waters referred to in paragraph (a);</w:t>
      </w:r>
    </w:p>
    <w:p>
      <w:pPr>
        <w:pStyle w:val="Preamble3"/>
        <w:rPr>
          <w:snapToGrid w:val="0"/>
        </w:rPr>
      </w:pPr>
      <w:r>
        <w:rPr>
          <w:snapToGrid w:val="0"/>
        </w:rPr>
        <w:tab/>
        <w:t>(c)</w:t>
      </w:r>
      <w:r>
        <w:rPr>
          <w:snapToGrid w:val="0"/>
        </w:rPr>
        <w:tab/>
        <w:t>legislation of the Legislative Assembly of the Northern Territory should apply in respect of the exploration for and the exploitation of the petroleum resources of such part of the submerged lands in an area adjacent to the Northern Territory as is on the landward side of the waters referred to in paragraph (a); and</w:t>
      </w:r>
    </w:p>
    <w:p>
      <w:pPr>
        <w:pStyle w:val="Preamble3"/>
        <w:rPr>
          <w:snapToGrid w:val="0"/>
          <w:spacing w:val="-2"/>
        </w:rPr>
      </w:pPr>
      <w:r>
        <w:rPr>
          <w:snapToGrid w:val="0"/>
          <w:spacing w:val="-2"/>
        </w:rPr>
        <w:tab/>
        <w:t>(d)</w:t>
      </w:r>
      <w:r>
        <w:rPr>
          <w:snapToGrid w:val="0"/>
          <w:spacing w:val="-2"/>
        </w:rPr>
        <w:tab/>
        <w:t xml:space="preserve">the </w:t>
      </w:r>
      <w:r>
        <w:rPr>
          <w:snapToGrid w:val="0"/>
        </w:rPr>
        <w:t>Commonwealth</w:t>
      </w:r>
      <w:r>
        <w:rPr>
          <w:snapToGrid w:val="0"/>
          <w:spacing w:val="-2"/>
        </w:rPr>
        <w:t>, the States and the Northern Territory should endeavour to maintain, as far as practicable, common principles, rules and practices in the regulation and control of the exploration for and the exploitation of the petroleum resources of all the submerged lands referred to above that are on the seaward side of the inner limits of the territorial sea of Australia:</w:t>
      </w:r>
    </w:p>
    <w:p>
      <w:pPr>
        <w:pStyle w:val="Enactment"/>
        <w:rPr>
          <w:snapToGrid w:val="0"/>
        </w:rPr>
      </w:pPr>
      <w:r>
        <w:rPr>
          <w:snapToGrid w:val="0"/>
        </w:rPr>
        <w:t xml:space="preserve">Be it therefore enacted by the Queen’s Most Excellent Majesty, by and with the advice and consent of the Legislative Council and the </w:t>
      </w:r>
      <w:r>
        <w:rPr>
          <w:snapToGrid w:val="0"/>
        </w:rPr>
        <w:lastRenderedPageBreak/>
        <w:t>Legislative Assembly of Western Australia, in this present Parliament assembled, and by the authority of the same, as follows: — </w:t>
      </w:r>
    </w:p>
    <w:p>
      <w:pPr>
        <w:pStyle w:val="Heading2"/>
        <w:spacing w:line="240" w:lineRule="auto"/>
        <w:rPr>
          <w:rStyle w:val="CharPartNo"/>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Heading2"/>
      </w:pPr>
      <w:bookmarkStart w:id="1" w:name="_Toc72913701"/>
      <w:bookmarkStart w:id="2" w:name="_Toc91304181"/>
      <w:bookmarkStart w:id="3" w:name="_Toc92688424"/>
      <w:bookmarkStart w:id="4" w:name="_Toc113772421"/>
      <w:bookmarkStart w:id="5" w:name="_Toc156976906"/>
      <w:bookmarkStart w:id="6" w:name="_Toc157933490"/>
      <w:bookmarkStart w:id="7" w:name="_Toc162761122"/>
      <w:bookmarkStart w:id="8" w:name="_Toc170190514"/>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r>
        <w:rPr>
          <w:rStyle w:val="CharPartText"/>
        </w:rPr>
        <w:t xml:space="preserve"> </w:t>
      </w:r>
    </w:p>
    <w:p>
      <w:pPr>
        <w:pStyle w:val="Heading5"/>
        <w:spacing w:before="180"/>
        <w:rPr>
          <w:snapToGrid w:val="0"/>
        </w:rPr>
      </w:pPr>
      <w:bookmarkStart w:id="9" w:name="_Toc501861672"/>
      <w:bookmarkStart w:id="10" w:name="_Toc113772422"/>
      <w:bookmarkStart w:id="11" w:name="_Toc170190515"/>
      <w:bookmarkStart w:id="12" w:name="_Toc157933491"/>
      <w:r>
        <w:rPr>
          <w:rStyle w:val="CharSectno"/>
        </w:rPr>
        <w:t>1</w:t>
      </w:r>
      <w:r>
        <w:rPr>
          <w:snapToGrid w:val="0"/>
        </w:rPr>
        <w:t>.</w:t>
      </w:r>
      <w:r>
        <w:rPr>
          <w:snapToGrid w:val="0"/>
        </w:rPr>
        <w:tab/>
        <w:t>Short title</w:t>
      </w:r>
      <w:bookmarkEnd w:id="9"/>
      <w:bookmarkEnd w:id="10"/>
      <w:bookmarkEnd w:id="11"/>
      <w:bookmarkEnd w:id="12"/>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Petroleum (Submerged Lands) Act 1982</w:t>
      </w:r>
      <w:r>
        <w:rPr>
          <w:snapToGrid w:val="0"/>
        </w:rPr>
        <w:t xml:space="preserve"> </w:t>
      </w:r>
      <w:r>
        <w:rPr>
          <w:snapToGrid w:val="0"/>
          <w:vertAlign w:val="superscript"/>
        </w:rPr>
        <w:t>1</w:t>
      </w:r>
      <w:r>
        <w:rPr>
          <w:snapToGrid w:val="0"/>
        </w:rPr>
        <w:t>.</w:t>
      </w:r>
    </w:p>
    <w:p>
      <w:pPr>
        <w:pStyle w:val="Heading5"/>
        <w:spacing w:before="180"/>
        <w:rPr>
          <w:snapToGrid w:val="0"/>
        </w:rPr>
      </w:pPr>
      <w:bookmarkStart w:id="13" w:name="_Toc501861673"/>
      <w:bookmarkStart w:id="14" w:name="_Toc113772423"/>
      <w:bookmarkStart w:id="15" w:name="_Toc170190516"/>
      <w:bookmarkStart w:id="16" w:name="_Toc157933492"/>
      <w:r>
        <w:rPr>
          <w:rStyle w:val="CharSectno"/>
        </w:rPr>
        <w:t>2</w:t>
      </w:r>
      <w:r>
        <w:rPr>
          <w:snapToGrid w:val="0"/>
        </w:rPr>
        <w:t>.</w:t>
      </w:r>
      <w:r>
        <w:rPr>
          <w:snapToGrid w:val="0"/>
        </w:rPr>
        <w:tab/>
        <w:t>Commencement</w:t>
      </w:r>
      <w:bookmarkEnd w:id="13"/>
      <w:bookmarkEnd w:id="14"/>
      <w:bookmarkEnd w:id="15"/>
      <w:bookmarkEnd w:id="16"/>
      <w:r>
        <w:rPr>
          <w:snapToGrid w:val="0"/>
        </w:rPr>
        <w:t xml:space="preserve"> </w:t>
      </w:r>
    </w:p>
    <w:p>
      <w:pPr>
        <w:pStyle w:val="Subsection"/>
        <w:spacing w:before="120"/>
        <w:rPr>
          <w:snapToGrid w:val="0"/>
        </w:rPr>
      </w:pPr>
      <w:r>
        <w:rPr>
          <w:snapToGrid w:val="0"/>
        </w:rPr>
        <w:tab/>
        <w:t>(1)</w:t>
      </w:r>
      <w:r>
        <w:rPr>
          <w:snapToGrid w:val="0"/>
        </w:rPr>
        <w:tab/>
        <w:t>This Act shall come into operation</w:t>
      </w:r>
      <w:r>
        <w:rPr>
          <w:snapToGrid w:val="0"/>
          <w:vertAlign w:val="superscript"/>
        </w:rPr>
        <w:t xml:space="preserve"> 1</w:t>
      </w:r>
      <w:r>
        <w:rPr>
          <w:snapToGrid w:val="0"/>
        </w:rPr>
        <w:t xml:space="preserve"> on the first day on which the following Acts of the Commonwealth, with or without amendments, are in operation, namely, the </w:t>
      </w:r>
      <w:r>
        <w:rPr>
          <w:i/>
          <w:snapToGrid w:val="0"/>
        </w:rPr>
        <w:t>Seas and Submerged Lands Amendment Act 1980</w:t>
      </w:r>
      <w:r>
        <w:rPr>
          <w:snapToGrid w:val="0"/>
        </w:rPr>
        <w:t xml:space="preserve">, the </w:t>
      </w:r>
      <w:r>
        <w:rPr>
          <w:i/>
          <w:snapToGrid w:val="0"/>
        </w:rPr>
        <w:t>Coastal Waters (State Powers) Act 1980</w:t>
      </w:r>
      <w:r>
        <w:rPr>
          <w:snapToGrid w:val="0"/>
        </w:rPr>
        <w:t xml:space="preserve">, the </w:t>
      </w:r>
      <w:r>
        <w:rPr>
          <w:i/>
          <w:snapToGrid w:val="0"/>
        </w:rPr>
        <w:t>Coastal Waters (State Title) Act 1980</w:t>
      </w:r>
      <w:r>
        <w:rPr>
          <w:snapToGrid w:val="0"/>
        </w:rPr>
        <w:t xml:space="preserve"> and the </w:t>
      </w:r>
      <w:r>
        <w:rPr>
          <w:i/>
          <w:snapToGrid w:val="0"/>
        </w:rPr>
        <w:t>Petroleum (Submerged Lands) Amendment Act 1980</w:t>
      </w:r>
      <w:r>
        <w:rPr>
          <w:snapToGrid w:val="0"/>
        </w:rPr>
        <w:t>.</w:t>
      </w:r>
    </w:p>
    <w:p>
      <w:pPr>
        <w:pStyle w:val="Subsection"/>
        <w:spacing w:before="120"/>
        <w:rPr>
          <w:snapToGrid w:val="0"/>
        </w:rPr>
      </w:pPr>
      <w:r>
        <w:rPr>
          <w:snapToGrid w:val="0"/>
        </w:rPr>
        <w:tab/>
        <w:t>(2)</w:t>
      </w:r>
      <w:r>
        <w:rPr>
          <w:snapToGrid w:val="0"/>
        </w:rPr>
        <w:tab/>
        <w:t xml:space="preserve">The Minister shall as soon as is practicable after the commencement of this Act cause notice of the commencement to be published in the </w:t>
      </w:r>
      <w:r>
        <w:rPr>
          <w:i/>
          <w:snapToGrid w:val="0"/>
        </w:rPr>
        <w:t>Gazette</w:t>
      </w:r>
      <w:r>
        <w:rPr>
          <w:snapToGrid w:val="0"/>
        </w:rPr>
        <w:t>.</w:t>
      </w:r>
    </w:p>
    <w:p>
      <w:pPr>
        <w:pStyle w:val="Heading5"/>
        <w:spacing w:before="180"/>
        <w:rPr>
          <w:snapToGrid w:val="0"/>
        </w:rPr>
      </w:pPr>
      <w:bookmarkStart w:id="17" w:name="_Toc501861674"/>
      <w:bookmarkStart w:id="18" w:name="_Toc113772424"/>
      <w:bookmarkStart w:id="19" w:name="_Toc170190517"/>
      <w:bookmarkStart w:id="20" w:name="_Toc157933493"/>
      <w:r>
        <w:rPr>
          <w:rStyle w:val="CharSectno"/>
        </w:rPr>
        <w:t>3</w:t>
      </w:r>
      <w:r>
        <w:rPr>
          <w:snapToGrid w:val="0"/>
        </w:rPr>
        <w:t>.</w:t>
      </w:r>
      <w:r>
        <w:rPr>
          <w:snapToGrid w:val="0"/>
        </w:rPr>
        <w:tab/>
        <w:t>Repeal and transitional provisions</w:t>
      </w:r>
      <w:bookmarkEnd w:id="17"/>
      <w:bookmarkEnd w:id="18"/>
      <w:bookmarkEnd w:id="19"/>
      <w:bookmarkEnd w:id="20"/>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Petroleum (Submerged Lands) Act 1967</w:t>
      </w:r>
      <w:r>
        <w:rPr>
          <w:snapToGrid w:val="0"/>
        </w:rPr>
        <w:t xml:space="preserve"> is repealed.</w:t>
      </w:r>
    </w:p>
    <w:p>
      <w:pPr>
        <w:pStyle w:val="Subsection"/>
        <w:spacing w:before="120"/>
        <w:rPr>
          <w:snapToGrid w:val="0"/>
        </w:rPr>
      </w:pPr>
      <w:r>
        <w:rPr>
          <w:snapToGrid w:val="0"/>
        </w:rPr>
        <w:tab/>
        <w:t>(2)</w:t>
      </w:r>
      <w:r>
        <w:rPr>
          <w:snapToGrid w:val="0"/>
        </w:rPr>
        <w:tab/>
        <w:t>The scheme agreed on between the Governments of the Commonwealth, the States and the Northern Territory, being the scheme set out in Schedule 3, so far as that scheme relates to the operation of this Act, has the force of law by virtue of this subsection.</w:t>
      </w:r>
    </w:p>
    <w:p>
      <w:pPr>
        <w:pStyle w:val="Subsection"/>
        <w:spacing w:before="120"/>
        <w:rPr>
          <w:snapToGrid w:val="0"/>
        </w:rPr>
      </w:pPr>
      <w:r>
        <w:rPr>
          <w:snapToGrid w:val="0"/>
        </w:rPr>
        <w:tab/>
        <w:t>(3)</w:t>
      </w:r>
      <w:r>
        <w:rPr>
          <w:snapToGrid w:val="0"/>
        </w:rPr>
        <w:tab/>
        <w:t>For the purposes of the scheme set out in Schedule 3, as in force by virtue of subsection (2), this Act is the State Act of Western Australia and the Minister is the Designated Authority under this Act.</w:t>
      </w:r>
    </w:p>
    <w:p>
      <w:pPr>
        <w:pStyle w:val="Subsection"/>
        <w:spacing w:before="120"/>
        <w:rPr>
          <w:snapToGrid w:val="0"/>
        </w:rPr>
      </w:pPr>
      <w:r>
        <w:rPr>
          <w:snapToGrid w:val="0"/>
        </w:rPr>
        <w:tab/>
        <w:t>(4)</w:t>
      </w:r>
      <w:r>
        <w:rPr>
          <w:snapToGrid w:val="0"/>
        </w:rPr>
        <w:tab/>
        <w:t>A reference to the Designated Authority in a new permit (within the meaning of the scheme set out in Schedule 3) or a new pipeline licence (within the meaning of that scheme) shall for the purposes of that permit or pipeline licence and this Act be read as a reference to the Minister.</w:t>
      </w:r>
    </w:p>
    <w:p>
      <w:pPr>
        <w:pStyle w:val="Subsection"/>
        <w:spacing w:before="120"/>
        <w:rPr>
          <w:snapToGrid w:val="0"/>
        </w:rPr>
      </w:pPr>
      <w:r>
        <w:rPr>
          <w:snapToGrid w:val="0"/>
        </w:rPr>
        <w:tab/>
        <w:t>(5)</w:t>
      </w:r>
      <w:r>
        <w:rPr>
          <w:snapToGrid w:val="0"/>
        </w:rPr>
        <w:tab/>
        <w:t>Schedule 4 has the force of law by virtue of this subsection.</w:t>
      </w:r>
    </w:p>
    <w:p>
      <w:pPr>
        <w:pStyle w:val="Heading5"/>
        <w:rPr>
          <w:snapToGrid w:val="0"/>
        </w:rPr>
      </w:pPr>
      <w:bookmarkStart w:id="21" w:name="_Toc501861675"/>
      <w:bookmarkStart w:id="22" w:name="_Toc113772425"/>
      <w:bookmarkStart w:id="23" w:name="_Toc170190518"/>
      <w:bookmarkStart w:id="24" w:name="_Toc157933494"/>
      <w:r>
        <w:rPr>
          <w:rStyle w:val="CharSectno"/>
        </w:rPr>
        <w:t>4</w:t>
      </w:r>
      <w:r>
        <w:rPr>
          <w:snapToGrid w:val="0"/>
        </w:rPr>
        <w:t>.</w:t>
      </w:r>
      <w:r>
        <w:rPr>
          <w:snapToGrid w:val="0"/>
        </w:rPr>
        <w:tab/>
        <w:t>Interpretation</w:t>
      </w:r>
      <w:bookmarkEnd w:id="21"/>
      <w:bookmarkEnd w:id="22"/>
      <w:bookmarkEnd w:id="23"/>
      <w:bookmarkEnd w:id="24"/>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access authority</w:t>
      </w:r>
      <w:r>
        <w:rPr>
          <w:b/>
        </w:rPr>
        <w:t>”</w:t>
      </w:r>
      <w:r>
        <w:t xml:space="preserve"> means an access authority under Part III;</w:t>
      </w:r>
    </w:p>
    <w:p>
      <w:pPr>
        <w:pStyle w:val="Defstart"/>
      </w:pPr>
      <w:r>
        <w:rPr>
          <w:b/>
        </w:rPr>
        <w:tab/>
        <w:t>“</w:t>
      </w:r>
      <w:r>
        <w:rPr>
          <w:rStyle w:val="CharDefText"/>
        </w:rPr>
        <w:t>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subject to section 5(2), an area which — </w:t>
      </w:r>
    </w:p>
    <w:p>
      <w:pPr>
        <w:pStyle w:val="Defpara"/>
      </w:pPr>
      <w:r>
        <w:tab/>
        <w:t>(a)</w:t>
      </w:r>
      <w:r>
        <w:tab/>
        <w:t>is within the area the boundary of which is described in Schedule 2;</w:t>
      </w:r>
    </w:p>
    <w:p>
      <w:pPr>
        <w:pStyle w:val="Defpara"/>
      </w:pPr>
      <w:r>
        <w:tab/>
        <w:t>(b)</w:t>
      </w:r>
      <w:r>
        <w:tab/>
        <w:t>is seaward of the coastline of Western Australia at mean low water and landward of the inner limit of the territorial sea of Australia; and</w:t>
      </w:r>
    </w:p>
    <w:p>
      <w:pPr>
        <w:pStyle w:val="Defpara"/>
      </w:pPr>
      <w:r>
        <w:tab/>
        <w:t>(c)</w:t>
      </w:r>
      <w:r>
        <w:tab/>
        <w:t>was, immediately before the commencement of this Act, the subject of an exploration permit for petroleum subsisting under the Commonwealth Act;</w:t>
      </w:r>
    </w:p>
    <w:p>
      <w:pPr>
        <w:pStyle w:val="Defstart"/>
      </w:pPr>
      <w:r>
        <w:rPr>
          <w:b/>
        </w:rPr>
        <w:tab/>
        <w:t>“</w:t>
      </w:r>
      <w:r>
        <w:rPr>
          <w:rStyle w:val="CharDefText"/>
        </w:rPr>
        <w:t>application for a primary licence</w:t>
      </w:r>
      <w:r>
        <w:rPr>
          <w:b/>
        </w:rPr>
        <w:t>”</w:t>
      </w:r>
      <w:r>
        <w:t xml:space="preserve"> means an application under section 40(1) or (2) or 40A(1) or (2);</w:t>
      </w:r>
    </w:p>
    <w:p>
      <w:pPr>
        <w:pStyle w:val="Defstart"/>
      </w:pPr>
      <w:r>
        <w:rPr>
          <w:b/>
        </w:rPr>
        <w:tab/>
        <w:t>“</w:t>
      </w:r>
      <w:r>
        <w:rPr>
          <w:rStyle w:val="CharDefText"/>
        </w:rPr>
        <w:t>application for a secondary licence</w:t>
      </w:r>
      <w:r>
        <w:rPr>
          <w:b/>
        </w:rPr>
        <w:t>”</w:t>
      </w:r>
      <w:r>
        <w:t xml:space="preserve"> means an application under section 40(3) or 40A(3);</w:t>
      </w:r>
    </w:p>
    <w:p>
      <w:pPr>
        <w:pStyle w:val="Defstart"/>
      </w:pPr>
      <w:r>
        <w:rPr>
          <w:b/>
        </w:rPr>
        <w:tab/>
        <w:t>“</w:t>
      </w:r>
      <w:r>
        <w:rPr>
          <w:rStyle w:val="CharDefText"/>
        </w:rPr>
        <w:t>approved</w:t>
      </w:r>
      <w:r>
        <w:rPr>
          <w:b/>
        </w:rPr>
        <w:t>”</w:t>
      </w:r>
      <w:r>
        <w:t xml:space="preserve"> means approved by the Minister;</w:t>
      </w:r>
    </w:p>
    <w:p>
      <w:pPr>
        <w:pStyle w:val="Defstart"/>
      </w:pPr>
      <w:r>
        <w:rPr>
          <w:b/>
        </w:rPr>
        <w:tab/>
        <w:t>“</w:t>
      </w:r>
      <w:r>
        <w:rPr>
          <w:rStyle w:val="CharDefText"/>
        </w:rPr>
        <w:t>block</w:t>
      </w:r>
      <w:r>
        <w:rPr>
          <w:b/>
        </w:rPr>
        <w:t>”</w:t>
      </w:r>
      <w:r>
        <w:t xml:space="preserve"> means a block constituted as provided by section 17;</w:t>
      </w:r>
    </w:p>
    <w:p>
      <w:pPr>
        <w:pStyle w:val="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 and any Act of the Commonwealth with which that Act is incorporated;</w:t>
      </w:r>
    </w:p>
    <w:p>
      <w:pPr>
        <w:pStyle w:val="Defstart"/>
        <w:rPr>
          <w:ins w:id="25" w:author="svcMRProcess" w:date="2020-02-19T21:14:00Z"/>
        </w:rPr>
      </w:pPr>
      <w:ins w:id="26" w:author="svcMRProcess" w:date="2020-02-19T21:14:00Z">
        <w:r>
          <w:rPr>
            <w:b/>
          </w:rPr>
          <w:tab/>
          <w:t>“</w:t>
        </w:r>
        <w:r>
          <w:rPr>
            <w:rStyle w:val="CharDefText"/>
          </w:rPr>
          <w:t>Commonwealth Minister</w:t>
        </w:r>
        <w:r>
          <w:rPr>
            <w:b/>
          </w:rPr>
          <w:t xml:space="preserve">” </w:t>
        </w:r>
        <w:r>
          <w:rPr>
            <w:bCs/>
          </w:rPr>
          <w:t>means the Minister of the Crown in right of the Commonwealth for the time being administering the Commonwealth Act, and includes another Minister for the time being acting for and on behalf of that Minister;</w:t>
        </w:r>
      </w:ins>
    </w:p>
    <w:p>
      <w:pPr>
        <w:pStyle w:val="Defstart"/>
      </w:pPr>
      <w:r>
        <w:rPr>
          <w:b/>
        </w:rPr>
        <w:tab/>
        <w:t>“</w:t>
      </w:r>
      <w:r>
        <w:rPr>
          <w:rStyle w:val="CharDefText"/>
        </w:rPr>
        <w:t>construct</w:t>
      </w:r>
      <w:r>
        <w:rPr>
          <w:b/>
        </w:rPr>
        <w:t>”</w:t>
      </w:r>
      <w:r>
        <w:t xml:space="preserve"> includes </w:t>
      </w:r>
      <w:r>
        <w:rPr>
          <w:b/>
        </w:rPr>
        <w:t>“</w:t>
      </w:r>
      <w:r>
        <w:rPr>
          <w:rStyle w:val="CharDefText"/>
        </w:rPr>
        <w:t>place</w:t>
      </w:r>
      <w:r>
        <w:rPr>
          <w:b/>
        </w:rPr>
        <w:t>”</w:t>
      </w:r>
      <w:r>
        <w:t xml:space="preserve"> and </w:t>
      </w:r>
      <w:r>
        <w:rPr>
          <w:b/>
        </w:rPr>
        <w:t>“</w:t>
      </w:r>
      <w:r>
        <w:rPr>
          <w:rStyle w:val="CharDefText"/>
        </w:rPr>
        <w:t>construction</w:t>
      </w:r>
      <w:r>
        <w:rPr>
          <w:b/>
        </w:rPr>
        <w:t>”</w:t>
      </w:r>
      <w:r>
        <w:t xml:space="preserve"> has a corresponding meaning;</w:t>
      </w:r>
    </w:p>
    <w:p>
      <w:pPr>
        <w:pStyle w:val="Defstart"/>
      </w:pPr>
      <w:r>
        <w:rPr>
          <w:b/>
        </w:rPr>
        <w:tab/>
        <w:t>“</w:t>
      </w:r>
      <w:r>
        <w:rPr>
          <w:rStyle w:val="CharDefText"/>
        </w:rPr>
        <w:t>Convention</w:t>
      </w:r>
      <w:r>
        <w:rPr>
          <w:b/>
        </w:rPr>
        <w:t>”</w:t>
      </w:r>
      <w:r>
        <w:t xml:space="preserve"> means the Convention entitled </w:t>
      </w:r>
      <w:r>
        <w:rPr>
          <w:b/>
        </w:rPr>
        <w:t>“Convention on the Continental Shelf”</w:t>
      </w:r>
      <w:r>
        <w:t xml:space="preserve"> signed at Geneva on 29 April 1958, being the Convention a copy of which in the English language is set out in Schedule 1;</w:t>
      </w:r>
    </w:p>
    <w:p>
      <w:pPr>
        <w:pStyle w:val="Defstart"/>
        <w:rPr>
          <w:spacing w:val="-2"/>
        </w:rPr>
      </w:pPr>
      <w:r>
        <w:rPr>
          <w:b/>
          <w:spacing w:val="-2"/>
        </w:rPr>
        <w:tab/>
        <w:t>“</w:t>
      </w:r>
      <w:r>
        <w:rPr>
          <w:rStyle w:val="CharDefText"/>
          <w:spacing w:val="-2"/>
        </w:rPr>
        <w:t>corresponding law</w:t>
      </w:r>
      <w:r>
        <w:rPr>
          <w:b/>
          <w:spacing w:val="-2"/>
        </w:rPr>
        <w:t>”</w:t>
      </w:r>
      <w:r>
        <w:rPr>
          <w:spacing w:val="-2"/>
        </w:rPr>
        <w:t xml:space="preserve"> means an Act of another State or a law in force in a Territory of the Commonwealth giving effect to the agreement between the Commonwealth, the States and the Northern Territory referred to in the preamble to this Act;</w:t>
      </w:r>
    </w:p>
    <w:p>
      <w:pPr>
        <w:pStyle w:val="Defstart"/>
      </w:pPr>
      <w:r>
        <w:rPr>
          <w:b/>
        </w:rPr>
        <w:tab/>
        <w:t>“</w:t>
      </w:r>
      <w:r>
        <w:rPr>
          <w:rStyle w:val="CharDefText"/>
        </w:rPr>
        <w:t>Division</w:t>
      </w:r>
      <w:r>
        <w:rPr>
          <w:b/>
        </w:rPr>
        <w:t>”</w:t>
      </w:r>
      <w:r>
        <w:t xml:space="preserve"> means a Division of the Part in which the term appears;</w:t>
      </w:r>
    </w:p>
    <w:p>
      <w:pPr>
        <w:pStyle w:val="Defstart"/>
      </w:pPr>
      <w:r>
        <w:rPr>
          <w:b/>
        </w:rPr>
        <w:tab/>
        <w:t>“</w:t>
      </w:r>
      <w:r>
        <w:rPr>
          <w:rStyle w:val="CharDefText"/>
        </w:rPr>
        <w:t>document</w:t>
      </w:r>
      <w:r>
        <w:rPr>
          <w:b/>
        </w:rPr>
        <w:t>”</w:t>
      </w:r>
      <w:r>
        <w:t xml:space="preserve"> includes any map, book, record or writing;</w:t>
      </w:r>
    </w:p>
    <w:p>
      <w:pPr>
        <w:pStyle w:val="Defstart"/>
        <w:rPr>
          <w:ins w:id="27" w:author="svcMRProcess" w:date="2020-02-19T21:14:00Z"/>
        </w:rPr>
      </w:pPr>
      <w:ins w:id="28" w:author="svcMRProcess" w:date="2020-02-19T21:14:00Z">
        <w:r>
          <w:tab/>
        </w:r>
        <w:r>
          <w:rPr>
            <w:b/>
          </w:rPr>
          <w:t>“</w:t>
        </w:r>
        <w:r>
          <w:rPr>
            <w:rStyle w:val="CharDefText"/>
          </w:rPr>
          <w:t>facility</w:t>
        </w:r>
        <w:r>
          <w:rPr>
            <w:b/>
          </w:rPr>
          <w:t>”</w:t>
        </w:r>
        <w:r>
          <w:t xml:space="preserve"> has the same meaning as in Schedule 5;</w:t>
        </w:r>
      </w:ins>
    </w:p>
    <w:p>
      <w:pPr>
        <w:pStyle w:val="Defstart"/>
      </w:pPr>
      <w:r>
        <w:rPr>
          <w:b/>
        </w:rPr>
        <w:tab/>
        <w:t>“</w:t>
      </w:r>
      <w:r>
        <w:rPr>
          <w:rStyle w:val="CharDefText"/>
        </w:rPr>
        <w:t>good oil</w:t>
      </w:r>
      <w:r>
        <w:rPr>
          <w:rStyle w:val="CharDefText"/>
        </w:rPr>
        <w:noBreakHyphen/>
        <w:t>field practice</w:t>
      </w:r>
      <w:r>
        <w:rPr>
          <w:b/>
        </w:rPr>
        <w:t>”</w:t>
      </w:r>
      <w:r>
        <w:t xml:space="preserve"> means all those things that are generally accepted as good and safe in the carrying on of exploration for petroleum, or in operations for the recovery of petroleum, as the case may be;</w:t>
      </w:r>
    </w:p>
    <w:p>
      <w:pPr>
        <w:pStyle w:val="Defstart"/>
      </w:pPr>
      <w:r>
        <w:rPr>
          <w:b/>
        </w:rPr>
        <w:tab/>
        <w:t>“</w:t>
      </w:r>
      <w:r>
        <w:rPr>
          <w:rStyle w:val="CharDefText"/>
        </w:rPr>
        <w:t>graticular section</w:t>
      </w:r>
      <w:r>
        <w:rPr>
          <w:b/>
        </w:rPr>
        <w:t>”</w:t>
      </w:r>
      <w:r>
        <w:t xml:space="preserve"> means a section referred to in section 17;</w:t>
      </w:r>
    </w:p>
    <w:p>
      <w:pPr>
        <w:pStyle w:val="Defstart"/>
      </w:pPr>
      <w:r>
        <w:rPr>
          <w:b/>
        </w:rPr>
        <w:tab/>
        <w:t>“</w:t>
      </w:r>
      <w:r>
        <w:rPr>
          <w:rStyle w:val="CharDefText"/>
        </w:rPr>
        <w:t>inspector</w:t>
      </w:r>
      <w:r>
        <w:rPr>
          <w:b/>
        </w:rPr>
        <w:t>”</w:t>
      </w:r>
      <w:r>
        <w:t xml:space="preserve"> means a person appointed under section 125;</w:t>
      </w:r>
    </w:p>
    <w:p>
      <w:pPr>
        <w:pStyle w:val="Defstart"/>
        <w:rPr>
          <w:ins w:id="29" w:author="svcMRProcess" w:date="2020-02-19T21:14:00Z"/>
        </w:rPr>
      </w:pPr>
      <w:ins w:id="30" w:author="svcMRProcess" w:date="2020-02-19T21:14:00Z">
        <w:r>
          <w:rPr>
            <w:b/>
          </w:rPr>
          <w:tab/>
          <w:t>“</w:t>
        </w:r>
        <w:r>
          <w:rPr>
            <w:rStyle w:val="CharDefText"/>
          </w:rPr>
          <w:t>interstate Minister</w:t>
        </w:r>
        <w:r>
          <w:rPr>
            <w:b/>
          </w:rPr>
          <w:t>”</w:t>
        </w:r>
        <w:r>
          <w:t xml:space="preserve"> means the Minister of the Crown in right of a State (other than Western Australia) or of the Northern Territory who is for the time being authorised under the law of that State or Territory to perform the functions of a Designated Authority under the Commonwealth Act;</w:t>
        </w:r>
      </w:ins>
    </w:p>
    <w:p>
      <w:pPr>
        <w:pStyle w:val="Defstart"/>
      </w:pPr>
      <w:r>
        <w:rPr>
          <w:b/>
        </w:rPr>
        <w:tab/>
        <w:t>“</w:t>
      </w:r>
      <w:r>
        <w:rPr>
          <w:rStyle w:val="CharDefText"/>
        </w:rPr>
        <w:t>Joint Authority</w:t>
      </w:r>
      <w:r>
        <w:rPr>
          <w:b/>
        </w:rPr>
        <w:t>”</w:t>
      </w:r>
      <w:r>
        <w:t xml:space="preserve"> means the Commonwealth</w:t>
      </w:r>
      <w:r>
        <w:noBreakHyphen/>
        <w:t>Western Australia Offshore Petroleum Joint Authority established by the Commonwealth Act;</w:t>
      </w:r>
    </w:p>
    <w:p>
      <w:pPr>
        <w:pStyle w:val="Defstart"/>
      </w:pPr>
      <w:r>
        <w:rPr>
          <w:b/>
        </w:rPr>
        <w:tab/>
        <w:t>“</w:t>
      </w:r>
      <w:r>
        <w:rPr>
          <w:rStyle w:val="CharDefText"/>
        </w:rPr>
        <w:t>lease</w:t>
      </w:r>
      <w:r>
        <w:rPr>
          <w:b/>
        </w:rPr>
        <w:t>”</w:t>
      </w:r>
      <w:r>
        <w:t xml:space="preserve"> means a retention lease under Part III;</w:t>
      </w:r>
    </w:p>
    <w:p>
      <w:pPr>
        <w:pStyle w:val="Defstart"/>
      </w:pPr>
      <w:r>
        <w:rPr>
          <w:b/>
        </w:rPr>
        <w:tab/>
        <w:t>“</w:t>
      </w:r>
      <w:r>
        <w:rPr>
          <w:rStyle w:val="CharDefText"/>
        </w:rPr>
        <w:t>lease area</w:t>
      </w:r>
      <w:r>
        <w:rPr>
          <w:b/>
        </w:rPr>
        <w:t>”</w:t>
      </w:r>
      <w:r>
        <w:t xml:space="preserve"> means the area constituted by the blocks that are the subject of a lease;</w:t>
      </w:r>
    </w:p>
    <w:p>
      <w:pPr>
        <w:pStyle w:val="Defstart"/>
      </w:pPr>
      <w:r>
        <w:rPr>
          <w:b/>
        </w:rPr>
        <w:tab/>
        <w:t>“</w:t>
      </w:r>
      <w:r>
        <w:rPr>
          <w:rStyle w:val="CharDefText"/>
        </w:rPr>
        <w:t>lessee</w:t>
      </w:r>
      <w:r>
        <w:rPr>
          <w:b/>
        </w:rPr>
        <w:t>”</w:t>
      </w:r>
      <w:r>
        <w:t xml:space="preserve"> means the registered holder of a lease;</w:t>
      </w:r>
    </w:p>
    <w:p>
      <w:pPr>
        <w:pStyle w:val="Defstart"/>
      </w:pPr>
      <w:r>
        <w:rPr>
          <w:b/>
        </w:rPr>
        <w:tab/>
        <w:t>“</w:t>
      </w:r>
      <w:r>
        <w:rPr>
          <w:rStyle w:val="CharDefText"/>
        </w:rPr>
        <w:t>licence</w:t>
      </w:r>
      <w:r>
        <w:rPr>
          <w:b/>
        </w:rPr>
        <w:t>”</w:t>
      </w:r>
      <w:r>
        <w:t xml:space="preserve"> means a production licence for petroleum under Part III;</w:t>
      </w:r>
    </w:p>
    <w:p>
      <w:pPr>
        <w:pStyle w:val="Defstart"/>
      </w:pPr>
      <w:r>
        <w:rPr>
          <w:b/>
        </w:rPr>
        <w:tab/>
        <w:t>“</w:t>
      </w:r>
      <w:r>
        <w:rPr>
          <w:rStyle w:val="CharDefText"/>
        </w:rPr>
        <w:t>licence area</w:t>
      </w:r>
      <w:r>
        <w:rPr>
          <w:b/>
        </w:rPr>
        <w:t>”</w:t>
      </w:r>
      <w:r>
        <w:t xml:space="preserve"> means the area constituted by the blocks that are the subject of a licence;</w:t>
      </w:r>
    </w:p>
    <w:p>
      <w:pPr>
        <w:pStyle w:val="Defstart"/>
      </w:pPr>
      <w:r>
        <w:rPr>
          <w:b/>
        </w:rPr>
        <w:tab/>
        <w:t>“</w:t>
      </w:r>
      <w:r>
        <w:rPr>
          <w:rStyle w:val="CharDefText"/>
        </w:rPr>
        <w:t>licensee</w:t>
      </w:r>
      <w:r>
        <w:rPr>
          <w:b/>
        </w:rPr>
        <w:t>”</w:t>
      </w:r>
      <w:r>
        <w:t xml:space="preserve"> means the registered holder of a licence;</w:t>
      </w:r>
    </w:p>
    <w:p>
      <w:pPr>
        <w:pStyle w:val="Defstart"/>
        <w:rPr>
          <w:ins w:id="31" w:author="svcMRProcess" w:date="2020-02-19T21:14:00Z"/>
        </w:rPr>
      </w:pPr>
      <w:ins w:id="32" w:author="svcMRProcess" w:date="2020-02-19T21:14:00Z">
        <w:r>
          <w:rPr>
            <w:b/>
          </w:rPr>
          <w:tab/>
          <w:t>“</w:t>
        </w:r>
        <w:r>
          <w:rPr>
            <w:rStyle w:val="CharDefText"/>
          </w:rPr>
          <w:t>listed OSH law</w:t>
        </w:r>
        <w:r>
          <w:rPr>
            <w:b/>
          </w:rPr>
          <w:t>”</w:t>
        </w:r>
        <w:r>
          <w:t xml:space="preserve"> has the meaning given in section 151C;</w:t>
        </w:r>
      </w:ins>
    </w:p>
    <w:p>
      <w:pPr>
        <w:pStyle w:val="Defstart"/>
      </w:pPr>
      <w:r>
        <w:rPr>
          <w:b/>
        </w:rPr>
        <w:tab/>
        <w:t>“</w:t>
      </w:r>
      <w:r>
        <w:rPr>
          <w:rStyle w:val="CharDefText"/>
        </w:rPr>
        <w:t>location</w:t>
      </w:r>
      <w:r>
        <w:rPr>
          <w:b/>
        </w:rPr>
        <w:t>”</w:t>
      </w:r>
      <w:r>
        <w:t xml:space="preserve"> means a block or blocks in respect of which a declaration under section 37 is in force;</w:t>
      </w:r>
    </w:p>
    <w:p>
      <w:pPr>
        <w:pStyle w:val="Defstart"/>
        <w:rPr>
          <w:spacing w:val="-2"/>
        </w:rPr>
      </w:pPr>
      <w:r>
        <w:rPr>
          <w:b/>
          <w:spacing w:val="-2"/>
        </w:rPr>
        <w:tab/>
        <w:t>“</w:t>
      </w:r>
      <w:r>
        <w:rPr>
          <w:rStyle w:val="CharDefText"/>
          <w:spacing w:val="-2"/>
        </w:rPr>
        <w:t>natural resources</w:t>
      </w:r>
      <w:r>
        <w:rPr>
          <w:b/>
          <w:spacing w:val="-2"/>
        </w:rPr>
        <w:t>”</w:t>
      </w:r>
      <w:r>
        <w:rPr>
          <w:spacing w:val="-2"/>
        </w:rPr>
        <w:t xml:space="preserve"> has the same meaning as in the Convention;</w:t>
      </w:r>
    </w:p>
    <w:p>
      <w:pPr>
        <w:pStyle w:val="Defstart"/>
        <w:rPr>
          <w:ins w:id="33" w:author="svcMRProcess" w:date="2020-02-19T21:14:00Z"/>
        </w:rPr>
      </w:pPr>
      <w:ins w:id="34" w:author="svcMRProcess" w:date="2020-02-19T21:14:00Z">
        <w:r>
          <w:tab/>
        </w:r>
        <w:r>
          <w:rPr>
            <w:b/>
          </w:rPr>
          <w:t>“</w:t>
        </w:r>
        <w:r>
          <w:rPr>
            <w:rStyle w:val="CharDefText"/>
          </w:rPr>
          <w:t>offshore petroleum operation</w:t>
        </w:r>
        <w:r>
          <w:rPr>
            <w:b/>
          </w:rPr>
          <w:t>”</w:t>
        </w:r>
        <w:r>
          <w:t xml:space="preserve"> means any operation (including a diving operation) that — </w:t>
        </w:r>
      </w:ins>
    </w:p>
    <w:p>
      <w:pPr>
        <w:pStyle w:val="Defpara"/>
        <w:rPr>
          <w:ins w:id="35" w:author="svcMRProcess" w:date="2020-02-19T21:14:00Z"/>
        </w:rPr>
      </w:pPr>
      <w:ins w:id="36" w:author="svcMRProcess" w:date="2020-02-19T21:14:00Z">
        <w:r>
          <w:tab/>
          <w:t>(a)</w:t>
        </w:r>
        <w:r>
          <w:tab/>
          <w:t xml:space="preserve">relates to — </w:t>
        </w:r>
      </w:ins>
    </w:p>
    <w:p>
      <w:pPr>
        <w:pStyle w:val="Defsubpara"/>
        <w:rPr>
          <w:ins w:id="37" w:author="svcMRProcess" w:date="2020-02-19T21:14:00Z"/>
        </w:rPr>
      </w:pPr>
      <w:ins w:id="38" w:author="svcMRProcess" w:date="2020-02-19T21:14:00Z">
        <w:r>
          <w:tab/>
          <w:t>(i)</w:t>
        </w:r>
        <w:r>
          <w:tab/>
          <w:t>the exploration for petroleum; or</w:t>
        </w:r>
      </w:ins>
    </w:p>
    <w:p>
      <w:pPr>
        <w:pStyle w:val="Defsubpara"/>
        <w:rPr>
          <w:ins w:id="39" w:author="svcMRProcess" w:date="2020-02-19T21:14:00Z"/>
        </w:rPr>
      </w:pPr>
      <w:ins w:id="40" w:author="svcMRProcess" w:date="2020-02-19T21:14:00Z">
        <w:r>
          <w:tab/>
          <w:t>(ii)</w:t>
        </w:r>
        <w:r>
          <w:tab/>
          <w:t>the recovery, processing, storage, offloading or piped conveyance of petroleum;</w:t>
        </w:r>
      </w:ins>
    </w:p>
    <w:p>
      <w:pPr>
        <w:pStyle w:val="Defpara"/>
        <w:rPr>
          <w:ins w:id="41" w:author="svcMRProcess" w:date="2020-02-19T21:14:00Z"/>
        </w:rPr>
      </w:pPr>
      <w:ins w:id="42" w:author="svcMRProcess" w:date="2020-02-19T21:14:00Z">
        <w:r>
          <w:tab/>
          <w:t>(b)</w:t>
        </w:r>
        <w:r>
          <w:tab/>
          <w:t>if the operation is a diving operation, takes place in the adjacent area; and</w:t>
        </w:r>
      </w:ins>
    </w:p>
    <w:p>
      <w:pPr>
        <w:pStyle w:val="Defpara"/>
        <w:rPr>
          <w:ins w:id="43" w:author="svcMRProcess" w:date="2020-02-19T21:14:00Z"/>
        </w:rPr>
      </w:pPr>
      <w:ins w:id="44" w:author="svcMRProcess" w:date="2020-02-19T21:14:00Z">
        <w:r>
          <w:tab/>
          <w:t>(c)</w:t>
        </w:r>
        <w:r>
          <w:tab/>
          <w:t>if the operation is not a diving operation, takes place at a facility;</w:t>
        </w:r>
      </w:ins>
    </w:p>
    <w:p>
      <w:pPr>
        <w:pStyle w:val="Defstart"/>
        <w:rPr>
          <w:ins w:id="45" w:author="svcMRProcess" w:date="2020-02-19T21:14:00Z"/>
        </w:rPr>
      </w:pPr>
      <w:ins w:id="46" w:author="svcMRProcess" w:date="2020-02-19T21:14:00Z">
        <w:r>
          <w:tab/>
        </w:r>
        <w:r>
          <w:rPr>
            <w:b/>
            <w:bCs/>
          </w:rPr>
          <w:t>“</w:t>
        </w:r>
        <w:r>
          <w:rPr>
            <w:rStyle w:val="CharDefText"/>
          </w:rPr>
          <w:t>OHS inspector</w:t>
        </w:r>
        <w:r>
          <w:rPr>
            <w:b/>
            <w:bCs/>
          </w:rPr>
          <w:t>”</w:t>
        </w:r>
        <w:r>
          <w:t xml:space="preserve"> means an OHS inspector appointed under the Commonwealth Act;</w:t>
        </w:r>
      </w:ins>
    </w:p>
    <w:p>
      <w:pPr>
        <w:pStyle w:val="Defstart"/>
        <w:keepNext/>
      </w:pPr>
      <w:r>
        <w:rPr>
          <w:b/>
        </w:rPr>
        <w:tab/>
        <w:t>“</w:t>
      </w:r>
      <w:r>
        <w:rPr>
          <w:rStyle w:val="CharDefText"/>
        </w:rPr>
        <w:t>partly cancelled</w:t>
      </w:r>
      <w:r>
        <w:rPr>
          <w:b/>
        </w:rPr>
        <w:t>”</w:t>
      </w:r>
      <w:r>
        <w:t xml:space="preserve"> means — </w:t>
      </w:r>
    </w:p>
    <w:p>
      <w:pPr>
        <w:pStyle w:val="Defpara"/>
      </w:pPr>
      <w:r>
        <w:tab/>
        <w:t>(a)</w:t>
      </w:r>
      <w:r>
        <w:tab/>
        <w:t>in relation to a permit or lease or licence, cancelled as to one or more but not all of the blocks the subject of the permit or lease or licence; and</w:t>
      </w:r>
    </w:p>
    <w:p>
      <w:pPr>
        <w:pStyle w:val="Defpara"/>
      </w:pPr>
      <w:r>
        <w:tab/>
        <w:t>(b)</w:t>
      </w:r>
      <w:r>
        <w:tab/>
        <w:t>in relation to a pipeline licence, cancelled as to a part of the pipeline the subject of the licence;</w:t>
      </w:r>
    </w:p>
    <w:p>
      <w:pPr>
        <w:pStyle w:val="Defstart"/>
      </w:pPr>
      <w:r>
        <w:rPr>
          <w:b/>
        </w:rPr>
        <w:tab/>
        <w:t>“</w:t>
      </w:r>
      <w:r>
        <w:rPr>
          <w:rStyle w:val="CharDefText"/>
        </w:rPr>
        <w:t>partly determined</w:t>
      </w:r>
      <w:r>
        <w:rPr>
          <w:b/>
        </w:rPr>
        <w:t>”</w:t>
      </w:r>
      <w:r>
        <w:t>, in relation to a permit or lease, means determined as to one or more but not all of the blocks the subject of the permit or lease;</w:t>
      </w:r>
    </w:p>
    <w:p>
      <w:pPr>
        <w:pStyle w:val="Defstart"/>
      </w:pPr>
      <w:r>
        <w:rPr>
          <w:b/>
        </w:rPr>
        <w:tab/>
        <w:t>“</w:t>
      </w:r>
      <w:r>
        <w:rPr>
          <w:rStyle w:val="CharDefText"/>
        </w:rPr>
        <w:t>permit</w:t>
      </w:r>
      <w:r>
        <w:rPr>
          <w:b/>
        </w:rPr>
        <w:t>”</w:t>
      </w:r>
      <w:r>
        <w:t xml:space="preserve"> means an exploration permit for petroleum under Part III;</w:t>
      </w:r>
    </w:p>
    <w:p>
      <w:pPr>
        <w:pStyle w:val="Defstart"/>
      </w:pPr>
      <w:r>
        <w:rPr>
          <w:b/>
        </w:rPr>
        <w:tab/>
        <w:t>“</w:t>
      </w:r>
      <w:r>
        <w:rPr>
          <w:rStyle w:val="CharDefText"/>
        </w:rPr>
        <w:t>permit area</w:t>
      </w:r>
      <w:r>
        <w:rPr>
          <w:b/>
        </w:rPr>
        <w:t>”</w:t>
      </w:r>
      <w:r>
        <w:t xml:space="preserve"> means the area constituted by the blocks that are the subject of a permit;</w:t>
      </w:r>
    </w:p>
    <w:p>
      <w:pPr>
        <w:pStyle w:val="Defstart"/>
      </w:pPr>
      <w:r>
        <w:rPr>
          <w:b/>
        </w:rPr>
        <w:tab/>
        <w:t>“</w:t>
      </w:r>
      <w:r>
        <w:rPr>
          <w:rStyle w:val="CharDefText"/>
        </w:rPr>
        <w:t>permittee</w:t>
      </w:r>
      <w:r>
        <w:rPr>
          <w:b/>
        </w:rPr>
        <w:t>”</w:t>
      </w:r>
      <w:r>
        <w:t xml:space="preserve"> means the registered holder of a permit;</w:t>
      </w:r>
    </w:p>
    <w:p>
      <w:pPr>
        <w:pStyle w:val="Defstart"/>
      </w:pPr>
      <w:r>
        <w:rPr>
          <w:b/>
        </w:rPr>
        <w:tab/>
        <w:t>“</w:t>
      </w:r>
      <w:r>
        <w:rPr>
          <w:rStyle w:val="CharDefText"/>
        </w:rPr>
        <w:t>petroleum</w:t>
      </w:r>
      <w:r>
        <w:rPr>
          <w:b/>
        </w:rPr>
        <w:t>”</w:t>
      </w:r>
      <w:r>
        <w:t xml:space="preserve"> means —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w:t>
      </w:r>
      <w:r>
        <w:noBreakHyphen/>
        <w:t>sulphide, nitrogen, helium and carbon</w:t>
      </w:r>
      <w:r>
        <w:noBreakHyphen/>
        <w:t>dioxide,</w:t>
      </w:r>
    </w:p>
    <w:p>
      <w:pPr>
        <w:pStyle w:val="Defstart"/>
      </w:pPr>
      <w:r>
        <w:tab/>
      </w:r>
      <w:r>
        <w:tab/>
        <w:t>and includes any petroleum as defined by paragraph (a), (b) or (c) that has been returned to a natural reservoir in the adjacent area;</w:t>
      </w:r>
    </w:p>
    <w:p>
      <w:pPr>
        <w:pStyle w:val="Defstart"/>
      </w:pPr>
      <w:r>
        <w:rPr>
          <w:b/>
        </w:rPr>
        <w:tab/>
        <w:t>“</w:t>
      </w:r>
      <w:r>
        <w:rPr>
          <w:rStyle w:val="CharDefText"/>
        </w:rPr>
        <w:t>petroleum pool</w:t>
      </w:r>
      <w:r>
        <w:rPr>
          <w:b/>
        </w:rPr>
        <w:t>”</w:t>
      </w:r>
      <w:r>
        <w:t xml:space="preserve"> means a naturally occurring discrete accumulation of petroleum;</w:t>
      </w:r>
    </w:p>
    <w:p>
      <w:pPr>
        <w:pStyle w:val="Defstart"/>
      </w:pPr>
      <w:r>
        <w:rPr>
          <w:b/>
        </w:rPr>
        <w:tab/>
        <w:t>“</w:t>
      </w:r>
      <w:r>
        <w:rPr>
          <w:rStyle w:val="CharDefText"/>
        </w:rPr>
        <w:t>pipeline</w:t>
      </w:r>
      <w:r>
        <w:rPr>
          <w:b/>
        </w:rPr>
        <w:t>”</w:t>
      </w:r>
      <w:r>
        <w:t xml:space="preserve"> means a pipe or system of pipes in the adjacent area within the meaning of section 59A for conveying petroleum but does not include a pipe or system of pipes — </w:t>
      </w:r>
    </w:p>
    <w:p>
      <w:pPr>
        <w:pStyle w:val="Defpara"/>
      </w:pPr>
      <w:r>
        <w:tab/>
        <w:t>(a)</w:t>
      </w:r>
      <w:r>
        <w:tab/>
        <w:t>for returning petroleum to a natural reservoir;</w:t>
      </w:r>
    </w:p>
    <w:p>
      <w:pPr>
        <w:pStyle w:val="Defpara"/>
      </w:pPr>
      <w:r>
        <w:tab/>
        <w:t>(b)</w:t>
      </w:r>
      <w:r>
        <w:tab/>
        <w:t>for conveying petroleum for use for the purposes of petroleum exploration operations or operations for the recovery of petroleum;</w:t>
      </w:r>
    </w:p>
    <w:p>
      <w:pPr>
        <w:pStyle w:val="Defpara"/>
      </w:pPr>
      <w:r>
        <w:tab/>
        <w:t>(c)</w:t>
      </w:r>
      <w:r>
        <w:tab/>
        <w:t>for conveying petroleum that is to be flared or vented; or</w:t>
      </w:r>
    </w:p>
    <w:p>
      <w:pPr>
        <w:pStyle w:val="Defpara"/>
      </w:pPr>
      <w:r>
        <w:tab/>
        <w:t>(d)</w:t>
      </w:r>
      <w:r>
        <w:tab/>
        <w:t>for conveying petroleum from a well to a terminal station without passing through another terminal station, whether the terminal station to which the petroleum is conveyed is in that adjacent area or not;</w:t>
      </w:r>
    </w:p>
    <w:p>
      <w:pPr>
        <w:pStyle w:val="Defstart"/>
      </w:pPr>
      <w:r>
        <w:rPr>
          <w:b/>
        </w:rPr>
        <w:tab/>
        <w:t>“</w:t>
      </w:r>
      <w:r>
        <w:rPr>
          <w:rStyle w:val="CharDefText"/>
        </w:rPr>
        <w:t>pipeline licence</w:t>
      </w:r>
      <w:r>
        <w:rPr>
          <w:b/>
        </w:rPr>
        <w:t>”</w:t>
      </w:r>
      <w:r>
        <w:t xml:space="preserve"> means a licence under Part III to construct and operate a pipeline;</w:t>
      </w:r>
    </w:p>
    <w:p>
      <w:pPr>
        <w:pStyle w:val="Defstart"/>
      </w:pPr>
      <w:r>
        <w:rPr>
          <w:b/>
        </w:rPr>
        <w:tab/>
        <w:t>“</w:t>
      </w:r>
      <w:r>
        <w:rPr>
          <w:rStyle w:val="CharDefText"/>
        </w:rPr>
        <w:t>pipeline licensee</w:t>
      </w:r>
      <w:r>
        <w:rPr>
          <w:b/>
        </w:rPr>
        <w:t>”</w:t>
      </w:r>
      <w:r>
        <w:t xml:space="preserve"> means the registered holder of a pipeline licence;</w:t>
      </w:r>
    </w:p>
    <w:p>
      <w:pPr>
        <w:pStyle w:val="Defstart"/>
      </w:pPr>
      <w:r>
        <w:rPr>
          <w:b/>
        </w:rPr>
        <w:tab/>
        <w:t>“</w:t>
      </w:r>
      <w:r>
        <w:rPr>
          <w:rStyle w:val="CharDefText"/>
        </w:rPr>
        <w:t>primary entitlement</w:t>
      </w:r>
      <w:r>
        <w:rPr>
          <w:b/>
        </w:rPr>
        <w:t>”</w:t>
      </w:r>
      <w:r>
        <w:t xml:space="preserve"> means — </w:t>
      </w:r>
    </w:p>
    <w:p>
      <w:pPr>
        <w:pStyle w:val="Defpara"/>
      </w:pPr>
      <w:r>
        <w:tab/>
        <w:t>(a)</w:t>
      </w:r>
      <w:r>
        <w:tab/>
        <w:t>in relation to a permittee, the number of blocks forming part of a location in the permit area in respect of which that permittee may make an application under section 40(1); and</w:t>
      </w:r>
    </w:p>
    <w:p>
      <w:pPr>
        <w:pStyle w:val="Defpara"/>
      </w:pPr>
      <w:r>
        <w:tab/>
        <w:t>(b)</w:t>
      </w:r>
      <w:r>
        <w:tab/>
        <w:t>in relation to a lessee, the number of blocks in the lease area in respect of which that lessee may make an application under section 40A(1);</w:t>
      </w:r>
    </w:p>
    <w:p>
      <w:pPr>
        <w:pStyle w:val="Defstart"/>
      </w:pPr>
      <w:r>
        <w:rPr>
          <w:b/>
        </w:rPr>
        <w:tab/>
        <w:t>“</w:t>
      </w:r>
      <w:r>
        <w:rPr>
          <w:rStyle w:val="CharDefText"/>
        </w:rPr>
        <w:t>primary licence</w:t>
      </w:r>
      <w:r>
        <w:rPr>
          <w:b/>
        </w:rPr>
        <w:t>”</w:t>
      </w:r>
      <w:r>
        <w:t xml:space="preserve"> means a licence granted on an application under section 40(1) or (2) or 40A(1) or (2);</w:t>
      </w:r>
    </w:p>
    <w:p>
      <w:pPr>
        <w:pStyle w:val="Defstart"/>
      </w:pPr>
      <w:r>
        <w:rPr>
          <w:b/>
        </w:rPr>
        <w:tab/>
        <w:t>“</w:t>
      </w:r>
      <w:r>
        <w:rPr>
          <w:rStyle w:val="CharDefText"/>
        </w:rPr>
        <w:t>pumping station</w:t>
      </w:r>
      <w:r>
        <w:rPr>
          <w:b/>
        </w:rPr>
        <w:t>”</w:t>
      </w:r>
      <w:r>
        <w:t xml:space="preserve"> means equipment for pumping petroleum or water and includes any structure associated with that equipment;</w:t>
      </w:r>
    </w:p>
    <w:p>
      <w:pPr>
        <w:pStyle w:val="Defstart"/>
      </w:pPr>
      <w:r>
        <w:rPr>
          <w:b/>
        </w:rPr>
        <w:tab/>
        <w:t>“</w:t>
      </w:r>
      <w:r>
        <w:rPr>
          <w:rStyle w:val="CharDefText"/>
        </w:rPr>
        <w:t>register</w:t>
      </w:r>
      <w:r>
        <w:rPr>
          <w:b/>
        </w:rPr>
        <w:t>”</w:t>
      </w:r>
      <w:r>
        <w:t xml:space="preserve"> means the register kept in pursuance of Division 5 of Part III;</w:t>
      </w:r>
    </w:p>
    <w:p>
      <w:pPr>
        <w:pStyle w:val="Defstart"/>
      </w:pPr>
      <w:r>
        <w:rPr>
          <w:b/>
        </w:rPr>
        <w:tab/>
        <w:t>“</w:t>
      </w:r>
      <w:r>
        <w:rPr>
          <w:rStyle w:val="CharDefText"/>
        </w:rPr>
        <w:t>registered holder</w:t>
      </w:r>
      <w:r>
        <w:rPr>
          <w:b/>
        </w:rPr>
        <w:t>”</w:t>
      </w:r>
      <w:r>
        <w:t>, in relation to a permit, lease, licence, pipeline licence, special prospecting authority or access authority, means the person whose name is for the time being shown in the register as being the holder of the permit, lease, licence, pipeline licence, special prospecting authority or access authority;</w:t>
      </w:r>
    </w:p>
    <w:p>
      <w:pPr>
        <w:pStyle w:val="Defstart"/>
      </w:pPr>
      <w:r>
        <w:rPr>
          <w:b/>
        </w:rPr>
        <w:tab/>
        <w:t>“</w:t>
      </w:r>
      <w:r>
        <w:rPr>
          <w:rStyle w:val="CharDefText"/>
        </w:rPr>
        <w:t>Registration Fees Act</w:t>
      </w:r>
      <w:r>
        <w:rPr>
          <w:b/>
        </w:rPr>
        <w:t>”</w:t>
      </w:r>
      <w:r>
        <w:t xml:space="preserve"> means the </w:t>
      </w:r>
      <w:r>
        <w:rPr>
          <w:i/>
        </w:rPr>
        <w:t>Petroleum (Submerged Lands) Registration Fees Act 1982</w:t>
      </w:r>
      <w:r>
        <w:t>;</w:t>
      </w:r>
    </w:p>
    <w:p>
      <w:pPr>
        <w:pStyle w:val="Defstart"/>
      </w:pPr>
      <w:r>
        <w:rPr>
          <w:b/>
        </w:rPr>
        <w:tab/>
        <w:t>“</w:t>
      </w:r>
      <w:r>
        <w:rPr>
          <w:rStyle w:val="CharDefText"/>
        </w:rPr>
        <w:t>regulations</w:t>
      </w:r>
      <w:r>
        <w:rPr>
          <w:b/>
        </w:rPr>
        <w:t>”</w:t>
      </w:r>
      <w:r>
        <w:t xml:space="preserve"> means regulations made under section 152;</w:t>
      </w:r>
    </w:p>
    <w:p>
      <w:pPr>
        <w:pStyle w:val="Defstart"/>
      </w:pPr>
      <w:r>
        <w:rPr>
          <w:b/>
        </w:rPr>
        <w:tab/>
        <w:t>“</w:t>
      </w:r>
      <w:r>
        <w:rPr>
          <w:rStyle w:val="CharDefText"/>
        </w:rPr>
        <w:t>relinquished area</w:t>
      </w:r>
      <w:r>
        <w:rPr>
          <w:b/>
        </w:rPr>
        <w:t>”</w:t>
      </w:r>
      <w:r>
        <w:t xml:space="preserve"> means — </w:t>
      </w:r>
    </w:p>
    <w:p>
      <w:pPr>
        <w:pStyle w:val="Defpara"/>
      </w:pPr>
      <w:r>
        <w:tab/>
        <w:t>(a)</w:t>
      </w:r>
      <w:r>
        <w:tab/>
        <w:t>in relation to a permit, lease or licence that has expired, the area constituted by the blocks in respect of which the permit, lease or licence was in force but has not been renewed;</w:t>
      </w:r>
    </w:p>
    <w:p>
      <w:pPr>
        <w:pStyle w:val="Defpara"/>
      </w:pPr>
      <w:r>
        <w:tab/>
        <w:t>(b)</w:t>
      </w:r>
      <w:r>
        <w:tab/>
        <w:t>in relation to a permit or lease that has been wholly determined or partly determined, the area constituted by the blocks as to which the permit or lease was so determined;</w:t>
      </w:r>
    </w:p>
    <w:p>
      <w:pPr>
        <w:pStyle w:val="Defpara"/>
      </w:pPr>
      <w:r>
        <w:tab/>
        <w:t>(c)</w:t>
      </w:r>
      <w:r>
        <w:tab/>
        <w:t>in relation to a permit or licence that has been wholly cancelled or partly cancelled, the area constituted by the blocks as to which the permit or licence was so cancelled;</w:t>
      </w:r>
    </w:p>
    <w:p>
      <w:pPr>
        <w:pStyle w:val="Defpara"/>
      </w:pPr>
      <w:r>
        <w:tab/>
        <w:t>(ca)</w:t>
      </w:r>
      <w:r>
        <w:tab/>
        <w:t>in relation to a lease that has been wholly cancelled, the area constituted by the blocks in respect of which the lease was in force;</w:t>
      </w:r>
    </w:p>
    <w:p>
      <w:pPr>
        <w:pStyle w:val="Defpara"/>
      </w:pPr>
      <w:r>
        <w:tab/>
        <w:t>(d)</w:t>
      </w:r>
      <w:r>
        <w:tab/>
        <w:t>in relation to a pipeline licence that is no longer in force, the part of the adjacent area in which the pipeline was constructed;</w:t>
      </w:r>
    </w:p>
    <w:p>
      <w:pPr>
        <w:pStyle w:val="Defpara"/>
      </w:pPr>
      <w:r>
        <w:tab/>
        <w:t>(e)</w:t>
      </w:r>
      <w:r>
        <w:tab/>
        <w:t>in relation to a pipeline licence that has been wholly cancelled or partly cancelled, the part of the adjacent area in which the pipeline or the part of the pipeline, as the case may be, was constructed; and</w:t>
      </w:r>
    </w:p>
    <w:p>
      <w:pPr>
        <w:pStyle w:val="Defpara"/>
      </w:pPr>
      <w:r>
        <w:tab/>
        <w:t>(f)</w:t>
      </w:r>
      <w:r>
        <w:tab/>
        <w:t>in relation to a special prospecting authority or access authority that has been surrendered or cancelled, or has expired, the area constituted by the blocks in respect of which that authority was in force;</w:t>
      </w:r>
    </w:p>
    <w:p>
      <w:pPr>
        <w:pStyle w:val="Defstart"/>
      </w:pPr>
      <w:r>
        <w:rPr>
          <w:b/>
        </w:rPr>
        <w:tab/>
        <w:t>“</w:t>
      </w:r>
      <w:r>
        <w:rPr>
          <w:rStyle w:val="CharDefText"/>
        </w:rPr>
        <w:t>royalty period</w:t>
      </w:r>
      <w:r>
        <w:rPr>
          <w:b/>
        </w:rPr>
        <w:t>”</w:t>
      </w:r>
      <w:r>
        <w:t>, in relation to a permit or licence, means — </w:t>
      </w:r>
    </w:p>
    <w:p>
      <w:pPr>
        <w:pStyle w:val="Defpara"/>
      </w:pPr>
      <w:r>
        <w:tab/>
        <w:t>(a)</w:t>
      </w:r>
      <w:r>
        <w:tab/>
        <w:t>the period from and including the date from which the permit or licence has effect to the end of the month of the year during which that date occurs; and</w:t>
      </w:r>
    </w:p>
    <w:p>
      <w:pPr>
        <w:pStyle w:val="Defpara"/>
      </w:pPr>
      <w:r>
        <w:tab/>
        <w:t>(b)</w:t>
      </w:r>
      <w:r>
        <w:tab/>
        <w:t>each month thereafter;</w:t>
      </w:r>
    </w:p>
    <w:p>
      <w:pPr>
        <w:pStyle w:val="Defstart"/>
      </w:pPr>
      <w:r>
        <w:rPr>
          <w:b/>
        </w:rPr>
        <w:tab/>
        <w:t>“</w:t>
      </w:r>
      <w:r>
        <w:rPr>
          <w:rStyle w:val="CharDefText"/>
        </w:rPr>
        <w:t>royalty value</w:t>
      </w:r>
      <w:r>
        <w:rPr>
          <w:b/>
        </w:rPr>
        <w:t>”</w:t>
      </w:r>
      <w:r>
        <w:t xml:space="preserve"> has the meaning applicable under section 145A(1) or (2);</w:t>
      </w:r>
    </w:p>
    <w:p>
      <w:pPr>
        <w:pStyle w:val="Defstart"/>
        <w:rPr>
          <w:ins w:id="47" w:author="svcMRProcess" w:date="2020-02-19T21:14:00Z"/>
        </w:rPr>
      </w:pPr>
      <w:ins w:id="48" w:author="svcMRProcess" w:date="2020-02-19T21:14:00Z">
        <w:r>
          <w:tab/>
        </w:r>
        <w:r>
          <w:rPr>
            <w:b/>
            <w:bCs/>
          </w:rPr>
          <w:t>“</w:t>
        </w:r>
        <w:r>
          <w:rPr>
            <w:rStyle w:val="CharDefText"/>
          </w:rPr>
          <w:t>Safety Authority</w:t>
        </w:r>
        <w:r>
          <w:rPr>
            <w:b/>
            <w:bCs/>
          </w:rPr>
          <w:t>”</w:t>
        </w:r>
        <w:r>
          <w:t xml:space="preserve"> means the National Offshore Petroleum Safety Authority under the Commonwealth Act;</w:t>
        </w:r>
      </w:ins>
    </w:p>
    <w:p>
      <w:pPr>
        <w:pStyle w:val="Defstart"/>
      </w:pPr>
      <w:r>
        <w:rPr>
          <w:b/>
        </w:rPr>
        <w:tab/>
        <w:t>“</w:t>
      </w:r>
      <w:r>
        <w:rPr>
          <w:rStyle w:val="CharDefText"/>
        </w:rPr>
        <w:t>secondary licence</w:t>
      </w:r>
      <w:r>
        <w:rPr>
          <w:b/>
        </w:rPr>
        <w:t>”</w:t>
      </w:r>
      <w:r>
        <w:t xml:space="preserve"> means a licence granted on an application under section 40(3) or 40A(3);</w:t>
      </w:r>
    </w:p>
    <w:p>
      <w:pPr>
        <w:pStyle w:val="Defstart"/>
      </w:pPr>
      <w:r>
        <w:rPr>
          <w:b/>
        </w:rPr>
        <w:tab/>
        <w:t>“</w:t>
      </w:r>
      <w:r>
        <w:rPr>
          <w:rStyle w:val="CharDefText"/>
        </w:rPr>
        <w:t>secondary line</w:t>
      </w:r>
      <w:r>
        <w:rPr>
          <w:b/>
        </w:rPr>
        <w:t>”</w:t>
      </w:r>
      <w:r>
        <w:t xml:space="preserve"> means a pipe or system of pipes for any purpose referred to in paragraphs (a), (b), (c) and (d) of the definition of </w:t>
      </w:r>
      <w:r>
        <w:rPr>
          <w:b/>
        </w:rPr>
        <w:t>“</w:t>
      </w:r>
      <w:r>
        <w:rPr>
          <w:rStyle w:val="CharDefText"/>
        </w:rPr>
        <w:t>pipeline</w:t>
      </w:r>
      <w:r>
        <w:rPr>
          <w:b/>
        </w:rPr>
        <w:t>”</w:t>
      </w:r>
      <w:r>
        <w:t>;</w:t>
      </w:r>
    </w:p>
    <w:p>
      <w:pPr>
        <w:pStyle w:val="Defstart"/>
      </w:pPr>
      <w:r>
        <w:rPr>
          <w:b/>
        </w:rPr>
        <w:tab/>
        <w:t>“</w:t>
      </w:r>
      <w:r>
        <w:rPr>
          <w:rStyle w:val="CharDefText"/>
        </w:rPr>
        <w:t>special prospecting authority</w:t>
      </w:r>
      <w:r>
        <w:rPr>
          <w:b/>
        </w:rPr>
        <w:t>”</w:t>
      </w:r>
      <w:r>
        <w:t xml:space="preserve"> means a special prospecting authority under Part III;</w:t>
      </w:r>
    </w:p>
    <w:p>
      <w:pPr>
        <w:pStyle w:val="Defstart"/>
      </w:pPr>
      <w:r>
        <w:rPr>
          <w:b/>
        </w:rPr>
        <w:tab/>
        <w:t>“</w:t>
      </w:r>
      <w:r>
        <w:rPr>
          <w:rStyle w:val="CharDefText"/>
        </w:rPr>
        <w:t>tank station</w:t>
      </w:r>
      <w:r>
        <w:rPr>
          <w:b/>
        </w:rPr>
        <w:t>”</w:t>
      </w:r>
      <w:r>
        <w:t xml:space="preserve"> means a tank or system of tanks for holding or storing petroleum and includes any structure associated with that tank or system of tanks;</w:t>
      </w:r>
    </w:p>
    <w:p>
      <w:pPr>
        <w:pStyle w:val="Defstart"/>
      </w:pPr>
      <w:r>
        <w:rPr>
          <w:b/>
        </w:rPr>
        <w:tab/>
        <w:t>“</w:t>
      </w:r>
      <w:r>
        <w:rPr>
          <w:rStyle w:val="CharDefText"/>
        </w:rPr>
        <w:t>terminal station</w:t>
      </w:r>
      <w:r>
        <w:rPr>
          <w:b/>
        </w:rPr>
        <w:t>”</w:t>
      </w:r>
      <w:r>
        <w:t xml:space="preserve"> means a pumping station, a tank station or a valve station declared to be a terminal station under section 63 or under the Commonwealth Act or a corresponding law;</w:t>
      </w:r>
    </w:p>
    <w:p>
      <w:pPr>
        <w:pStyle w:val="Defstart"/>
      </w:pPr>
      <w:r>
        <w:rPr>
          <w:b/>
        </w:rPr>
        <w:tab/>
        <w:t>“</w:t>
      </w:r>
      <w:r>
        <w:rPr>
          <w:rStyle w:val="CharDefText"/>
        </w:rPr>
        <w:t>valve station</w:t>
      </w:r>
      <w:r>
        <w:rPr>
          <w:b/>
        </w:rPr>
        <w:t>”</w:t>
      </w:r>
      <w:r>
        <w:t xml:space="preserve"> means equipment for regulating the flow of petroleum and includes any structure associated with that equipment;</w:t>
      </w:r>
    </w:p>
    <w:p>
      <w:pPr>
        <w:pStyle w:val="Defstart"/>
      </w:pPr>
      <w:r>
        <w:rPr>
          <w:b/>
        </w:rPr>
        <w:tab/>
        <w:t>“</w:t>
      </w:r>
      <w:r>
        <w:rPr>
          <w:rStyle w:val="CharDefText"/>
        </w:rPr>
        <w:t>vessel</w:t>
      </w:r>
      <w:r>
        <w:rPr>
          <w:b/>
        </w:rPr>
        <w:t>”</w:t>
      </w:r>
      <w:r>
        <w:t xml:space="preserve"> means a vessel used in navigation, other than air navigation, and includes a barge, lighter or other floating vessel;</w:t>
      </w:r>
    </w:p>
    <w:p>
      <w:pPr>
        <w:pStyle w:val="Defstart"/>
      </w:pPr>
      <w:r>
        <w:rPr>
          <w:b/>
        </w:rPr>
        <w:tab/>
        <w:t>“</w:t>
      </w:r>
      <w:r>
        <w:rPr>
          <w:rStyle w:val="CharDefText"/>
        </w:rPr>
        <w:t>water line</w:t>
      </w:r>
      <w:r>
        <w:rPr>
          <w:b/>
        </w:rPr>
        <w:t>”</w:t>
      </w:r>
      <w:r>
        <w:t xml:space="preserve"> means a pipe or system of pipes for conveying water in connection with petroleum exploration operations or operations for the recovery of petroleum;</w:t>
      </w:r>
    </w:p>
    <w:p>
      <w:pPr>
        <w:pStyle w:val="Defstart"/>
      </w:pPr>
      <w:r>
        <w:rPr>
          <w:b/>
        </w:rPr>
        <w:tab/>
        <w:t>“</w:t>
      </w:r>
      <w:r>
        <w:rPr>
          <w:rStyle w:val="CharDefText"/>
        </w:rPr>
        <w:t>well</w:t>
      </w:r>
      <w:r>
        <w:rPr>
          <w:b/>
        </w:rPr>
        <w:t>”</w:t>
      </w:r>
      <w:r>
        <w:t xml:space="preserve"> means a hole in the sea</w:t>
      </w:r>
      <w:r>
        <w:noBreakHyphen/>
        <w:t>bed or subsoil made by drilling, boring or any other means in connection with exploration for petroleum or operations for the recovery of petroleum, but does not include a seismic shot hole;</w:t>
      </w:r>
    </w:p>
    <w:p>
      <w:pPr>
        <w:pStyle w:val="Defstart"/>
      </w:pPr>
      <w:r>
        <w:rPr>
          <w:b/>
        </w:rPr>
        <w:tab/>
        <w:t>“</w:t>
      </w:r>
      <w:r>
        <w:rPr>
          <w:rStyle w:val="CharDefText"/>
        </w:rPr>
        <w:t>wholly cancelled</w:t>
      </w:r>
      <w:r>
        <w:rPr>
          <w:b/>
        </w:rPr>
        <w:t>”</w:t>
      </w:r>
      <w:r>
        <w:t>, in relation to a permit, lease, licence or pipeline licence, means cancelled as to all the blocks, or as to the whole of the pipeline, the subject of the permit, lease, licence or pipeline licence;</w:t>
      </w:r>
    </w:p>
    <w:p>
      <w:pPr>
        <w:pStyle w:val="Defstart"/>
      </w:pPr>
      <w:r>
        <w:rPr>
          <w:b/>
        </w:rPr>
        <w:tab/>
        <w:t>“</w:t>
      </w:r>
      <w:r>
        <w:rPr>
          <w:rStyle w:val="CharDefText"/>
        </w:rPr>
        <w:t>wholly determined</w:t>
      </w:r>
      <w:r>
        <w:rPr>
          <w:b/>
        </w:rPr>
        <w:t>”</w:t>
      </w:r>
      <w:r>
        <w:t>, in relation to a permit or lease, means determined as to all the blocks the subject of the permit or lease.</w:t>
      </w:r>
    </w:p>
    <w:p>
      <w:pPr>
        <w:pStyle w:val="Footnotesection"/>
      </w:pPr>
      <w:r>
        <w:tab/>
        <w:t xml:space="preserve">[Section 4 amended by No. 12 of 1990 s.160 </w:t>
      </w:r>
      <w:r>
        <w:rPr>
          <w:vertAlign w:val="superscript"/>
        </w:rPr>
        <w:t>2</w:t>
      </w:r>
      <w:r>
        <w:t>; No. 11 of 1994 s.</w:t>
      </w:r>
      <w:ins w:id="49" w:author="svcMRProcess" w:date="2020-02-19T21:14:00Z">
        <w:r>
          <w:t> </w:t>
        </w:r>
      </w:ins>
      <w:r>
        <w:t>8</w:t>
      </w:r>
      <w:ins w:id="50" w:author="svcMRProcess" w:date="2020-02-19T21:14:00Z">
        <w:r>
          <w:t>; No. 13 of 2005 s. 34</w:t>
        </w:r>
      </w:ins>
      <w:r>
        <w:t xml:space="preserve">.] </w:t>
      </w:r>
    </w:p>
    <w:p>
      <w:pPr>
        <w:pStyle w:val="Heading5"/>
        <w:rPr>
          <w:snapToGrid w:val="0"/>
        </w:rPr>
      </w:pPr>
      <w:bookmarkStart w:id="51" w:name="_Toc501861676"/>
      <w:bookmarkStart w:id="52" w:name="_Toc113772426"/>
      <w:bookmarkStart w:id="53" w:name="_Toc170190519"/>
      <w:bookmarkStart w:id="54" w:name="_Toc157933495"/>
      <w:r>
        <w:rPr>
          <w:rStyle w:val="CharSectno"/>
        </w:rPr>
        <w:t>5</w:t>
      </w:r>
      <w:r>
        <w:rPr>
          <w:snapToGrid w:val="0"/>
        </w:rPr>
        <w:t>.</w:t>
      </w:r>
      <w:r>
        <w:rPr>
          <w:snapToGrid w:val="0"/>
        </w:rPr>
        <w:tab/>
        <w:t>Further provisions as to “adjacent area”</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 xml:space="preserve">If at any time the breadth of the territorial sea of Australia is determined or declared to be greater than 3 nautical miles, the definition of the </w:t>
      </w:r>
      <w:r>
        <w:rPr>
          <w:b/>
          <w:snapToGrid w:val="0"/>
        </w:rPr>
        <w:t>“adjacent area”</w:t>
      </w:r>
      <w:r>
        <w:rPr>
          <w:snapToGrid w:val="0"/>
        </w:rPr>
        <w:t xml:space="preserve"> in section 4 or 59A continues to have effect as if the breadth of the territorial sea of Australia had continued to be 3 nautical miles.</w:t>
      </w:r>
    </w:p>
    <w:p>
      <w:pPr>
        <w:pStyle w:val="Subsection"/>
        <w:rPr>
          <w:snapToGrid w:val="0"/>
        </w:rPr>
      </w:pPr>
      <w:r>
        <w:rPr>
          <w:snapToGrid w:val="0"/>
        </w:rPr>
        <w:tab/>
        <w:t>(2)</w:t>
      </w:r>
      <w:r>
        <w:rPr>
          <w:snapToGrid w:val="0"/>
        </w:rPr>
        <w:tab/>
        <w:t xml:space="preserve">Upon an area described in paragraphs (a), (b) and (c) of the definition of the </w:t>
      </w:r>
      <w:r>
        <w:rPr>
          <w:b/>
          <w:snapToGrid w:val="0"/>
        </w:rPr>
        <w:t>“</w:t>
      </w:r>
      <w:r>
        <w:rPr>
          <w:rStyle w:val="CharDefText"/>
        </w:rPr>
        <w:t>adjacent area</w:t>
      </w:r>
      <w:r>
        <w:rPr>
          <w:b/>
          <w:snapToGrid w:val="0"/>
        </w:rPr>
        <w:t>”</w:t>
      </w:r>
      <w:r>
        <w:rPr>
          <w:snapToGrid w:val="0"/>
        </w:rPr>
        <w:t xml:space="preserve"> in section 4 becoming an area which is — </w:t>
      </w:r>
    </w:p>
    <w:p>
      <w:pPr>
        <w:pStyle w:val="Indenta"/>
        <w:rPr>
          <w:snapToGrid w:val="0"/>
        </w:rPr>
      </w:pPr>
      <w:r>
        <w:rPr>
          <w:snapToGrid w:val="0"/>
        </w:rPr>
        <w:tab/>
        <w:t>(a)</w:t>
      </w:r>
      <w:r>
        <w:rPr>
          <w:snapToGrid w:val="0"/>
        </w:rPr>
        <w:tab/>
        <w:t>not the subject of a permit;</w:t>
      </w:r>
    </w:p>
    <w:p>
      <w:pPr>
        <w:pStyle w:val="Indenta"/>
        <w:rPr>
          <w:snapToGrid w:val="0"/>
        </w:rPr>
      </w:pPr>
      <w:r>
        <w:rPr>
          <w:snapToGrid w:val="0"/>
        </w:rPr>
        <w:tab/>
        <w:t>(aa)</w:t>
      </w:r>
      <w:r>
        <w:rPr>
          <w:snapToGrid w:val="0"/>
        </w:rPr>
        <w:tab/>
        <w:t xml:space="preserve">not the subject of a lease; </w:t>
      </w:r>
    </w:p>
    <w:p>
      <w:pPr>
        <w:pStyle w:val="Indenta"/>
        <w:rPr>
          <w:snapToGrid w:val="0"/>
        </w:rPr>
      </w:pPr>
      <w:r>
        <w:rPr>
          <w:snapToGrid w:val="0"/>
        </w:rPr>
        <w:tab/>
        <w:t>(b)</w:t>
      </w:r>
      <w:r>
        <w:rPr>
          <w:snapToGrid w:val="0"/>
        </w:rPr>
        <w:tab/>
        <w:t>not the subject of a licence; and</w:t>
      </w:r>
    </w:p>
    <w:p>
      <w:pPr>
        <w:pStyle w:val="Indenta"/>
        <w:rPr>
          <w:snapToGrid w:val="0"/>
        </w:rPr>
      </w:pPr>
      <w:r>
        <w:rPr>
          <w:snapToGrid w:val="0"/>
        </w:rPr>
        <w:tab/>
        <w:t>(c)</w:t>
      </w:r>
      <w:r>
        <w:rPr>
          <w:snapToGrid w:val="0"/>
        </w:rPr>
        <w:tab/>
        <w:t>not the subject of an application for a lease or licence,</w:t>
      </w:r>
    </w:p>
    <w:p>
      <w:pPr>
        <w:pStyle w:val="Subsection"/>
        <w:rPr>
          <w:snapToGrid w:val="0"/>
        </w:rPr>
      </w:pPr>
      <w:r>
        <w:rPr>
          <w:snapToGrid w:val="0"/>
        </w:rPr>
        <w:tab/>
      </w:r>
      <w:r>
        <w:rPr>
          <w:snapToGrid w:val="0"/>
        </w:rPr>
        <w:tab/>
        <w:t>the area ceases to be part of the adjacent area.</w:t>
      </w:r>
    </w:p>
    <w:p>
      <w:pPr>
        <w:pStyle w:val="Footnotesection"/>
      </w:pPr>
      <w:r>
        <w:tab/>
        <w:t xml:space="preserve">[Section 5 amended by No. 12 of 1990 s.161.] </w:t>
      </w:r>
    </w:p>
    <w:p>
      <w:pPr>
        <w:pStyle w:val="Heading5"/>
        <w:rPr>
          <w:snapToGrid w:val="0"/>
        </w:rPr>
      </w:pPr>
      <w:bookmarkStart w:id="55" w:name="_Toc501861677"/>
      <w:bookmarkStart w:id="56" w:name="_Toc113772427"/>
      <w:bookmarkStart w:id="57" w:name="_Toc170190520"/>
      <w:bookmarkStart w:id="58" w:name="_Toc157933496"/>
      <w:r>
        <w:rPr>
          <w:rStyle w:val="CharSectno"/>
        </w:rPr>
        <w:t>6</w:t>
      </w:r>
      <w:r>
        <w:rPr>
          <w:snapToGrid w:val="0"/>
        </w:rPr>
        <w:t>.</w:t>
      </w:r>
      <w:r>
        <w:rPr>
          <w:snapToGrid w:val="0"/>
        </w:rPr>
        <w:tab/>
        <w:t>Meaning of certain references in Act</w:t>
      </w:r>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In this Act, a reference to the term of a permit, lease, licence, pipeline licence, special prospecting authority or access authority is a reference to the period during which the permit, lease, licence, pipeline licence, special prospecting authority or access authority remains in force and a reference to the date of expiration of a permit, lease, licence, pipeline licence, special prospecting authority or access authority is a reference to the day on which the permit, lease, licence, pipeline licence, special prospecting authority or access authority ceases to be in force.</w:t>
      </w:r>
    </w:p>
    <w:p>
      <w:pPr>
        <w:pStyle w:val="Subsection"/>
        <w:rPr>
          <w:snapToGrid w:val="0"/>
        </w:rPr>
      </w:pPr>
      <w:r>
        <w:rPr>
          <w:snapToGrid w:val="0"/>
        </w:rPr>
        <w:tab/>
        <w:t>(2)</w:t>
      </w:r>
      <w:r>
        <w:rPr>
          <w:snapToGrid w:val="0"/>
        </w:rPr>
        <w:tab/>
        <w:t>In this Act, a reference to a year of the term of a permit, lease, licence or pipeline licence is a reference to a period of one year commencing on the day on which the permit, lease, licence or pipeline licence, as the case may be, comes into force or on any anniversary of that day.</w:t>
      </w:r>
    </w:p>
    <w:p>
      <w:pPr>
        <w:pStyle w:val="Subsection"/>
        <w:rPr>
          <w:snapToGrid w:val="0"/>
        </w:rPr>
      </w:pPr>
      <w:r>
        <w:rPr>
          <w:snapToGrid w:val="0"/>
        </w:rPr>
        <w:tab/>
        <w:t>(3)</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(3a)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(4)</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w:t>
      </w:r>
      <w:r>
        <w:rPr>
          <w:snapToGrid w:val="0"/>
        </w:rPr>
        <w:tab/>
        <w:t>In this Act, a reference to the renewal, or to the grant of a renewal, of a pipeline licence in respect of a pipeline is a reference to the grant of a pipeline licence in respect of that pipeline to commence on the day after the date of expiration of the first</w:t>
      </w:r>
      <w:r>
        <w:rPr>
          <w:snapToGrid w:val="0"/>
        </w:rPr>
        <w:noBreakHyphen/>
        <w:t>mentioned pipeline licence or on the day after the date of expiration of the pipeline licence granted upon a previous renewal of the first</w:t>
      </w:r>
      <w:r>
        <w:rPr>
          <w:snapToGrid w:val="0"/>
        </w:rPr>
        <w:noBreakHyphen/>
        <w:t>mentioned pipeline licence.</w:t>
      </w:r>
    </w:p>
    <w:p>
      <w:pPr>
        <w:pStyle w:val="Subsection"/>
        <w:rPr>
          <w:snapToGrid w:val="0"/>
        </w:rPr>
      </w:pPr>
      <w:r>
        <w:rPr>
          <w:snapToGrid w:val="0"/>
        </w:rPr>
        <w:tab/>
        <w:t>(6)</w:t>
      </w:r>
      <w:r>
        <w:rPr>
          <w:snapToGrid w:val="0"/>
        </w:rPr>
        <w:tab/>
        <w:t>In this Act, a reference to a pipeline includes a reference to a part of a pipeline.</w:t>
      </w:r>
    </w:p>
    <w:p>
      <w:pPr>
        <w:pStyle w:val="Subsection"/>
        <w:spacing w:before="120"/>
        <w:rPr>
          <w:snapToGrid w:val="0"/>
        </w:rPr>
      </w:pPr>
      <w:r>
        <w:rPr>
          <w:snapToGrid w:val="0"/>
        </w:rPr>
        <w:tab/>
        <w:t>(7)</w:t>
      </w:r>
      <w:r>
        <w:rPr>
          <w:snapToGrid w:val="0"/>
        </w:rPr>
        <w:tab/>
        <w:t>In this Act, a reference to a permit, lease, licence, pipeline licence or access authority is a reference to the permit, lease, licence, pipeline licence or access authority as varied for the time being under this Act.</w:t>
      </w:r>
    </w:p>
    <w:p>
      <w:pPr>
        <w:pStyle w:val="Subsection"/>
        <w:spacing w:before="120"/>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 xml:space="preserve">[Section 6 amended by No. 12 of 1990 s.162] </w:t>
      </w:r>
    </w:p>
    <w:p>
      <w:pPr>
        <w:pStyle w:val="Heading5"/>
        <w:rPr>
          <w:snapToGrid w:val="0"/>
        </w:rPr>
      </w:pPr>
      <w:bookmarkStart w:id="59" w:name="_Toc501861678"/>
      <w:bookmarkStart w:id="60" w:name="_Toc113772428"/>
      <w:bookmarkStart w:id="61" w:name="_Toc170190521"/>
      <w:bookmarkStart w:id="62" w:name="_Toc157933497"/>
      <w:r>
        <w:rPr>
          <w:rStyle w:val="CharSectno"/>
        </w:rPr>
        <w:t>7</w:t>
      </w:r>
      <w:r>
        <w:rPr>
          <w:snapToGrid w:val="0"/>
        </w:rPr>
        <w:t>.</w:t>
      </w:r>
      <w:r>
        <w:rPr>
          <w:snapToGrid w:val="0"/>
        </w:rPr>
        <w:tab/>
        <w:t>Space above and below adjacent area</w:t>
      </w:r>
      <w:bookmarkEnd w:id="59"/>
      <w:bookmarkEnd w:id="60"/>
      <w:bookmarkEnd w:id="61"/>
      <w:bookmarkEnd w:id="62"/>
      <w:r>
        <w:rPr>
          <w:snapToGrid w:val="0"/>
        </w:rPr>
        <w:t xml:space="preserve"> </w:t>
      </w:r>
    </w:p>
    <w:p>
      <w:pPr>
        <w:pStyle w:val="Subsection"/>
        <w:spacing w:before="120"/>
        <w:rPr>
          <w:snapToGrid w:val="0"/>
        </w:rPr>
      </w:pPr>
      <w:r>
        <w:rPr>
          <w:snapToGrid w:val="0"/>
        </w:rPr>
        <w:tab/>
      </w:r>
      <w:r>
        <w:rPr>
          <w:snapToGrid w:val="0"/>
        </w:rPr>
        <w:tab/>
        <w:t>For the purposes of this Act</w:t>
      </w:r>
      <w:del w:id="63" w:author="svcMRProcess" w:date="2020-02-19T21:14:00Z">
        <w:r>
          <w:rPr>
            <w:snapToGrid w:val="0"/>
          </w:rPr>
          <w:delText xml:space="preserve"> and the regulations —</w:delText>
        </w:r>
      </w:del>
      <w:ins w:id="64" w:author="svcMRProcess" w:date="2020-02-19T21:14:00Z">
        <w:r>
          <w:rPr>
            <w:snapToGrid w:val="0"/>
          </w:rPr>
          <w:t> —</w:t>
        </w:r>
      </w:ins>
      <w:r>
        <w:rPr>
          <w:snapToGrid w:val="0"/>
        </w:rPr>
        <w:t> </w:t>
      </w:r>
    </w:p>
    <w:p>
      <w:pPr>
        <w:pStyle w:val="Indenta"/>
        <w:rPr>
          <w:snapToGrid w:val="0"/>
        </w:rPr>
      </w:pPr>
      <w:r>
        <w:rPr>
          <w:snapToGrid w:val="0"/>
        </w:rPr>
        <w:tab/>
        <w:t>(a)</w:t>
      </w:r>
      <w:r>
        <w:rPr>
          <w:snapToGrid w:val="0"/>
        </w:rPr>
        <w:tab/>
        <w:t>the space above or below the adjacent area shall be deemed to be in that area; and</w:t>
      </w:r>
    </w:p>
    <w:p>
      <w:pPr>
        <w:pStyle w:val="Indenta"/>
        <w:rPr>
          <w:snapToGrid w:val="0"/>
        </w:rPr>
      </w:pPr>
      <w:r>
        <w:rPr>
          <w:snapToGrid w:val="0"/>
        </w:rPr>
        <w:tab/>
        <w:t>(b)</w:t>
      </w:r>
      <w:r>
        <w:rPr>
          <w:snapToGrid w:val="0"/>
        </w:rPr>
        <w:tab/>
        <w:t>the space above or below an area that is part of the adjacent area shall be deemed to be in that part.</w:t>
      </w:r>
    </w:p>
    <w:p>
      <w:pPr>
        <w:pStyle w:val="Footnotesection"/>
        <w:rPr>
          <w:ins w:id="65" w:author="svcMRProcess" w:date="2020-02-19T21:14:00Z"/>
        </w:rPr>
      </w:pPr>
      <w:ins w:id="66" w:author="svcMRProcess" w:date="2020-02-19T21:14:00Z">
        <w:r>
          <w:tab/>
          <w:t>[Section 7 amended by No. 13 of 2005 s. 46(1).]</w:t>
        </w:r>
      </w:ins>
    </w:p>
    <w:p>
      <w:pPr>
        <w:pStyle w:val="Heading5"/>
        <w:rPr>
          <w:snapToGrid w:val="0"/>
        </w:rPr>
      </w:pPr>
      <w:bookmarkStart w:id="67" w:name="_Toc501861679"/>
      <w:bookmarkStart w:id="68" w:name="_Toc113772429"/>
      <w:bookmarkStart w:id="69" w:name="_Toc170190522"/>
      <w:bookmarkStart w:id="70" w:name="_Toc157933498"/>
      <w:r>
        <w:rPr>
          <w:rStyle w:val="CharSectno"/>
        </w:rPr>
        <w:t>8</w:t>
      </w:r>
      <w:r>
        <w:rPr>
          <w:snapToGrid w:val="0"/>
        </w:rPr>
        <w:t>.</w:t>
      </w:r>
      <w:r>
        <w:rPr>
          <w:snapToGrid w:val="0"/>
        </w:rPr>
        <w:tab/>
        <w:t>Application of Act</w:t>
      </w:r>
      <w:bookmarkEnd w:id="67"/>
      <w:bookmarkEnd w:id="68"/>
      <w:bookmarkEnd w:id="69"/>
      <w:bookmarkEnd w:id="70"/>
      <w:r>
        <w:rPr>
          <w:snapToGrid w:val="0"/>
        </w:rPr>
        <w:t xml:space="preserve"> </w:t>
      </w:r>
    </w:p>
    <w:p>
      <w:pPr>
        <w:pStyle w:val="Subsection"/>
        <w:spacing w:before="120"/>
        <w:rPr>
          <w:snapToGrid w:val="0"/>
        </w:rPr>
      </w:pPr>
      <w:r>
        <w:rPr>
          <w:snapToGrid w:val="0"/>
        </w:rPr>
        <w:tab/>
      </w:r>
      <w:r>
        <w:rPr>
          <w:snapToGrid w:val="0"/>
        </w:rPr>
        <w:tab/>
        <w:t>This Act applies to all natural persons, whether Australian citizens or not and whether resident in Western Australia or not, and to all corporations, whether incorporated or carrying on business in Western Australia or not.</w:t>
      </w:r>
    </w:p>
    <w:p>
      <w:pPr>
        <w:pStyle w:val="Heading5"/>
        <w:rPr>
          <w:snapToGrid w:val="0"/>
        </w:rPr>
      </w:pPr>
      <w:bookmarkStart w:id="71" w:name="_Toc501861680"/>
      <w:bookmarkStart w:id="72" w:name="_Toc113772430"/>
      <w:bookmarkStart w:id="73" w:name="_Toc170190523"/>
      <w:bookmarkStart w:id="74" w:name="_Toc157933499"/>
      <w:r>
        <w:rPr>
          <w:rStyle w:val="CharSectno"/>
        </w:rPr>
        <w:t>9</w:t>
      </w:r>
      <w:r>
        <w:rPr>
          <w:snapToGrid w:val="0"/>
        </w:rPr>
        <w:t>.</w:t>
      </w:r>
      <w:r>
        <w:rPr>
          <w:snapToGrid w:val="0"/>
        </w:rPr>
        <w:tab/>
        <w:t>Petroleum pool extending into 2 licence areas</w:t>
      </w:r>
      <w:bookmarkEnd w:id="71"/>
      <w:bookmarkEnd w:id="72"/>
      <w:bookmarkEnd w:id="73"/>
      <w:bookmarkEnd w:id="74"/>
      <w:r>
        <w:rPr>
          <w:snapToGrid w:val="0"/>
        </w:rPr>
        <w:t xml:space="preserve"> </w:t>
      </w:r>
    </w:p>
    <w:p>
      <w:pPr>
        <w:pStyle w:val="Subsection"/>
        <w:spacing w:before="120"/>
        <w:rPr>
          <w:snapToGrid w:val="0"/>
        </w:rPr>
      </w:pPr>
      <w:r>
        <w:rPr>
          <w:snapToGrid w:val="0"/>
        </w:rPr>
        <w:tab/>
        <w:t>(1)</w:t>
      </w:r>
      <w:r>
        <w:rPr>
          <w:snapToGrid w:val="0"/>
        </w:rPr>
        <w:tab/>
        <w:t>Where a well</w:t>
      </w:r>
      <w:r>
        <w:rPr>
          <w:snapToGrid w:val="0"/>
        </w:rPr>
        <w:noBreakHyphen/>
        <w:t xml:space="preserve">head is situated in a licence area or in an area in respect of which an access authority is in force (in this subsection called an </w:t>
      </w:r>
      <w:r>
        <w:rPr>
          <w:b/>
          <w:snapToGrid w:val="0"/>
        </w:rPr>
        <w:t>“</w:t>
      </w:r>
      <w:r>
        <w:rPr>
          <w:rStyle w:val="CharDefText"/>
        </w:rPr>
        <w:t>access authority area</w:t>
      </w:r>
      <w:r>
        <w:rPr>
          <w:b/>
          <w:snapToGrid w:val="0"/>
        </w:rPr>
        <w:t>”</w:t>
      </w:r>
      <w:r>
        <w:rPr>
          <w:snapToGrid w:val="0"/>
        </w:rPr>
        <w:t>) and the well from that well</w:t>
      </w:r>
      <w:r>
        <w:rPr>
          <w:snapToGrid w:val="0"/>
        </w:rPr>
        <w:noBreakHyphen/>
        <w:t>head is inclined so as to enter a petroleum pool, being a pool that does not extend to that licence area or access authority area, at a place within an adjoining licence area of the same licensee or registered holder of the access authority, any petroleum recovered through that well shall be deemed to have been recovered in that adjoining licence area under the licence in respect of that area.</w:t>
      </w:r>
    </w:p>
    <w:p>
      <w:pPr>
        <w:pStyle w:val="Subsection"/>
        <w:spacing w:before="140"/>
        <w:rPr>
          <w:snapToGrid w:val="0"/>
        </w:rPr>
      </w:pPr>
      <w:r>
        <w:rPr>
          <w:snapToGrid w:val="0"/>
        </w:rPr>
        <w:tab/>
        <w:t>(2)</w:t>
      </w:r>
      <w:r>
        <w:rPr>
          <w:snapToGrid w:val="0"/>
        </w:rPr>
        <w:tab/>
        <w:t>Where a petroleum pool is partly in one licence area and partly in an adjoining licence area of the same licensee and petroleum is recovered from that pool through a well or wells in one or both of the licence areas, there shall be deemed to have been recovered in each of the licence areas, under the licence in respect of that area, such proportion of all petroleum so recovered as may reasonably be treated as being derived from that area, having regard to the nature and probable extent of the pool, and the respective proportions shall be determined in accordance with subsection (3).</w:t>
      </w:r>
    </w:p>
    <w:p>
      <w:pPr>
        <w:pStyle w:val="Subsection"/>
        <w:spacing w:before="140"/>
        <w:rPr>
          <w:snapToGrid w:val="0"/>
        </w:rPr>
      </w:pPr>
      <w:r>
        <w:rPr>
          <w:snapToGrid w:val="0"/>
        </w:rPr>
        <w:tab/>
        <w:t>(3)</w:t>
      </w:r>
      <w:r>
        <w:rPr>
          <w:snapToGrid w:val="0"/>
        </w:rPr>
        <w:tab/>
        <w:t>The proportions to be determined for the purposes of subsection (2) may be determined by agreement between the licensee and the Minister or, in the absence of agreement, may be determined by the Supreme Court on the application of the licensee or the Minister.</w:t>
      </w:r>
    </w:p>
    <w:p>
      <w:pPr>
        <w:pStyle w:val="Subsection"/>
        <w:spacing w:before="140"/>
        <w:rPr>
          <w:snapToGrid w:val="0"/>
        </w:rPr>
      </w:pPr>
      <w:r>
        <w:rPr>
          <w:snapToGrid w:val="0"/>
        </w:rPr>
        <w:tab/>
        <w:t>(4)</w:t>
      </w:r>
      <w:r>
        <w:rPr>
          <w:snapToGrid w:val="0"/>
        </w:rPr>
        <w:tab/>
        <w:t xml:space="preserve">Where a petroleum pool is partly in a licence area and partly in an area (in this subsection referred to as </w:t>
      </w:r>
      <w:r>
        <w:rPr>
          <w:b/>
          <w:snapToGrid w:val="0"/>
        </w:rPr>
        <w:t>“</w:t>
      </w:r>
      <w:r>
        <w:rPr>
          <w:rStyle w:val="CharDefText"/>
        </w:rPr>
        <w:t>the Commonwealth licence area</w:t>
      </w:r>
      <w:r>
        <w:rPr>
          <w:b/>
          <w:snapToGrid w:val="0"/>
        </w:rPr>
        <w:t>”</w:t>
      </w:r>
      <w:r>
        <w:rPr>
          <w:snapToGrid w:val="0"/>
        </w:rPr>
        <w:t>) in which the licensee has authority under the Commonwealth Act to explore for, or recover, petroleum, and petroleum is recovered from that pool through a well or wells in the licence area, the Commonwealth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(5).</w:t>
      </w:r>
    </w:p>
    <w:p>
      <w:pPr>
        <w:pStyle w:val="Subsection"/>
        <w:spacing w:before="140"/>
        <w:rPr>
          <w:snapToGrid w:val="0"/>
        </w:rPr>
      </w:pPr>
      <w:r>
        <w:rPr>
          <w:snapToGrid w:val="0"/>
        </w:rPr>
        <w:tab/>
        <w:t>(5)</w:t>
      </w:r>
      <w:r>
        <w:rPr>
          <w:snapToGrid w:val="0"/>
        </w:rPr>
        <w:tab/>
        <w:t>The proportion to be determined for the purposes of subsection (4) may be determined by agreement between the licensee, the Joint Authority and the Minister or, in the absence of agreement, may be determined by the Supreme Court on the application of the licensee, the Joint Authority or the Minister.</w:t>
      </w:r>
    </w:p>
    <w:p>
      <w:pPr>
        <w:pStyle w:val="Subsection"/>
        <w:rPr>
          <w:snapToGrid w:val="0"/>
        </w:rPr>
      </w:pPr>
      <w:r>
        <w:rPr>
          <w:snapToGrid w:val="0"/>
        </w:rPr>
        <w:tab/>
        <w:t>(6)</w:t>
      </w:r>
      <w:r>
        <w:rPr>
          <w:snapToGrid w:val="0"/>
        </w:rPr>
        <w:tab/>
        <w:t xml:space="preserve">Where a petroleum pool is partly in a licence area and partly in an area (in this subsection called </w:t>
      </w:r>
      <w:r>
        <w:rPr>
          <w:b/>
          <w:snapToGrid w:val="0"/>
        </w:rPr>
        <w:t>“</w:t>
      </w:r>
      <w:r>
        <w:rPr>
          <w:rStyle w:val="CharDefText"/>
        </w:rPr>
        <w:t>the other licence area</w:t>
      </w:r>
      <w:r>
        <w:rPr>
          <w:b/>
          <w:snapToGrid w:val="0"/>
        </w:rPr>
        <w:t>”</w:t>
      </w:r>
      <w:r>
        <w:rPr>
          <w:snapToGrid w:val="0"/>
        </w:rPr>
        <w:t>) in which the licensee has authority, under a corresponding law, to explore for or recover petroleum, and petroleum is recovered from that pool through a well or wells in the licence area, the other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(7).</w:t>
      </w:r>
    </w:p>
    <w:p>
      <w:pPr>
        <w:pStyle w:val="Subsection"/>
        <w:rPr>
          <w:snapToGrid w:val="0"/>
        </w:rPr>
      </w:pPr>
      <w:r>
        <w:rPr>
          <w:snapToGrid w:val="0"/>
        </w:rPr>
        <w:tab/>
        <w:t>(7)</w:t>
      </w:r>
      <w:r>
        <w:rPr>
          <w:snapToGrid w:val="0"/>
        </w:rPr>
        <w:tab/>
        <w:t>The proportion to be determined for the purposes of subsection (6) may be determined by agreement between the licensee, the Minister and the Minister administering the corresponding law or, in the absence of agreement, may be determined by the Supreme Court on the application of any of those persons.</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a petroleum pool is partly in a licence area and partly in another area, being an area which is outside the adjacent area and in which the licensee has, under the Commonwealth Act or a corresponding law, authority to explore for, or recover, petroleum;</w:t>
      </w:r>
    </w:p>
    <w:p>
      <w:pPr>
        <w:pStyle w:val="Indenta"/>
        <w:rPr>
          <w:snapToGrid w:val="0"/>
        </w:rPr>
      </w:pPr>
      <w:r>
        <w:rPr>
          <w:snapToGrid w:val="0"/>
        </w:rPr>
        <w:tab/>
        <w:t>(b)</w:t>
      </w:r>
      <w:r>
        <w:rPr>
          <w:snapToGrid w:val="0"/>
        </w:rPr>
        <w:tab/>
        <w:t>petroleum is recovered from that pool; and</w:t>
      </w:r>
    </w:p>
    <w:p>
      <w:pPr>
        <w:pStyle w:val="Indenta"/>
        <w:rPr>
          <w:snapToGrid w:val="0"/>
        </w:rPr>
      </w:pPr>
      <w:r>
        <w:rPr>
          <w:snapToGrid w:val="0"/>
        </w:rPr>
        <w:tab/>
        <w:t>(c)</w:t>
      </w:r>
      <w:r>
        <w:rPr>
          <w:snapToGrid w:val="0"/>
        </w:rPr>
        <w:tab/>
        <w:t>the Supreme Court of another State or of the Northern Territory makes a determination, under the Commonwealth Act or a corresponding law, of the proportion of the petroleum recovered from that pool that is, for the purposes of the Commonwealth Act or the corresponding law, to be deemed to have been recovered from the other area,</w:t>
      </w:r>
    </w:p>
    <w:p>
      <w:pPr>
        <w:pStyle w:val="Subsection"/>
        <w:rPr>
          <w:snapToGrid w:val="0"/>
        </w:rPr>
      </w:pPr>
      <w:r>
        <w:rPr>
          <w:snapToGrid w:val="0"/>
        </w:rPr>
        <w:tab/>
      </w:r>
      <w:r>
        <w:rPr>
          <w:snapToGrid w:val="0"/>
        </w:rPr>
        <w:tab/>
        <w:t>the Supreme Court shall not make a determination under this section that is inconsistent with the determination of the Supreme Court of the other State or of the Northern Territory.</w:t>
      </w:r>
    </w:p>
    <w:p>
      <w:pPr>
        <w:pStyle w:val="Subsection"/>
        <w:spacing w:before="180"/>
        <w:rPr>
          <w:snapToGrid w:val="0"/>
        </w:rPr>
      </w:pPr>
      <w:r>
        <w:rPr>
          <w:snapToGrid w:val="0"/>
        </w:rPr>
        <w:tab/>
        <w:t>(9)</w:t>
      </w:r>
      <w:r>
        <w:rPr>
          <w:snapToGrid w:val="0"/>
        </w:rPr>
        <w:tab/>
        <w:t>Where — </w:t>
      </w:r>
    </w:p>
    <w:p>
      <w:pPr>
        <w:pStyle w:val="Indenta"/>
        <w:rPr>
          <w:snapToGrid w:val="0"/>
        </w:rPr>
      </w:pPr>
      <w:r>
        <w:rPr>
          <w:snapToGrid w:val="0"/>
        </w:rPr>
        <w:tab/>
        <w:t>(a)</w:t>
      </w:r>
      <w:r>
        <w:rPr>
          <w:snapToGrid w:val="0"/>
        </w:rPr>
        <w:tab/>
        <w:t>a petroleum pool is partly in a licence area and partly in another area, whether in the adjacent area or not, in respect of which another person has authority, whether under this Act, the Commonwealth Act or a corresponding law, to explore for or recover petroleum;</w:t>
      </w:r>
    </w:p>
    <w:p>
      <w:pPr>
        <w:pStyle w:val="Indenta"/>
        <w:rPr>
          <w:snapToGrid w:val="0"/>
        </w:rPr>
      </w:pPr>
      <w:r>
        <w:rPr>
          <w:snapToGrid w:val="0"/>
        </w:rPr>
        <w:tab/>
        <w:t>(b)</w:t>
      </w:r>
      <w:r>
        <w:rPr>
          <w:snapToGrid w:val="0"/>
        </w:rPr>
        <w:tab/>
        <w:t>a unit development agreement in accordance with section 59 is in force between the licensee and that other person; and</w:t>
      </w:r>
    </w:p>
    <w:p>
      <w:pPr>
        <w:pStyle w:val="Indenta"/>
        <w:rPr>
          <w:snapToGrid w:val="0"/>
        </w:rPr>
      </w:pPr>
      <w:r>
        <w:rPr>
          <w:snapToGrid w:val="0"/>
        </w:rPr>
        <w:tab/>
        <w:t>(c)</w:t>
      </w:r>
      <w:r>
        <w:rPr>
          <w:snapToGrid w:val="0"/>
        </w:rPr>
        <w:tab/>
        <w:t>petroleum is recovered from that pool through a well or wells in the licence area, the other area or both,</w:t>
      </w:r>
    </w:p>
    <w:p>
      <w:pPr>
        <w:pStyle w:val="Subsection"/>
        <w:spacing w:before="180"/>
        <w:rPr>
          <w:snapToGrid w:val="0"/>
        </w:rPr>
      </w:pPr>
      <w:r>
        <w:rPr>
          <w:snapToGrid w:val="0"/>
        </w:rPr>
        <w:tab/>
      </w:r>
      <w:r>
        <w:rPr>
          <w:snapToGrid w:val="0"/>
        </w:rPr>
        <w:tab/>
        <w:t>there shall be deemed to have been recovered in the licence area such proportion of all petroleum so recovered as is specified in, or determined in accordance with, the agreement.</w:t>
      </w:r>
    </w:p>
    <w:p>
      <w:pPr>
        <w:pStyle w:val="Subsection"/>
        <w:spacing w:before="180"/>
        <w:rPr>
          <w:snapToGrid w:val="0"/>
        </w:rPr>
      </w:pPr>
      <w:r>
        <w:rPr>
          <w:snapToGrid w:val="0"/>
        </w:rPr>
        <w:tab/>
        <w:t>(10)</w:t>
      </w:r>
      <w:r>
        <w:rPr>
          <w:snapToGrid w:val="0"/>
        </w:rPr>
        <w:tab/>
        <w:t>In this section a reference to a licence, a licensee or a licence area shall be read as including a reference to a permit and a lease, a permittee and a lessee or a permit area and a lease area.</w:t>
      </w:r>
    </w:p>
    <w:p>
      <w:pPr>
        <w:pStyle w:val="Footnotesection"/>
      </w:pPr>
      <w:r>
        <w:tab/>
        <w:t xml:space="preserve">[Section 9 amended by No. 12 of 1990 s.163.] </w:t>
      </w:r>
    </w:p>
    <w:p>
      <w:pPr>
        <w:pStyle w:val="Heading5"/>
      </w:pPr>
      <w:bookmarkStart w:id="75" w:name="_Toc501861681"/>
      <w:bookmarkStart w:id="76" w:name="_Toc113772431"/>
      <w:bookmarkStart w:id="77" w:name="_Toc170190524"/>
      <w:bookmarkStart w:id="78" w:name="_Toc157933500"/>
      <w:r>
        <w:rPr>
          <w:rStyle w:val="CharSectno"/>
        </w:rPr>
        <w:t>10</w:t>
      </w:r>
      <w:r>
        <w:t>.</w:t>
      </w:r>
      <w:r>
        <w:tab/>
        <w:t>Position on the Earth’s surface</w:t>
      </w:r>
      <w:bookmarkEnd w:id="75"/>
      <w:bookmarkEnd w:id="76"/>
      <w:bookmarkEnd w:id="77"/>
      <w:bookmarkEnd w:id="78"/>
    </w:p>
    <w:p>
      <w:pPr>
        <w:pStyle w:val="Subsection"/>
      </w:pPr>
      <w:r>
        <w:tab/>
        <w:t>(1)</w:t>
      </w:r>
      <w:r>
        <w:tab/>
        <w:t>Where, for the purposes of this Act</w:t>
      </w:r>
      <w:del w:id="79" w:author="svcMRProcess" w:date="2020-02-19T21:14:00Z">
        <w:r>
          <w:delText xml:space="preserve"> or the regulations</w:delText>
        </w:r>
      </w:del>
      <w:r>
        <w:t>, or for the purposes of an instrument under this Act</w:t>
      </w:r>
      <w:del w:id="80" w:author="svcMRProcess" w:date="2020-02-19T21:14:00Z">
        <w:r>
          <w:delText xml:space="preserve"> or the regulations</w:delText>
        </w:r>
      </w:del>
      <w:r>
        <w:t>,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 xml:space="preserve">Regulations that prescribe a datum for a purpose referred to in subsection (1), or amend that datum or prescribe another datum to replace that datum, may make any transitional or savings provisions that are necessary or convenient to be made — </w:t>
      </w:r>
    </w:p>
    <w:p>
      <w:pPr>
        <w:pStyle w:val="Indenta"/>
      </w:pPr>
      <w:r>
        <w:tab/>
        <w:t>(a)</w:t>
      </w:r>
      <w:r>
        <w:tab/>
        <w:t>in relation to permits, leases, licences, pipeline licences, special prospecting authorities or access authorities granted before the regulations take effect;</w:t>
      </w:r>
    </w:p>
    <w:p>
      <w:pPr>
        <w:pStyle w:val="Indenta"/>
      </w:pPr>
      <w:r>
        <w:tab/>
        <w:t>(b)</w:t>
      </w:r>
      <w:r>
        <w:tab/>
        <w:t>in relation to applications for permits, leases, licences, pipeline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Subsection"/>
      </w:pPr>
      <w:r>
        <w:tab/>
        <w:t>(5)</w:t>
      </w:r>
      <w:r>
        <w:tab/>
        <w:t>Without limiting subsection (2), a datum is to be prescribed by regulations referred to in this section for the purposes of the determination of the position on the surface of the Earth of the boundary of the area described in Schedule 2.</w:t>
      </w:r>
    </w:p>
    <w:p>
      <w:pPr>
        <w:pStyle w:val="Footnotesection"/>
      </w:pPr>
      <w:r>
        <w:tab/>
        <w:t>[Section 10 inserted by No. 54 of 2000 s.</w:t>
      </w:r>
      <w:del w:id="81" w:author="svcMRProcess" w:date="2020-02-19T21:14:00Z">
        <w:r>
          <w:delText>8</w:delText>
        </w:r>
      </w:del>
      <w:ins w:id="82" w:author="svcMRProcess" w:date="2020-02-19T21:14:00Z">
        <w:r>
          <w:t> 8(2); amended by No. 13 of 2005 s. 46</w:t>
        </w:r>
      </w:ins>
      <w:r>
        <w:t>(2).]</w:t>
      </w:r>
    </w:p>
    <w:p>
      <w:pPr>
        <w:pStyle w:val="Heading2"/>
      </w:pPr>
      <w:bookmarkStart w:id="83" w:name="_Toc72913712"/>
      <w:bookmarkStart w:id="84" w:name="_Toc91304192"/>
      <w:bookmarkStart w:id="85" w:name="_Toc92688435"/>
      <w:bookmarkStart w:id="86" w:name="_Toc113772432"/>
      <w:bookmarkStart w:id="87" w:name="_Toc156976917"/>
      <w:bookmarkStart w:id="88" w:name="_Toc157933501"/>
      <w:bookmarkStart w:id="89" w:name="_Toc162761133"/>
      <w:bookmarkStart w:id="90" w:name="_Toc170190525"/>
      <w:r>
        <w:rPr>
          <w:rStyle w:val="CharPartNo"/>
        </w:rPr>
        <w:t>Part II</w:t>
      </w:r>
      <w:r>
        <w:rPr>
          <w:rStyle w:val="CharDivNo"/>
        </w:rPr>
        <w:t> </w:t>
      </w:r>
      <w:r>
        <w:t>—</w:t>
      </w:r>
      <w:r>
        <w:rPr>
          <w:rStyle w:val="CharDivText"/>
        </w:rPr>
        <w:t> </w:t>
      </w:r>
      <w:r>
        <w:rPr>
          <w:rStyle w:val="CharPartText"/>
        </w:rPr>
        <w:t>Administration of the Commonwealth adjacent area</w:t>
      </w:r>
      <w:bookmarkEnd w:id="83"/>
      <w:bookmarkEnd w:id="84"/>
      <w:bookmarkEnd w:id="85"/>
      <w:bookmarkEnd w:id="86"/>
      <w:bookmarkEnd w:id="87"/>
      <w:bookmarkEnd w:id="88"/>
      <w:bookmarkEnd w:id="89"/>
      <w:bookmarkEnd w:id="90"/>
      <w:r>
        <w:rPr>
          <w:rStyle w:val="CharPartText"/>
        </w:rPr>
        <w:t xml:space="preserve"> </w:t>
      </w:r>
    </w:p>
    <w:p>
      <w:pPr>
        <w:pStyle w:val="Heading5"/>
        <w:rPr>
          <w:snapToGrid w:val="0"/>
        </w:rPr>
      </w:pPr>
      <w:bookmarkStart w:id="91" w:name="_Toc501861682"/>
      <w:bookmarkStart w:id="92" w:name="_Toc113772433"/>
      <w:bookmarkStart w:id="93" w:name="_Toc170190526"/>
      <w:bookmarkStart w:id="94" w:name="_Toc157933502"/>
      <w:r>
        <w:rPr>
          <w:rStyle w:val="CharSectno"/>
        </w:rPr>
        <w:t>11</w:t>
      </w:r>
      <w:r>
        <w:rPr>
          <w:snapToGrid w:val="0"/>
        </w:rPr>
        <w:t>.</w:t>
      </w:r>
      <w:r>
        <w:rPr>
          <w:snapToGrid w:val="0"/>
        </w:rPr>
        <w:tab/>
        <w:t>“Commonwealth adjacent area”</w:t>
      </w:r>
      <w:bookmarkEnd w:id="91"/>
      <w:bookmarkEnd w:id="92"/>
      <w:bookmarkEnd w:id="93"/>
      <w:bookmarkEnd w:id="94"/>
      <w:r>
        <w:rPr>
          <w:snapToGrid w:val="0"/>
        </w:rPr>
        <w:t xml:space="preserve"> </w:t>
      </w:r>
    </w:p>
    <w:p>
      <w:pPr>
        <w:pStyle w:val="Subsection"/>
        <w:rPr>
          <w:snapToGrid w:val="0"/>
        </w:rPr>
      </w:pPr>
      <w:r>
        <w:rPr>
          <w:snapToGrid w:val="0"/>
        </w:rPr>
        <w:tab/>
      </w:r>
      <w:r>
        <w:rPr>
          <w:snapToGrid w:val="0"/>
        </w:rPr>
        <w:tab/>
        <w:t xml:space="preserve">In this </w:t>
      </w:r>
      <w:del w:id="95" w:author="svcMRProcess" w:date="2020-02-19T21:14:00Z">
        <w:r>
          <w:rPr>
            <w:snapToGrid w:val="0"/>
          </w:rPr>
          <w:delText>Division</w:delText>
        </w:r>
      </w:del>
      <w:ins w:id="96" w:author="svcMRProcess" w:date="2020-02-19T21:14:00Z">
        <w:r>
          <w:rPr>
            <w:snapToGrid w:val="0"/>
          </w:rPr>
          <w:t>Part</w:t>
        </w:r>
      </w:ins>
      <w:r>
        <w:rPr>
          <w:snapToGrid w:val="0"/>
        </w:rPr>
        <w:t xml:space="preserve"> </w:t>
      </w:r>
      <w:r>
        <w:rPr>
          <w:b/>
          <w:snapToGrid w:val="0"/>
        </w:rPr>
        <w:t>“</w:t>
      </w:r>
      <w:r>
        <w:rPr>
          <w:rStyle w:val="CharDefText"/>
        </w:rPr>
        <w:t>the Commonwealth adjacent area</w:t>
      </w:r>
      <w:r>
        <w:rPr>
          <w:b/>
          <w:snapToGrid w:val="0"/>
        </w:rPr>
        <w:t>”</w:t>
      </w:r>
      <w:r>
        <w:rPr>
          <w:snapToGrid w:val="0"/>
        </w:rPr>
        <w:t xml:space="preserve"> means the adjacent area in respect of Western Australia determined in accordance with section 5A of the Commonwealth Act.</w:t>
      </w:r>
    </w:p>
    <w:p>
      <w:pPr>
        <w:pStyle w:val="Footnotesection"/>
        <w:rPr>
          <w:ins w:id="97" w:author="svcMRProcess" w:date="2020-02-19T21:14:00Z"/>
        </w:rPr>
      </w:pPr>
      <w:ins w:id="98" w:author="svcMRProcess" w:date="2020-02-19T21:14:00Z">
        <w:r>
          <w:tab/>
          <w:t>[Section 11 amended by No. 13 of 2005 s. 35.]</w:t>
        </w:r>
      </w:ins>
    </w:p>
    <w:p>
      <w:pPr>
        <w:pStyle w:val="Heading5"/>
        <w:rPr>
          <w:snapToGrid w:val="0"/>
        </w:rPr>
      </w:pPr>
      <w:bookmarkStart w:id="99" w:name="_Toc501861683"/>
      <w:bookmarkStart w:id="100" w:name="_Toc113772434"/>
      <w:bookmarkStart w:id="101" w:name="_Toc170190527"/>
      <w:bookmarkStart w:id="102" w:name="_Toc157933503"/>
      <w:r>
        <w:rPr>
          <w:rStyle w:val="CharSectno"/>
        </w:rPr>
        <w:t>12</w:t>
      </w:r>
      <w:r>
        <w:rPr>
          <w:snapToGrid w:val="0"/>
        </w:rPr>
        <w:t>.</w:t>
      </w:r>
      <w:r>
        <w:rPr>
          <w:snapToGrid w:val="0"/>
        </w:rPr>
        <w:tab/>
        <w:t>Minister as member of Joint Authority</w:t>
      </w:r>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The Minister may exercise any power which the Commonwealth Act is expressed to authorize him to exercise as a member of the Joint Authority.</w:t>
      </w:r>
    </w:p>
    <w:p>
      <w:pPr>
        <w:pStyle w:val="Subsection"/>
        <w:rPr>
          <w:snapToGrid w:val="0"/>
        </w:rPr>
      </w:pPr>
      <w:r>
        <w:rPr>
          <w:snapToGrid w:val="0"/>
        </w:rPr>
        <w:tab/>
        <w:t>(2)</w:t>
      </w:r>
      <w:r>
        <w:rPr>
          <w:snapToGrid w:val="0"/>
        </w:rPr>
        <w:tab/>
        <w:t>The Minister shall perform any function or duty which the Commonwealth Act is expressed to require him to perform as a member of the Joint Authority.</w:t>
      </w:r>
    </w:p>
    <w:p>
      <w:pPr>
        <w:pStyle w:val="Heading5"/>
        <w:rPr>
          <w:snapToGrid w:val="0"/>
        </w:rPr>
      </w:pPr>
      <w:bookmarkStart w:id="103" w:name="_Toc501861684"/>
      <w:bookmarkStart w:id="104" w:name="_Toc113772435"/>
      <w:bookmarkStart w:id="105" w:name="_Toc170190528"/>
      <w:bookmarkStart w:id="106" w:name="_Toc157933504"/>
      <w:r>
        <w:rPr>
          <w:rStyle w:val="CharSectno"/>
        </w:rPr>
        <w:t>13</w:t>
      </w:r>
      <w:r>
        <w:rPr>
          <w:snapToGrid w:val="0"/>
        </w:rPr>
        <w:t>.</w:t>
      </w:r>
      <w:r>
        <w:rPr>
          <w:snapToGrid w:val="0"/>
        </w:rPr>
        <w:tab/>
        <w:t>Minister as Designated Authority</w:t>
      </w:r>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The Minister is authorized to perform the functions and duties and exercise the powers which the Commonwealth Act is expressed to require or empower the Designated Authority in respect of the Commonwealth adjacent area to perform or exercise.</w:t>
      </w:r>
    </w:p>
    <w:p>
      <w:pPr>
        <w:pStyle w:val="Heading5"/>
        <w:rPr>
          <w:snapToGrid w:val="0"/>
        </w:rPr>
      </w:pPr>
      <w:bookmarkStart w:id="107" w:name="_Toc501861685"/>
      <w:bookmarkStart w:id="108" w:name="_Toc113772436"/>
      <w:bookmarkStart w:id="109" w:name="_Toc170190529"/>
      <w:bookmarkStart w:id="110" w:name="_Toc157933505"/>
      <w:r>
        <w:rPr>
          <w:rStyle w:val="CharSectno"/>
        </w:rPr>
        <w:t>14</w:t>
      </w:r>
      <w:r>
        <w:rPr>
          <w:snapToGrid w:val="0"/>
        </w:rPr>
        <w:t>.</w:t>
      </w:r>
      <w:r>
        <w:rPr>
          <w:snapToGrid w:val="0"/>
        </w:rPr>
        <w:tab/>
        <w:t>Delegations under Commonwealth Act</w:t>
      </w:r>
      <w:bookmarkEnd w:id="107"/>
      <w:bookmarkEnd w:id="108"/>
      <w:bookmarkEnd w:id="109"/>
      <w:bookmarkEnd w:id="110"/>
      <w:r>
        <w:rPr>
          <w:snapToGrid w:val="0"/>
        </w:rPr>
        <w:t xml:space="preserve"> </w:t>
      </w:r>
    </w:p>
    <w:p>
      <w:pPr>
        <w:pStyle w:val="Subsection"/>
        <w:rPr>
          <w:snapToGrid w:val="0"/>
        </w:rPr>
      </w:pPr>
      <w:r>
        <w:rPr>
          <w:snapToGrid w:val="0"/>
        </w:rPr>
        <w:tab/>
      </w:r>
      <w:r>
        <w:rPr>
          <w:snapToGrid w:val="0"/>
        </w:rPr>
        <w:tab/>
        <w:t xml:space="preserve">Where, in the exercise of a power which the Commonwealth Act is expressed to confer upon the Designated Authority in respect of the Commonwealth adjacent area, the Minister delegates a power to a person who is a public service officer within the meaning of the </w:t>
      </w:r>
      <w:r>
        <w:rPr>
          <w:i/>
          <w:snapToGrid w:val="0"/>
        </w:rPr>
        <w:t>Public Sector Management Act 1994</w:t>
      </w:r>
      <w:r>
        <w:rPr>
          <w:snapToGrid w:val="0"/>
        </w:rPr>
        <w:t xml:space="preserve"> that person may exercise the power.</w:t>
      </w:r>
    </w:p>
    <w:p>
      <w:pPr>
        <w:pStyle w:val="Footnotesection"/>
      </w:pPr>
      <w:r>
        <w:tab/>
        <w:t xml:space="preserve">[Section 14 amended by No. 32 of 1994 s.19.] </w:t>
      </w:r>
    </w:p>
    <w:p>
      <w:pPr>
        <w:pStyle w:val="Heading5"/>
        <w:rPr>
          <w:snapToGrid w:val="0"/>
        </w:rPr>
      </w:pPr>
      <w:bookmarkStart w:id="111" w:name="_Toc501861686"/>
      <w:bookmarkStart w:id="112" w:name="_Toc113772437"/>
      <w:bookmarkStart w:id="113" w:name="_Toc170190530"/>
      <w:bookmarkStart w:id="114" w:name="_Toc157933506"/>
      <w:r>
        <w:rPr>
          <w:rStyle w:val="CharSectno"/>
        </w:rPr>
        <w:t>15</w:t>
      </w:r>
      <w:r>
        <w:rPr>
          <w:snapToGrid w:val="0"/>
        </w:rPr>
        <w:t>.</w:t>
      </w:r>
      <w:r>
        <w:rPr>
          <w:snapToGrid w:val="0"/>
        </w:rPr>
        <w:tab/>
        <w:t>Officers performing functions under Commonwealth Act</w:t>
      </w:r>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An officer within the meaning in section 14 shall perform any function or duty which the Minister, as the Designated Authority in respect of the Commonwealth adjacent area, or as a member of the Joint Authority, requires him to perform in relation to the Commonwealth Act.</w:t>
      </w:r>
    </w:p>
    <w:p>
      <w:pPr>
        <w:pStyle w:val="Heading2"/>
        <w:rPr>
          <w:ins w:id="115" w:author="svcMRProcess" w:date="2020-02-19T21:14:00Z"/>
        </w:rPr>
      </w:pPr>
      <w:bookmarkStart w:id="116" w:name="_Toc131393905"/>
      <w:bookmarkStart w:id="117" w:name="_Toc162761139"/>
      <w:bookmarkStart w:id="118" w:name="_Toc170190531"/>
      <w:bookmarkStart w:id="119" w:name="_Toc72913718"/>
      <w:bookmarkStart w:id="120" w:name="_Toc91304198"/>
      <w:bookmarkStart w:id="121" w:name="_Toc92688441"/>
      <w:bookmarkStart w:id="122" w:name="_Toc113772438"/>
      <w:bookmarkStart w:id="123" w:name="_Toc156976923"/>
      <w:bookmarkStart w:id="124" w:name="_Toc157933507"/>
      <w:ins w:id="125" w:author="svcMRProcess" w:date="2020-02-19T21:14:00Z">
        <w:r>
          <w:rPr>
            <w:rStyle w:val="CharPartNo"/>
          </w:rPr>
          <w:t>Part IIA</w:t>
        </w:r>
        <w:r>
          <w:rPr>
            <w:rStyle w:val="CharDivNo"/>
          </w:rPr>
          <w:t> </w:t>
        </w:r>
        <w:r>
          <w:t>—</w:t>
        </w:r>
        <w:r>
          <w:rPr>
            <w:rStyle w:val="CharDivText"/>
          </w:rPr>
          <w:t> </w:t>
        </w:r>
        <w:r>
          <w:rPr>
            <w:rStyle w:val="CharPartText"/>
          </w:rPr>
          <w:t>Application of laws</w:t>
        </w:r>
        <w:bookmarkEnd w:id="116"/>
        <w:bookmarkEnd w:id="117"/>
        <w:bookmarkEnd w:id="118"/>
      </w:ins>
    </w:p>
    <w:p>
      <w:pPr>
        <w:pStyle w:val="Footnoteheading"/>
        <w:rPr>
          <w:ins w:id="126" w:author="svcMRProcess" w:date="2020-02-19T21:14:00Z"/>
        </w:rPr>
      </w:pPr>
      <w:ins w:id="127" w:author="svcMRProcess" w:date="2020-02-19T21:14:00Z">
        <w:r>
          <w:tab/>
          <w:t>[Heading inserted by No. 13 of 2005 s. 36.]</w:t>
        </w:r>
      </w:ins>
    </w:p>
    <w:p>
      <w:pPr>
        <w:pStyle w:val="Heading5"/>
        <w:rPr>
          <w:ins w:id="128" w:author="svcMRProcess" w:date="2020-02-19T21:14:00Z"/>
        </w:rPr>
      </w:pPr>
      <w:bookmarkStart w:id="129" w:name="_Toc170190532"/>
      <w:ins w:id="130" w:author="svcMRProcess" w:date="2020-02-19T21:14:00Z">
        <w:r>
          <w:rPr>
            <w:rStyle w:val="CharSectno"/>
          </w:rPr>
          <w:t>15A</w:t>
        </w:r>
        <w:r>
          <w:t>.</w:t>
        </w:r>
        <w:r>
          <w:tab/>
          <w:t>Disapplication of State occupational safety and health laws</w:t>
        </w:r>
        <w:bookmarkEnd w:id="129"/>
      </w:ins>
    </w:p>
    <w:p>
      <w:pPr>
        <w:pStyle w:val="Subsection"/>
        <w:rPr>
          <w:ins w:id="131" w:author="svcMRProcess" w:date="2020-02-19T21:14:00Z"/>
        </w:rPr>
      </w:pPr>
      <w:ins w:id="132" w:author="svcMRProcess" w:date="2020-02-19T21:14:00Z">
        <w:r>
          <w:tab/>
          <w:t>(1)</w:t>
        </w:r>
        <w:r>
          <w:tab/>
          <w:t xml:space="preserve">The prescribed occupational safety and health laws do not apply in relation to — </w:t>
        </w:r>
      </w:ins>
    </w:p>
    <w:p>
      <w:pPr>
        <w:pStyle w:val="Indenta"/>
        <w:rPr>
          <w:ins w:id="133" w:author="svcMRProcess" w:date="2020-02-19T21:14:00Z"/>
        </w:rPr>
      </w:pPr>
      <w:ins w:id="134" w:author="svcMRProcess" w:date="2020-02-19T21:14:00Z">
        <w:r>
          <w:tab/>
          <w:t>(a)</w:t>
        </w:r>
        <w:r>
          <w:tab/>
          <w:t xml:space="preserve">a facility; </w:t>
        </w:r>
      </w:ins>
    </w:p>
    <w:p>
      <w:pPr>
        <w:pStyle w:val="Indenta"/>
        <w:rPr>
          <w:ins w:id="135" w:author="svcMRProcess" w:date="2020-02-19T21:14:00Z"/>
        </w:rPr>
      </w:pPr>
      <w:ins w:id="136" w:author="svcMRProcess" w:date="2020-02-19T21:14:00Z">
        <w:r>
          <w:tab/>
          <w:t>(b)</w:t>
        </w:r>
        <w:r>
          <w:tab/>
          <w:t>a person at a facility;</w:t>
        </w:r>
      </w:ins>
    </w:p>
    <w:p>
      <w:pPr>
        <w:pStyle w:val="Indenta"/>
        <w:rPr>
          <w:ins w:id="137" w:author="svcMRProcess" w:date="2020-02-19T21:14:00Z"/>
        </w:rPr>
      </w:pPr>
      <w:ins w:id="138" w:author="svcMRProcess" w:date="2020-02-19T21:14:00Z">
        <w:r>
          <w:tab/>
          <w:t>(c)</w:t>
        </w:r>
        <w:r>
          <w:tab/>
          <w:t xml:space="preserve">a person near a facility, to the extent to which the person is affected by — </w:t>
        </w:r>
      </w:ins>
    </w:p>
    <w:p>
      <w:pPr>
        <w:pStyle w:val="Indenti"/>
        <w:rPr>
          <w:ins w:id="139" w:author="svcMRProcess" w:date="2020-02-19T21:14:00Z"/>
        </w:rPr>
      </w:pPr>
      <w:ins w:id="140" w:author="svcMRProcess" w:date="2020-02-19T21:14:00Z">
        <w:r>
          <w:tab/>
          <w:t>(i)</w:t>
        </w:r>
        <w:r>
          <w:tab/>
          <w:t>a facility; or</w:t>
        </w:r>
      </w:ins>
    </w:p>
    <w:p>
      <w:pPr>
        <w:pStyle w:val="Defsubpara"/>
        <w:rPr>
          <w:ins w:id="141" w:author="svcMRProcess" w:date="2020-02-19T21:14:00Z"/>
        </w:rPr>
      </w:pPr>
      <w:ins w:id="142" w:author="svcMRProcess" w:date="2020-02-19T21:14:00Z">
        <w:r>
          <w:tab/>
          <w:t>(ii)</w:t>
        </w:r>
        <w:r>
          <w:tab/>
          <w:t xml:space="preserve">activities that take place at a facility; </w:t>
        </w:r>
      </w:ins>
    </w:p>
    <w:p>
      <w:pPr>
        <w:pStyle w:val="Indenta"/>
        <w:rPr>
          <w:ins w:id="143" w:author="svcMRProcess" w:date="2020-02-19T21:14:00Z"/>
        </w:rPr>
      </w:pPr>
      <w:ins w:id="144" w:author="svcMRProcess" w:date="2020-02-19T21:14:00Z">
        <w:r>
          <w:tab/>
        </w:r>
        <w:r>
          <w:tab/>
          <w:t>or</w:t>
        </w:r>
      </w:ins>
    </w:p>
    <w:p>
      <w:pPr>
        <w:pStyle w:val="Indenta"/>
        <w:rPr>
          <w:ins w:id="145" w:author="svcMRProcess" w:date="2020-02-19T21:14:00Z"/>
        </w:rPr>
      </w:pPr>
      <w:ins w:id="146" w:author="svcMRProcess" w:date="2020-02-19T21:14:00Z">
        <w:r>
          <w:tab/>
          <w:t>(d)</w:t>
        </w:r>
        <w:r>
          <w:tab/>
          <w:t>activities that take place at a facility.</w:t>
        </w:r>
      </w:ins>
    </w:p>
    <w:p>
      <w:pPr>
        <w:pStyle w:val="Subsection"/>
        <w:rPr>
          <w:ins w:id="147" w:author="svcMRProcess" w:date="2020-02-19T21:14:00Z"/>
        </w:rPr>
      </w:pPr>
      <w:ins w:id="148" w:author="svcMRProcess" w:date="2020-02-19T21:14:00Z">
        <w:r>
          <w:tab/>
          <w:t>(2)</w:t>
        </w:r>
        <w:r>
          <w:tab/>
          <w:t xml:space="preserve">A reference in subsection (1) to the prescribed occupational safety and health laws is a reference to such of the provisions of those laws that, but for subsection (1), would apply in the adjacent area under the </w:t>
        </w:r>
        <w:r>
          <w:rPr>
            <w:i/>
          </w:rPr>
          <w:t>Off</w:t>
        </w:r>
        <w:r>
          <w:rPr>
            <w:i/>
          </w:rPr>
          <w:noBreakHyphen/>
          <w:t>shore (Application of Laws) Act </w:t>
        </w:r>
        <w:r>
          <w:rPr>
            <w:i/>
            <w:iCs/>
          </w:rPr>
          <w:t>1982</w:t>
        </w:r>
        <w:r>
          <w:t xml:space="preserve"> or the cooperative scheme as defined by section 3 of the </w:t>
        </w:r>
        <w:r>
          <w:rPr>
            <w:i/>
          </w:rPr>
          <w:t>Crimes at Sea Act 2000</w:t>
        </w:r>
        <w:r>
          <w:rPr>
            <w:i/>
            <w:iCs/>
          </w:rPr>
          <w:t>.</w:t>
        </w:r>
        <w:r>
          <w:t xml:space="preserve"> </w:t>
        </w:r>
      </w:ins>
    </w:p>
    <w:p>
      <w:pPr>
        <w:pStyle w:val="Subsection"/>
        <w:rPr>
          <w:ins w:id="149" w:author="svcMRProcess" w:date="2020-02-19T21:14:00Z"/>
        </w:rPr>
      </w:pPr>
      <w:ins w:id="150" w:author="svcMRProcess" w:date="2020-02-19T21:14:00Z">
        <w:r>
          <w:tab/>
          <w:t>(3)</w:t>
        </w:r>
        <w:r>
          <w:tab/>
          <w:t>In this section—</w:t>
        </w:r>
      </w:ins>
    </w:p>
    <w:p>
      <w:pPr>
        <w:pStyle w:val="Defstart"/>
        <w:rPr>
          <w:ins w:id="151" w:author="svcMRProcess" w:date="2020-02-19T21:14:00Z"/>
        </w:rPr>
      </w:pPr>
      <w:ins w:id="152" w:author="svcMRProcess" w:date="2020-02-19T21:14:00Z">
        <w:r>
          <w:rPr>
            <w:b/>
          </w:rPr>
          <w:tab/>
          <w:t>“</w:t>
        </w:r>
        <w:r>
          <w:rPr>
            <w:rStyle w:val="CharDefText"/>
          </w:rPr>
          <w:t>prescribed occupational safety and health laws</w:t>
        </w:r>
        <w:r>
          <w:rPr>
            <w:b/>
          </w:rPr>
          <w:t>”</w:t>
        </w:r>
        <w:r>
          <w:t xml:space="preserve"> means any laws of the State relating to occupational safety and health (whether or not they also relate to other matters) that are prescribed by the regulations for the purposes of this section.</w:t>
        </w:r>
      </w:ins>
    </w:p>
    <w:p>
      <w:pPr>
        <w:pStyle w:val="Subsection"/>
        <w:rPr>
          <w:ins w:id="153" w:author="svcMRProcess" w:date="2020-02-19T21:14:00Z"/>
          <w:i/>
          <w:iCs/>
        </w:rPr>
      </w:pPr>
      <w:ins w:id="154" w:author="svcMRProcess" w:date="2020-02-19T21:14:00Z">
        <w:r>
          <w:tab/>
          <w:t>(4)</w:t>
        </w:r>
        <w:r>
          <w:tab/>
          <w:t xml:space="preserve">This section applies despite anything to the contrary in the </w:t>
        </w:r>
        <w:r>
          <w:rPr>
            <w:i/>
          </w:rPr>
          <w:t>Off</w:t>
        </w:r>
        <w:r>
          <w:rPr>
            <w:i/>
          </w:rPr>
          <w:noBreakHyphen/>
          <w:t>shore (Application of Laws) Act </w:t>
        </w:r>
        <w:r>
          <w:rPr>
            <w:i/>
            <w:iCs/>
          </w:rPr>
          <w:t>1982</w:t>
        </w:r>
        <w:r>
          <w:t xml:space="preserve"> or the </w:t>
        </w:r>
        <w:r>
          <w:rPr>
            <w:i/>
          </w:rPr>
          <w:t>Crimes at Sea Act 2000</w:t>
        </w:r>
        <w:r>
          <w:rPr>
            <w:i/>
            <w:iCs/>
          </w:rPr>
          <w:t>.</w:t>
        </w:r>
      </w:ins>
    </w:p>
    <w:p>
      <w:pPr>
        <w:pStyle w:val="Footnotesection"/>
        <w:rPr>
          <w:ins w:id="155" w:author="svcMRProcess" w:date="2020-02-19T21:14:00Z"/>
        </w:rPr>
      </w:pPr>
      <w:ins w:id="156" w:author="svcMRProcess" w:date="2020-02-19T21:14:00Z">
        <w:r>
          <w:tab/>
          <w:t>[Section 15A inserted by No. 13 of 2005 s. 36.]</w:t>
        </w:r>
      </w:ins>
    </w:p>
    <w:p>
      <w:pPr>
        <w:pStyle w:val="Heading2"/>
      </w:pPr>
      <w:bookmarkStart w:id="157" w:name="_Toc162761141"/>
      <w:bookmarkStart w:id="158" w:name="_Toc170190533"/>
      <w:r>
        <w:rPr>
          <w:rStyle w:val="CharPartNo"/>
        </w:rPr>
        <w:t>Part III</w:t>
      </w:r>
      <w:r>
        <w:t> — </w:t>
      </w:r>
      <w:r>
        <w:rPr>
          <w:rStyle w:val="CharPartText"/>
        </w:rPr>
        <w:t>Mining for petroleum</w:t>
      </w:r>
      <w:bookmarkEnd w:id="119"/>
      <w:bookmarkEnd w:id="120"/>
      <w:bookmarkEnd w:id="121"/>
      <w:bookmarkEnd w:id="122"/>
      <w:bookmarkEnd w:id="123"/>
      <w:bookmarkEnd w:id="124"/>
      <w:bookmarkEnd w:id="157"/>
      <w:bookmarkEnd w:id="158"/>
      <w:r>
        <w:rPr>
          <w:rStyle w:val="CharPartText"/>
        </w:rPr>
        <w:t xml:space="preserve"> </w:t>
      </w:r>
    </w:p>
    <w:p>
      <w:pPr>
        <w:pStyle w:val="Heading3"/>
        <w:spacing w:before="360"/>
        <w:rPr>
          <w:snapToGrid w:val="0"/>
        </w:rPr>
      </w:pPr>
      <w:bookmarkStart w:id="159" w:name="_Toc72913719"/>
      <w:bookmarkStart w:id="160" w:name="_Toc91304199"/>
      <w:bookmarkStart w:id="161" w:name="_Toc92688442"/>
      <w:bookmarkStart w:id="162" w:name="_Toc113772439"/>
      <w:bookmarkStart w:id="163" w:name="_Toc156976924"/>
      <w:bookmarkStart w:id="164" w:name="_Toc157933508"/>
      <w:bookmarkStart w:id="165" w:name="_Toc162761142"/>
      <w:bookmarkStart w:id="166" w:name="_Toc170190534"/>
      <w:r>
        <w:rPr>
          <w:rStyle w:val="CharDivNo"/>
        </w:rPr>
        <w:t>Division 1</w:t>
      </w:r>
      <w:r>
        <w:rPr>
          <w:snapToGrid w:val="0"/>
        </w:rPr>
        <w:t> — </w:t>
      </w:r>
      <w:r>
        <w:rPr>
          <w:rStyle w:val="CharDivText"/>
        </w:rPr>
        <w:t>Preliminary</w:t>
      </w:r>
      <w:bookmarkEnd w:id="159"/>
      <w:bookmarkEnd w:id="160"/>
      <w:bookmarkEnd w:id="161"/>
      <w:bookmarkEnd w:id="162"/>
      <w:bookmarkEnd w:id="163"/>
      <w:bookmarkEnd w:id="164"/>
      <w:bookmarkEnd w:id="165"/>
      <w:bookmarkEnd w:id="166"/>
      <w:r>
        <w:rPr>
          <w:rStyle w:val="CharDivText"/>
        </w:rPr>
        <w:t xml:space="preserve"> </w:t>
      </w:r>
    </w:p>
    <w:p>
      <w:pPr>
        <w:pStyle w:val="Heading5"/>
        <w:spacing w:before="260"/>
        <w:rPr>
          <w:snapToGrid w:val="0"/>
        </w:rPr>
      </w:pPr>
      <w:bookmarkStart w:id="167" w:name="_Toc501861687"/>
      <w:bookmarkStart w:id="168" w:name="_Toc113772440"/>
      <w:bookmarkStart w:id="169" w:name="_Toc170190535"/>
      <w:bookmarkStart w:id="170" w:name="_Toc157933509"/>
      <w:r>
        <w:rPr>
          <w:rStyle w:val="CharSectno"/>
        </w:rPr>
        <w:t>16</w:t>
      </w:r>
      <w:r>
        <w:rPr>
          <w:snapToGrid w:val="0"/>
        </w:rPr>
        <w:t>.</w:t>
      </w:r>
      <w:r>
        <w:rPr>
          <w:snapToGrid w:val="0"/>
        </w:rPr>
        <w:tab/>
        <w:t>Delegation</w:t>
      </w:r>
      <w:bookmarkEnd w:id="167"/>
      <w:bookmarkEnd w:id="168"/>
      <w:bookmarkEnd w:id="169"/>
      <w:bookmarkEnd w:id="170"/>
      <w:r>
        <w:rPr>
          <w:snapToGrid w:val="0"/>
        </w:rPr>
        <w:t xml:space="preserve"> </w:t>
      </w:r>
    </w:p>
    <w:p>
      <w:pPr>
        <w:pStyle w:val="Subsection"/>
        <w:spacing w:before="180"/>
        <w:rPr>
          <w:snapToGrid w:val="0"/>
        </w:rPr>
      </w:pPr>
      <w:r>
        <w:rPr>
          <w:snapToGrid w:val="0"/>
        </w:rPr>
        <w:tab/>
        <w:t>(1)</w:t>
      </w:r>
      <w:r>
        <w:rPr>
          <w:snapToGrid w:val="0"/>
        </w:rPr>
        <w:tab/>
        <w:t>The Minister may, either generally or as otherwise provided by the instrument of delegation, by writing signed by him delegate to a person any of his powers, functions or duties under this Act</w:t>
      </w:r>
      <w:del w:id="171" w:author="svcMRProcess" w:date="2020-02-19T21:14:00Z">
        <w:r>
          <w:rPr>
            <w:snapToGrid w:val="0"/>
          </w:rPr>
          <w:delText xml:space="preserve"> or the regulations</w:delText>
        </w:r>
      </w:del>
      <w:r>
        <w:rPr>
          <w:snapToGrid w:val="0"/>
        </w:rPr>
        <w:t>, other than this power of delegation.</w:t>
      </w:r>
    </w:p>
    <w:p>
      <w:pPr>
        <w:pStyle w:val="Subsection"/>
        <w:spacing w:before="180"/>
        <w:rPr>
          <w:snapToGrid w:val="0"/>
        </w:rPr>
      </w:pPr>
      <w:r>
        <w:rPr>
          <w:snapToGrid w:val="0"/>
        </w:rPr>
        <w:tab/>
        <w:t>(2)</w:t>
      </w:r>
      <w:r>
        <w:rPr>
          <w:snapToGrid w:val="0"/>
        </w:rPr>
        <w:tab/>
        <w:t>A power, function or duty so delegated, when exercised or performed by the delegate, shall, for the purposes of this Act</w:t>
      </w:r>
      <w:del w:id="172" w:author="svcMRProcess" w:date="2020-02-19T21:14:00Z">
        <w:r>
          <w:rPr>
            <w:snapToGrid w:val="0"/>
          </w:rPr>
          <w:delText xml:space="preserve"> or the regulations</w:delText>
        </w:r>
      </w:del>
      <w:r>
        <w:rPr>
          <w:snapToGrid w:val="0"/>
        </w:rPr>
        <w:t>, be deemed to have been exercised or performed by the Minister.</w:t>
      </w:r>
    </w:p>
    <w:p>
      <w:pPr>
        <w:pStyle w:val="Subsection"/>
        <w:spacing w:before="180"/>
        <w:rPr>
          <w:snapToGrid w:val="0"/>
        </w:rPr>
      </w:pPr>
      <w:r>
        <w:rPr>
          <w:snapToGrid w:val="0"/>
        </w:rPr>
        <w:tab/>
        <w:t>(3)</w:t>
      </w:r>
      <w:r>
        <w:rPr>
          <w:snapToGrid w:val="0"/>
        </w:rPr>
        <w:tab/>
        <w:t>A delegation under this section may be expressed as a delegation to the person for the time being holding, or performing the duties of, a specified office under the Commonwealth, a State or a Territory.</w:t>
      </w:r>
    </w:p>
    <w:p>
      <w:pPr>
        <w:pStyle w:val="Subsection"/>
        <w:spacing w:before="180"/>
        <w:rPr>
          <w:snapToGrid w:val="0"/>
        </w:rPr>
      </w:pPr>
      <w:r>
        <w:rPr>
          <w:snapToGrid w:val="0"/>
        </w:rPr>
        <w:tab/>
        <w:t>(4)</w:t>
      </w:r>
      <w:r>
        <w:rPr>
          <w:snapToGrid w:val="0"/>
        </w:rPr>
        <w:tab/>
        <w:t>A delegation under this section made at any time by a person who is at that time the Minister continues in force notwithstanding that at some subsequent time a different person is the Minister or there is no person who is the Minister, but such a delegation may be revoked or varied by any person who is for the time being the Minister.</w:t>
      </w:r>
    </w:p>
    <w:p>
      <w:pPr>
        <w:pStyle w:val="Subsection"/>
        <w:spacing w:before="180"/>
        <w:rPr>
          <w:snapToGrid w:val="0"/>
        </w:rPr>
      </w:pPr>
      <w:r>
        <w:rPr>
          <w:snapToGrid w:val="0"/>
        </w:rPr>
        <w:tab/>
        <w:t>(5)</w:t>
      </w:r>
      <w:r>
        <w:rPr>
          <w:snapToGrid w:val="0"/>
        </w:rPr>
        <w:tab/>
        <w:t>A delegation under this section of a power, function or duty does not prevent the exercise of the power or performance of the function or duty by the Minister.</w:t>
      </w:r>
    </w:p>
    <w:p>
      <w:pPr>
        <w:pStyle w:val="Subsection"/>
        <w:spacing w:before="180"/>
        <w:rPr>
          <w:snapToGrid w:val="0"/>
        </w:rPr>
      </w:pPr>
      <w:r>
        <w:rPr>
          <w:snapToGrid w:val="0"/>
        </w:rPr>
        <w:tab/>
        <w:t>(6)</w:t>
      </w:r>
      <w:r>
        <w:rPr>
          <w:snapToGrid w:val="0"/>
        </w:rPr>
        <w:tab/>
        <w:t xml:space="preserve">A copy of each instrument making, varying or revoking a delegation shall be published in the </w:t>
      </w:r>
      <w:r>
        <w:rPr>
          <w:i/>
          <w:snapToGrid w:val="0"/>
        </w:rPr>
        <w:t>Gazette</w:t>
      </w:r>
      <w:r>
        <w:rPr>
          <w:snapToGrid w:val="0"/>
        </w:rPr>
        <w:t>.</w:t>
      </w:r>
    </w:p>
    <w:p>
      <w:pPr>
        <w:pStyle w:val="Footnotesection"/>
        <w:rPr>
          <w:ins w:id="173" w:author="svcMRProcess" w:date="2020-02-19T21:14:00Z"/>
        </w:rPr>
      </w:pPr>
      <w:ins w:id="174" w:author="svcMRProcess" w:date="2020-02-19T21:14:00Z">
        <w:r>
          <w:tab/>
          <w:t>[Section 16 amended by No. 13 of 2005 s. 46(2).]</w:t>
        </w:r>
      </w:ins>
    </w:p>
    <w:p>
      <w:pPr>
        <w:pStyle w:val="Heading5"/>
        <w:rPr>
          <w:snapToGrid w:val="0"/>
        </w:rPr>
      </w:pPr>
      <w:bookmarkStart w:id="175" w:name="_Toc501861688"/>
      <w:bookmarkStart w:id="176" w:name="_Toc113772441"/>
      <w:bookmarkStart w:id="177" w:name="_Toc170190536"/>
      <w:bookmarkStart w:id="178" w:name="_Toc157933510"/>
      <w:r>
        <w:rPr>
          <w:rStyle w:val="CharSectno"/>
        </w:rPr>
        <w:t>17</w:t>
      </w:r>
      <w:r>
        <w:rPr>
          <w:snapToGrid w:val="0"/>
        </w:rPr>
        <w:t>.</w:t>
      </w:r>
      <w:r>
        <w:rPr>
          <w:snapToGrid w:val="0"/>
        </w:rPr>
        <w:tab/>
        <w:t>Graticulation of Earth’s surface</w:t>
      </w:r>
      <w:bookmarkEnd w:id="175"/>
      <w:bookmarkEnd w:id="176"/>
      <w:bookmarkEnd w:id="177"/>
      <w:bookmarkEnd w:id="178"/>
      <w:r>
        <w:rPr>
          <w:snapToGrid w:val="0"/>
        </w:rPr>
        <w:t xml:space="preserve"> </w:t>
      </w:r>
    </w:p>
    <w:p>
      <w:pPr>
        <w:pStyle w:val="Subsection"/>
        <w:keepNext/>
        <w:spacing w:before="180"/>
        <w:rPr>
          <w:snapToGrid w:val="0"/>
        </w:rPr>
      </w:pPr>
      <w:r>
        <w:rPr>
          <w:snapToGrid w:val="0"/>
        </w:rPr>
        <w:tab/>
        <w:t>(1)</w:t>
      </w:r>
      <w:r>
        <w:rPr>
          <w:snapToGrid w:val="0"/>
        </w:rPr>
        <w:tab/>
        <w:t>For the purposes of this Act, the surface of the earth shall be deemed to be divided — </w:t>
      </w:r>
    </w:p>
    <w:p>
      <w:pPr>
        <w:pStyle w:val="Indenta"/>
        <w:spacing w:before="100"/>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spacing w:before="100"/>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spacing w:before="180"/>
        <w:rPr>
          <w:snapToGrid w:val="0"/>
        </w:rPr>
      </w:pPr>
      <w:r>
        <w:rPr>
          <w:snapToGrid w:val="0"/>
        </w:rPr>
        <w:tab/>
      </w:r>
      <w:r>
        <w:rPr>
          <w:snapToGrid w:val="0"/>
        </w:rPr>
        <w:tab/>
        <w:t>into sections, each of which is bounded — </w:t>
      </w:r>
    </w:p>
    <w:p>
      <w:pPr>
        <w:pStyle w:val="Indenta"/>
        <w:spacing w:before="100"/>
        <w:rPr>
          <w:snapToGrid w:val="0"/>
        </w:rPr>
      </w:pPr>
      <w:r>
        <w:rPr>
          <w:snapToGrid w:val="0"/>
        </w:rPr>
        <w:tab/>
        <w:t>(c)</w:t>
      </w:r>
      <w:r>
        <w:rPr>
          <w:snapToGrid w:val="0"/>
        </w:rPr>
        <w:tab/>
        <w:t>by portions of 2 of those meridians that are at a distance from each other of 5 minutes of longitude; and</w:t>
      </w:r>
    </w:p>
    <w:p>
      <w:pPr>
        <w:pStyle w:val="Indenta"/>
        <w:spacing w:before="100"/>
        <w:rPr>
          <w:snapToGrid w:val="0"/>
        </w:rPr>
      </w:pPr>
      <w:r>
        <w:rPr>
          <w:snapToGrid w:val="0"/>
        </w:rPr>
        <w:tab/>
        <w:t>(d)</w:t>
      </w:r>
      <w:r>
        <w:rPr>
          <w:snapToGrid w:val="0"/>
        </w:rPr>
        <w:tab/>
        <w:t>by portions of 2 of those parallels of latitude that are at a distance from each other of 5 minutes of latitude.</w:t>
      </w:r>
    </w:p>
    <w:p>
      <w:pPr>
        <w:pStyle w:val="Subsection"/>
        <w:spacing w:before="180"/>
        <w:rPr>
          <w:snapToGrid w:val="0"/>
        </w:rPr>
      </w:pPr>
      <w:r>
        <w:rPr>
          <w:snapToGrid w:val="0"/>
        </w:rPr>
        <w:tab/>
        <w:t>(2)</w:t>
      </w:r>
      <w:r>
        <w:rPr>
          <w:snapToGrid w:val="0"/>
        </w:rPr>
        <w:tab/>
        <w:t>For the purposes of this Act — </w:t>
      </w:r>
    </w:p>
    <w:p>
      <w:pPr>
        <w:pStyle w:val="Indenta"/>
        <w:spacing w:before="100"/>
        <w:rPr>
          <w:snapToGrid w:val="0"/>
        </w:rPr>
      </w:pPr>
      <w:r>
        <w:rPr>
          <w:snapToGrid w:val="0"/>
        </w:rPr>
        <w:tab/>
        <w:t>(a)</w:t>
      </w:r>
      <w:r>
        <w:rPr>
          <w:snapToGrid w:val="0"/>
        </w:rPr>
        <w:tab/>
        <w:t>a graticular section that is wholly within the adjacent area constitutes a block; and</w:t>
      </w:r>
    </w:p>
    <w:p>
      <w:pPr>
        <w:pStyle w:val="Indenta"/>
        <w:spacing w:before="100"/>
        <w:rPr>
          <w:snapToGrid w:val="0"/>
        </w:rPr>
      </w:pPr>
      <w:r>
        <w:rPr>
          <w:snapToGrid w:val="0"/>
        </w:rPr>
        <w:tab/>
        <w:t>(b)</w:t>
      </w:r>
      <w:r>
        <w:rPr>
          <w:snapToGrid w:val="0"/>
        </w:rPr>
        <w:tab/>
        <w:t>if a part only of a graticular section is, or parts only of a graticular section are, within the adjacent area, the area of that part, or of those parts, constitutes a block.</w:t>
      </w:r>
    </w:p>
    <w:p>
      <w:pPr>
        <w:pStyle w:val="Subsection"/>
        <w:spacing w:before="180"/>
        <w:rPr>
          <w:snapToGrid w:val="0"/>
        </w:rPr>
      </w:pPr>
      <w:r>
        <w:rPr>
          <w:snapToGrid w:val="0"/>
        </w:rPr>
        <w:tab/>
        <w:t>(3)</w:t>
      </w:r>
      <w:r>
        <w:rPr>
          <w:snapToGrid w:val="0"/>
        </w:rPr>
        <w:tab/>
        <w:t>In this Act — </w:t>
      </w:r>
    </w:p>
    <w:p>
      <w:pPr>
        <w:pStyle w:val="Indenta"/>
        <w:spacing w:before="100"/>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spacing w:before="100"/>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rPr>
          <w:snapToGrid w:val="0"/>
        </w:rPr>
        <w:tab/>
      </w:r>
      <w:r>
        <w:t>(4)</w:t>
      </w:r>
      <w:r>
        <w:tab/>
        <w:t>Without limiting subsection (2) of section 10, a datum is to be prescribed by regulations referred to in that section for the purposes of the determination of the position on the surface of the Earth of a graticular section or a block.</w:t>
      </w:r>
    </w:p>
    <w:p>
      <w:pPr>
        <w:pStyle w:val="Footnotesection"/>
      </w:pPr>
      <w:r>
        <w:tab/>
        <w:t>[Section 17 amended by No. 54 of 2000 s.8(3).]</w:t>
      </w:r>
    </w:p>
    <w:p>
      <w:pPr>
        <w:pStyle w:val="Heading5"/>
        <w:rPr>
          <w:snapToGrid w:val="0"/>
        </w:rPr>
      </w:pPr>
      <w:bookmarkStart w:id="179" w:name="_Toc501861689"/>
      <w:bookmarkStart w:id="180" w:name="_Toc113772442"/>
      <w:bookmarkStart w:id="181" w:name="_Toc170190537"/>
      <w:bookmarkStart w:id="182" w:name="_Toc157933511"/>
      <w:r>
        <w:rPr>
          <w:rStyle w:val="CharSectno"/>
        </w:rPr>
        <w:t>18</w:t>
      </w:r>
      <w:r>
        <w:rPr>
          <w:snapToGrid w:val="0"/>
        </w:rPr>
        <w:t>.</w:t>
      </w:r>
      <w:r>
        <w:rPr>
          <w:snapToGrid w:val="0"/>
        </w:rPr>
        <w:tab/>
        <w:t>Reservation of blocks</w:t>
      </w:r>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declare that a block specified in the instrument (not being a block in respect of which a permit, lease or licence is in force or over or in which there is a pipeline) shall not be the subject of a permit, lease, licence, special prospecting authority or access authority and that a pipeline licence shall not be granted in respect of a pipeline over or in that block.</w:t>
      </w:r>
    </w:p>
    <w:p>
      <w:pPr>
        <w:pStyle w:val="Subsection"/>
        <w:rPr>
          <w:snapToGrid w:val="0"/>
        </w:rPr>
      </w:pPr>
      <w:r>
        <w:rPr>
          <w:snapToGrid w:val="0"/>
        </w:rPr>
        <w:tab/>
        <w:t>(2)</w:t>
      </w:r>
      <w:r>
        <w:rPr>
          <w:snapToGrid w:val="0"/>
        </w:rPr>
        <w:tab/>
        <w:t>While a declaration under subsection (1) remains in force in respect of a block, a permit, lease, licence, special prospecting authority or access authority shall not be granted in respect of that block and a pipeline licence shall not be granted in respect of a pipeline over or in that block.</w:t>
      </w:r>
    </w:p>
    <w:p>
      <w:pPr>
        <w:pStyle w:val="Footnotesection"/>
      </w:pPr>
      <w:r>
        <w:tab/>
        <w:t xml:space="preserve">[Section 18 amended by No. 12 of 1990 s.164.] </w:t>
      </w:r>
    </w:p>
    <w:p>
      <w:pPr>
        <w:pStyle w:val="Heading5"/>
        <w:rPr>
          <w:snapToGrid w:val="0"/>
        </w:rPr>
      </w:pPr>
      <w:bookmarkStart w:id="183" w:name="_Toc501861690"/>
      <w:bookmarkStart w:id="184" w:name="_Toc113772443"/>
      <w:bookmarkStart w:id="185" w:name="_Toc170190538"/>
      <w:bookmarkStart w:id="186" w:name="_Toc157933512"/>
      <w:r>
        <w:rPr>
          <w:rStyle w:val="CharSectno"/>
        </w:rPr>
        <w:t>18A</w:t>
      </w:r>
      <w:r>
        <w:rPr>
          <w:snapToGrid w:val="0"/>
        </w:rPr>
        <w:t>.</w:t>
      </w:r>
      <w:r>
        <w:rPr>
          <w:snapToGrid w:val="0"/>
        </w:rPr>
        <w:tab/>
        <w:t>Issue of permits etc. in marine reserves</w:t>
      </w:r>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 xml:space="preserve">Before granting or renewing a permit,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marine reserve</w:t>
      </w:r>
      <w:r>
        <w:rPr>
          <w:b/>
        </w:rPr>
        <w:t>”</w:t>
      </w:r>
      <w:r>
        <w:t xml:space="preserve"> means a marine nature reserve, marine park or marine management area within the meaning of the </w:t>
      </w:r>
      <w:r>
        <w:rPr>
          <w:i/>
        </w:rPr>
        <w:t>Conservation and Land Management Act 1984</w:t>
      </w:r>
      <w:r>
        <w:t>.</w:t>
      </w:r>
    </w:p>
    <w:p>
      <w:pPr>
        <w:pStyle w:val="Footnotesection"/>
      </w:pPr>
      <w:r>
        <w:tab/>
        <w:t xml:space="preserve">[Section 18A inserted by No. 5 of 1997 s.44.] </w:t>
      </w:r>
    </w:p>
    <w:p>
      <w:pPr>
        <w:pStyle w:val="Heading3"/>
        <w:rPr>
          <w:snapToGrid w:val="0"/>
        </w:rPr>
      </w:pPr>
      <w:bookmarkStart w:id="187" w:name="_Toc72913724"/>
      <w:bookmarkStart w:id="188" w:name="_Toc91304204"/>
      <w:bookmarkStart w:id="189" w:name="_Toc92688447"/>
      <w:bookmarkStart w:id="190" w:name="_Toc113772444"/>
      <w:bookmarkStart w:id="191" w:name="_Toc156976929"/>
      <w:bookmarkStart w:id="192" w:name="_Toc157933513"/>
      <w:bookmarkStart w:id="193" w:name="_Toc162761147"/>
      <w:bookmarkStart w:id="194" w:name="_Toc170190539"/>
      <w:r>
        <w:rPr>
          <w:rStyle w:val="CharDivNo"/>
        </w:rPr>
        <w:t>Division 2</w:t>
      </w:r>
      <w:r>
        <w:rPr>
          <w:snapToGrid w:val="0"/>
        </w:rPr>
        <w:t> — </w:t>
      </w:r>
      <w:r>
        <w:rPr>
          <w:rStyle w:val="CharDivText"/>
        </w:rPr>
        <w:t>Exploration permits for petroleum</w:t>
      </w:r>
      <w:bookmarkEnd w:id="187"/>
      <w:bookmarkEnd w:id="188"/>
      <w:bookmarkEnd w:id="189"/>
      <w:bookmarkEnd w:id="190"/>
      <w:bookmarkEnd w:id="191"/>
      <w:bookmarkEnd w:id="192"/>
      <w:bookmarkEnd w:id="193"/>
      <w:bookmarkEnd w:id="194"/>
      <w:r>
        <w:rPr>
          <w:rStyle w:val="CharDivText"/>
        </w:rPr>
        <w:t xml:space="preserve"> </w:t>
      </w:r>
    </w:p>
    <w:p>
      <w:pPr>
        <w:pStyle w:val="Heading5"/>
        <w:rPr>
          <w:snapToGrid w:val="0"/>
        </w:rPr>
      </w:pPr>
      <w:bookmarkStart w:id="195" w:name="_Toc501861691"/>
      <w:bookmarkStart w:id="196" w:name="_Toc113772445"/>
      <w:bookmarkStart w:id="197" w:name="_Toc170190540"/>
      <w:bookmarkStart w:id="198" w:name="_Toc157933514"/>
      <w:r>
        <w:rPr>
          <w:rStyle w:val="CharSectno"/>
        </w:rPr>
        <w:t>19</w:t>
      </w:r>
      <w:r>
        <w:rPr>
          <w:snapToGrid w:val="0"/>
        </w:rPr>
        <w:t>.</w:t>
      </w:r>
      <w:r>
        <w:rPr>
          <w:snapToGrid w:val="0"/>
        </w:rPr>
        <w:tab/>
        <w:t>Exploration for petroleum</w:t>
      </w:r>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A person shall not explore for petroleum in the adjacent area except — </w:t>
      </w:r>
    </w:p>
    <w:p>
      <w:pPr>
        <w:pStyle w:val="Indenta"/>
        <w:rPr>
          <w:snapToGrid w:val="0"/>
        </w:rPr>
      </w:pPr>
      <w:r>
        <w:rPr>
          <w:snapToGrid w:val="0"/>
        </w:rPr>
        <w:tab/>
        <w:t>(a)</w:t>
      </w:r>
      <w:r>
        <w:rPr>
          <w:snapToGrid w:val="0"/>
        </w:rPr>
        <w:tab/>
        <w:t>under and in accordance with a permit;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Subsection"/>
        <w:rPr>
          <w:snapToGrid w:val="0"/>
        </w:rPr>
      </w:pPr>
      <w:r>
        <w:rPr>
          <w:snapToGrid w:val="0"/>
        </w:rPr>
        <w:tab/>
        <w:t>(2)</w:t>
      </w:r>
      <w:r>
        <w:rPr>
          <w:snapToGrid w:val="0"/>
        </w:rPr>
        <w:tab/>
        <w:t xml:space="preserve">In subsection (1) to </w:t>
      </w:r>
      <w:r>
        <w:rPr>
          <w:b/>
          <w:snapToGrid w:val="0"/>
        </w:rPr>
        <w:t>“</w:t>
      </w:r>
      <w:r>
        <w:rPr>
          <w:rStyle w:val="CharDefText"/>
        </w:rPr>
        <w:t>explore for petroleum</w:t>
      </w:r>
      <w:r>
        <w:rPr>
          <w:b/>
          <w:snapToGrid w:val="0"/>
        </w:rPr>
        <w:t>”</w:t>
      </w:r>
      <w:r>
        <w:rPr>
          <w:snapToGrid w:val="0"/>
        </w:rPr>
        <w:t xml:space="preserve"> includes to conduct any geophysical survey, the data from which is intended for use in the search for petroleum.</w:t>
      </w:r>
    </w:p>
    <w:p>
      <w:pPr>
        <w:pStyle w:val="Footnotesection"/>
      </w:pPr>
      <w:r>
        <w:tab/>
        <w:t xml:space="preserve">[Section 19 amended by No. 28 of 1994 s.80.] </w:t>
      </w:r>
    </w:p>
    <w:p>
      <w:pPr>
        <w:pStyle w:val="Heading5"/>
        <w:rPr>
          <w:snapToGrid w:val="0"/>
        </w:rPr>
      </w:pPr>
      <w:bookmarkStart w:id="199" w:name="_Toc501861692"/>
      <w:bookmarkStart w:id="200" w:name="_Toc113772446"/>
      <w:bookmarkStart w:id="201" w:name="_Toc170190541"/>
      <w:bookmarkStart w:id="202" w:name="_Toc157933515"/>
      <w:r>
        <w:rPr>
          <w:rStyle w:val="CharSectno"/>
        </w:rPr>
        <w:t>20</w:t>
      </w:r>
      <w:r>
        <w:rPr>
          <w:snapToGrid w:val="0"/>
        </w:rPr>
        <w:t>.</w:t>
      </w:r>
      <w:r>
        <w:rPr>
          <w:snapToGrid w:val="0"/>
        </w:rPr>
        <w:tab/>
        <w:t>Advertisement of blocks</w:t>
      </w:r>
      <w:bookmarkEnd w:id="199"/>
      <w:bookmarkEnd w:id="200"/>
      <w:bookmarkEnd w:id="201"/>
      <w:bookmarkEnd w:id="202"/>
      <w:r>
        <w:rPr>
          <w:snapToGrid w:val="0"/>
        </w:rPr>
        <w:t xml:space="preserve"> </w:t>
      </w:r>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 </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rPr>
          <w:snapToGrid w:val="0"/>
        </w:rPr>
      </w:pPr>
      <w:r>
        <w:rPr>
          <w:snapToGrid w:val="0"/>
        </w:rPr>
        <w:tab/>
        <w:t>(2)</w:t>
      </w:r>
      <w:r>
        <w:rPr>
          <w:snapToGrid w:val="0"/>
        </w:rPr>
        <w:tab/>
        <w:t>The Minister may, for reasons that he thinks sufficient, in an instrument under subsection (1), direct that section 21(2) or (3) does not apply, or that both of those subsections do not apply, to or in relation to the applications.</w:t>
      </w:r>
    </w:p>
    <w:p>
      <w:pPr>
        <w:pStyle w:val="Footnotesection"/>
      </w:pPr>
      <w:r>
        <w:tab/>
        <w:t xml:space="preserve">[Section 20 amended by No. 12 of 1990 s.165.] </w:t>
      </w:r>
    </w:p>
    <w:p>
      <w:pPr>
        <w:pStyle w:val="Heading5"/>
        <w:rPr>
          <w:snapToGrid w:val="0"/>
        </w:rPr>
      </w:pPr>
      <w:bookmarkStart w:id="203" w:name="_Toc501861693"/>
      <w:bookmarkStart w:id="204" w:name="_Toc113772447"/>
      <w:bookmarkStart w:id="205" w:name="_Toc170190542"/>
      <w:bookmarkStart w:id="206" w:name="_Toc157933516"/>
      <w:r>
        <w:rPr>
          <w:rStyle w:val="CharSectno"/>
        </w:rPr>
        <w:t>21</w:t>
      </w:r>
      <w:r>
        <w:rPr>
          <w:snapToGrid w:val="0"/>
        </w:rPr>
        <w:t>.</w:t>
      </w:r>
      <w:r>
        <w:rPr>
          <w:snapToGrid w:val="0"/>
        </w:rPr>
        <w:tab/>
        <w:t>Application for permits</w:t>
      </w:r>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An application under section 20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in respect of not more than 400 blocks;</w:t>
      </w:r>
    </w:p>
    <w:p>
      <w:pPr>
        <w:pStyle w:val="Indenta"/>
        <w:rPr>
          <w:snapToGrid w:val="0"/>
        </w:rPr>
      </w:pPr>
      <w:r>
        <w:rPr>
          <w:snapToGrid w:val="0"/>
        </w:rPr>
        <w:tab/>
        <w:t>(d)</w:t>
      </w:r>
      <w:r>
        <w:rPr>
          <w:snapToGrid w:val="0"/>
        </w:rPr>
        <w:tab/>
        <w:t>shall be accompanied by particulars of — </w:t>
      </w:r>
    </w:p>
    <w:p>
      <w:pPr>
        <w:pStyle w:val="Indenti"/>
        <w:rPr>
          <w:snapToGrid w:val="0"/>
        </w:rPr>
      </w:pPr>
      <w:r>
        <w:rPr>
          <w:snapToGrid w:val="0"/>
        </w:rPr>
        <w:tab/>
        <w:t>(i)</w:t>
      </w:r>
      <w:r>
        <w:rPr>
          <w:snapToGrid w:val="0"/>
        </w:rPr>
        <w:tab/>
        <w:t>the proposals of the applicant for work and expenditure in respect of the blocks specified in the application;</w:t>
      </w:r>
    </w:p>
    <w:p>
      <w:pPr>
        <w:pStyle w:val="Indenti"/>
        <w:rPr>
          <w:snapToGrid w:val="0"/>
        </w:rPr>
      </w:pPr>
      <w:r>
        <w:rPr>
          <w:snapToGrid w:val="0"/>
        </w:rPr>
        <w:tab/>
        <w:t>(ii)</w:t>
      </w:r>
      <w:r>
        <w:rPr>
          <w:snapToGrid w:val="0"/>
        </w:rPr>
        <w:tab/>
        <w:t>the technical qualifications of the applicant and of his employees;</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snapToGrid w:val="0"/>
        </w:rPr>
      </w:pPr>
      <w:r>
        <w:rPr>
          <w:snapToGrid w:val="0"/>
        </w:rPr>
        <w:tab/>
        <w:t>(e)</w:t>
      </w:r>
      <w:r>
        <w:rPr>
          <w:snapToGrid w:val="0"/>
        </w:rPr>
        <w:tab/>
        <w:t xml:space="preserve">may set out other matters that the applicant wishes the Minister to consider; and </w:t>
      </w:r>
    </w:p>
    <w:p>
      <w:pPr>
        <w:pStyle w:val="Indenta"/>
        <w:rPr>
          <w:snapToGrid w:val="0"/>
        </w:rPr>
      </w:pPr>
      <w:r>
        <w:rPr>
          <w:snapToGrid w:val="0"/>
        </w:rPr>
        <w:tab/>
        <w:t>(f)</w:t>
      </w:r>
      <w:r>
        <w:rPr>
          <w:snapToGrid w:val="0"/>
        </w:rPr>
        <w:tab/>
        <w:t>shall be accompanied by the prescribed fee.</w:t>
      </w:r>
    </w:p>
    <w:p>
      <w:pPr>
        <w:pStyle w:val="Subsection"/>
        <w:spacing w:before="120"/>
        <w:rPr>
          <w:snapToGrid w:val="0"/>
        </w:rPr>
      </w:pPr>
      <w:r>
        <w:rPr>
          <w:snapToGrid w:val="0"/>
        </w:rPr>
        <w:tab/>
        <w:t>(2)</w:t>
      </w:r>
      <w:r>
        <w:rPr>
          <w:snapToGrid w:val="0"/>
        </w:rPr>
        <w:tab/>
        <w:t>The number of blocks specified in the application — </w:t>
      </w:r>
    </w:p>
    <w:p>
      <w:pPr>
        <w:pStyle w:val="Indenta"/>
        <w:rPr>
          <w:snapToGrid w:val="0"/>
        </w:rPr>
      </w:pPr>
      <w:r>
        <w:rPr>
          <w:snapToGrid w:val="0"/>
        </w:rPr>
        <w:tab/>
        <w:t>(a)</w:t>
      </w:r>
      <w:r>
        <w:rPr>
          <w:snapToGrid w:val="0"/>
        </w:rPr>
        <w:tab/>
        <w:t>if 16 blocks or more are available, shall not be less than 16; or</w:t>
      </w:r>
    </w:p>
    <w:p>
      <w:pPr>
        <w:pStyle w:val="Indenta"/>
        <w:rPr>
          <w:snapToGrid w:val="0"/>
        </w:rPr>
      </w:pPr>
      <w:r>
        <w:rPr>
          <w:snapToGrid w:val="0"/>
        </w:rPr>
        <w:tab/>
        <w:t>(b)</w:t>
      </w:r>
      <w:r>
        <w:rPr>
          <w:snapToGrid w:val="0"/>
        </w:rPr>
        <w:tab/>
        <w:t>if less than 16 blocks are available, shall be the number available.</w:t>
      </w:r>
    </w:p>
    <w:p>
      <w:pPr>
        <w:pStyle w:val="Subsection"/>
        <w:spacing w:before="120"/>
        <w:rPr>
          <w:snapToGrid w:val="0"/>
        </w:rPr>
      </w:pPr>
      <w:r>
        <w:rPr>
          <w:snapToGrid w:val="0"/>
        </w:rPr>
        <w:tab/>
        <w:t>(3)</w:t>
      </w:r>
      <w:r>
        <w:rPr>
          <w:snapToGrid w:val="0"/>
        </w:rPr>
        <w:tab/>
        <w:t>The blocks specified in the application shall be blocks that are constituted by graticular sections that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spacing w:before="120"/>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 xml:space="preserve">[Section 21 amended by No. 12 of 1990 s.166.] </w:t>
      </w:r>
    </w:p>
    <w:p>
      <w:pPr>
        <w:pStyle w:val="Heading5"/>
        <w:rPr>
          <w:snapToGrid w:val="0"/>
        </w:rPr>
      </w:pPr>
      <w:bookmarkStart w:id="207" w:name="_Toc501861694"/>
      <w:bookmarkStart w:id="208" w:name="_Toc113772448"/>
      <w:bookmarkStart w:id="209" w:name="_Toc170190543"/>
      <w:bookmarkStart w:id="210" w:name="_Toc157933517"/>
      <w:r>
        <w:rPr>
          <w:rStyle w:val="CharSectno"/>
        </w:rPr>
        <w:t>22</w:t>
      </w:r>
      <w:r>
        <w:rPr>
          <w:snapToGrid w:val="0"/>
        </w:rPr>
        <w:t>.</w:t>
      </w:r>
      <w:r>
        <w:rPr>
          <w:snapToGrid w:val="0"/>
        </w:rPr>
        <w:tab/>
        <w:t>Grant or refusal of permit in relation to application</w:t>
      </w:r>
      <w:bookmarkEnd w:id="207"/>
      <w:bookmarkEnd w:id="208"/>
      <w:bookmarkEnd w:id="209"/>
      <w:bookmarkEnd w:id="210"/>
      <w:r>
        <w:rPr>
          <w:snapToGrid w:val="0"/>
        </w:rPr>
        <w:t xml:space="preserve"> </w:t>
      </w:r>
    </w:p>
    <w:p>
      <w:pPr>
        <w:pStyle w:val="Subsection"/>
        <w:spacing w:before="120"/>
        <w:rPr>
          <w:snapToGrid w:val="0"/>
        </w:rPr>
      </w:pPr>
      <w:r>
        <w:rPr>
          <w:snapToGrid w:val="0"/>
        </w:rPr>
        <w:tab/>
        <w:t>(1)</w:t>
      </w:r>
      <w:r>
        <w:rPr>
          <w:snapToGrid w:val="0"/>
        </w:rPr>
        <w:tab/>
        <w:t>Where an application has been made under section 20, the Minister may —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keepNext/>
        <w:spacing w:before="120"/>
        <w:rPr>
          <w:snapToGrid w:val="0"/>
        </w:rPr>
      </w:pPr>
      <w:r>
        <w:rPr>
          <w:snapToGrid w:val="0"/>
        </w:rPr>
        <w:tab/>
        <w:t>(2)</w:t>
      </w:r>
      <w:r>
        <w:rPr>
          <w:snapToGrid w:val="0"/>
        </w:rPr>
        <w:tab/>
        <w:t>An instrument under subsection (1) shall contain —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spacing w:before="120"/>
        <w:rPr>
          <w:snapToGrid w:val="0"/>
          <w:spacing w:val="-2"/>
        </w:rPr>
      </w:pPr>
      <w:r>
        <w:rPr>
          <w:snapToGrid w:val="0"/>
          <w:spacing w:val="-2"/>
        </w:rPr>
        <w:tab/>
        <w:t>(3)</w:t>
      </w:r>
      <w:r>
        <w:rPr>
          <w:snapToGrid w:val="0"/>
          <w:spacing w:val="-2"/>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spacing w:val="-2"/>
        </w:rPr>
        <w:noBreakHyphen/>
        <w:t>mentioned period of one month, allows, by instrument in writing served on the Minister, request the Minister to grant to the applicant the permit referred to in the first</w:t>
      </w:r>
      <w:r>
        <w:rPr>
          <w:snapToGrid w:val="0"/>
          <w:spacing w:val="-2"/>
        </w:rPr>
        <w:noBreakHyphen/>
        <w:t>mentioned instrument.</w:t>
      </w:r>
    </w:p>
    <w:p>
      <w:pPr>
        <w:pStyle w:val="Subsection"/>
        <w:spacing w:before="120"/>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him an exploration permit for petroleum in respect of the block or blocks specified in the instrument.</w:t>
      </w:r>
    </w:p>
    <w:p>
      <w:pPr>
        <w:pStyle w:val="Subsection"/>
        <w:spacing w:before="120"/>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 xml:space="preserve">[Section 22 amended by No. 28 of 1994 s.81.] </w:t>
      </w:r>
    </w:p>
    <w:p>
      <w:pPr>
        <w:pStyle w:val="Heading5"/>
        <w:rPr>
          <w:snapToGrid w:val="0"/>
        </w:rPr>
      </w:pPr>
      <w:bookmarkStart w:id="211" w:name="_Toc501861695"/>
      <w:bookmarkStart w:id="212" w:name="_Toc113772449"/>
      <w:bookmarkStart w:id="213" w:name="_Toc170190544"/>
      <w:bookmarkStart w:id="214" w:name="_Toc157933518"/>
      <w:r>
        <w:rPr>
          <w:rStyle w:val="CharSectno"/>
        </w:rPr>
        <w:t>23</w:t>
      </w:r>
      <w:r>
        <w:rPr>
          <w:snapToGrid w:val="0"/>
        </w:rPr>
        <w:t>.</w:t>
      </w:r>
      <w:r>
        <w:rPr>
          <w:snapToGrid w:val="0"/>
        </w:rPr>
        <w:tab/>
        <w:t>Application for permit in respect of surrendered etc., blocks</w:t>
      </w:r>
      <w:bookmarkEnd w:id="211"/>
      <w:bookmarkEnd w:id="212"/>
      <w:bookmarkEnd w:id="213"/>
      <w:bookmarkEnd w:id="214"/>
      <w:r>
        <w:rPr>
          <w:snapToGrid w:val="0"/>
        </w:rPr>
        <w:t xml:space="preserve"> </w:t>
      </w:r>
    </w:p>
    <w:p>
      <w:pPr>
        <w:pStyle w:val="Subsection"/>
        <w:spacing w:before="12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lease is surrendered, cancelled or determined as to a block or blocks;</w:t>
      </w:r>
    </w:p>
    <w:p>
      <w:pPr>
        <w:pStyle w:val="Indenta"/>
        <w:rPr>
          <w:snapToGrid w:val="0"/>
        </w:rPr>
      </w:pPr>
      <w:r>
        <w:rPr>
          <w:snapToGrid w:val="0"/>
        </w:rPr>
        <w:tab/>
        <w:t>(aa)</w:t>
      </w:r>
      <w:r>
        <w:rPr>
          <w:snapToGrid w:val="0"/>
        </w:rPr>
        <w:tab/>
        <w:t>a licence is surrendered or cancelled as to a block or blocks;</w:t>
      </w:r>
    </w:p>
    <w:p>
      <w:pPr>
        <w:pStyle w:val="Indenta"/>
        <w:rPr>
          <w:snapToGrid w:val="0"/>
        </w:rPr>
      </w:pPr>
      <w:r>
        <w:rPr>
          <w:snapToGrid w:val="0"/>
        </w:rPr>
        <w:tab/>
        <w:t>(b)</w:t>
      </w:r>
      <w:r>
        <w:rPr>
          <w:snapToGrid w:val="0"/>
        </w:rPr>
        <w:tab/>
        <w:t>a 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invite applications for the grant of a permit in respect of that block or such of those blocks as are specified in the instrument and specify a period within which applications may be made.</w:t>
      </w:r>
    </w:p>
    <w:p>
      <w:pPr>
        <w:pStyle w:val="Ednotesubsection"/>
      </w:pPr>
      <w:r>
        <w:tab/>
        <w:t>[(2) and (3)</w:t>
      </w:r>
      <w:r>
        <w:tab/>
        <w:t>repealed]</w:t>
      </w:r>
    </w:p>
    <w:p>
      <w:pPr>
        <w:pStyle w:val="Subsection"/>
        <w:spacing w:before="120"/>
        <w:rPr>
          <w:snapToGrid w:val="0"/>
        </w:rPr>
      </w:pPr>
      <w:r>
        <w:rPr>
          <w:snapToGrid w:val="0"/>
        </w:rPr>
        <w:tab/>
        <w:t>(4)</w:t>
      </w:r>
      <w:r>
        <w:rPr>
          <w:snapToGrid w:val="0"/>
        </w:rPr>
        <w:tab/>
        <w:t>An application under this section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the particulars referred to in section 21(1)(d);</w:t>
      </w:r>
    </w:p>
    <w:p>
      <w:pPr>
        <w:pStyle w:val="Indenta"/>
        <w:rPr>
          <w:snapToGrid w:val="0"/>
        </w:rPr>
      </w:pPr>
      <w:r>
        <w:rPr>
          <w:snapToGrid w:val="0"/>
        </w:rPr>
        <w:tab/>
        <w:t>(d)</w:t>
      </w:r>
      <w:r>
        <w:rPr>
          <w:snapToGrid w:val="0"/>
        </w:rPr>
        <w:tab/>
        <w:t>shall specify an amount that the applicant is prepared to pay to the Minister, in addition to the fee referred to in section 24(1)(a), in respect of the grant of a permit to him on the application; and</w:t>
      </w:r>
    </w:p>
    <w:p>
      <w:pPr>
        <w:pStyle w:val="Indenta"/>
        <w:rPr>
          <w:snapToGrid w:val="0"/>
        </w:rPr>
      </w:pPr>
      <w:r>
        <w:rPr>
          <w:snapToGrid w:val="0"/>
        </w:rPr>
        <w:tab/>
        <w:t>(e)</w:t>
      </w:r>
      <w:r>
        <w:rPr>
          <w:snapToGrid w:val="0"/>
        </w:rPr>
        <w:tab/>
        <w:t>may set out any other matters that the applicant wishes the Minister to consider.</w:t>
      </w:r>
    </w:p>
    <w:p>
      <w:pPr>
        <w:pStyle w:val="Subsection"/>
        <w:spacing w:before="120"/>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 xml:space="preserve">[Section 23 amended by No. 12 of 1990 s.167; No. 28 of 1994 s.82.] </w:t>
      </w:r>
    </w:p>
    <w:p>
      <w:pPr>
        <w:pStyle w:val="Heading5"/>
        <w:rPr>
          <w:snapToGrid w:val="0"/>
        </w:rPr>
      </w:pPr>
      <w:bookmarkStart w:id="215" w:name="_Toc501861696"/>
      <w:bookmarkStart w:id="216" w:name="_Toc113772450"/>
      <w:bookmarkStart w:id="217" w:name="_Toc170190545"/>
      <w:bookmarkStart w:id="218" w:name="_Toc157933519"/>
      <w:r>
        <w:rPr>
          <w:rStyle w:val="CharSectno"/>
        </w:rPr>
        <w:t>24</w:t>
      </w:r>
      <w:r>
        <w:rPr>
          <w:snapToGrid w:val="0"/>
        </w:rPr>
        <w:t>.</w:t>
      </w:r>
      <w:r>
        <w:rPr>
          <w:snapToGrid w:val="0"/>
        </w:rPr>
        <w:tab/>
        <w:t>Application fee, etc.</w:t>
      </w:r>
      <w:bookmarkEnd w:id="215"/>
      <w:bookmarkEnd w:id="216"/>
      <w:bookmarkEnd w:id="217"/>
      <w:bookmarkEnd w:id="218"/>
      <w:r>
        <w:rPr>
          <w:snapToGrid w:val="0"/>
        </w:rPr>
        <w:t xml:space="preserve"> </w:t>
      </w:r>
    </w:p>
    <w:p>
      <w:pPr>
        <w:pStyle w:val="Subsection"/>
        <w:spacing w:before="120"/>
        <w:rPr>
          <w:snapToGrid w:val="0"/>
        </w:rPr>
      </w:pPr>
      <w:r>
        <w:rPr>
          <w:snapToGrid w:val="0"/>
        </w:rPr>
        <w:tab/>
        <w:t>(1)</w:t>
      </w:r>
      <w:r>
        <w:rPr>
          <w:snapToGrid w:val="0"/>
        </w:rPr>
        <w:tab/>
        <w:t>An application under section 23 shall be accompanied by — </w:t>
      </w:r>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of 10% of the amount specified in the application under section 23(4)(d).</w:t>
      </w:r>
    </w:p>
    <w:p>
      <w:pPr>
        <w:pStyle w:val="Subsection"/>
        <w:spacing w:before="140"/>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spacing w:before="140"/>
        <w:rPr>
          <w:snapToGrid w:val="0"/>
        </w:rPr>
      </w:pPr>
      <w:r>
        <w:rPr>
          <w:snapToGrid w:val="0"/>
        </w:rPr>
        <w:tab/>
        <w:t>(3)</w:t>
      </w:r>
      <w:r>
        <w:rPr>
          <w:snapToGrid w:val="0"/>
        </w:rPr>
        <w:tab/>
        <w:t>Where an applicant on whom there has been served an instrument under section 25 does not request the Minister in accordance with section 26 to grant to him the permit referred to in the instrument, the deposit shall not, unless the Minister otherwise determines, be refunded to the applicant.</w:t>
      </w:r>
    </w:p>
    <w:p>
      <w:pPr>
        <w:pStyle w:val="Footnotesection"/>
        <w:spacing w:before="100"/>
        <w:ind w:left="890" w:hanging="890"/>
      </w:pPr>
      <w:r>
        <w:tab/>
        <w:t xml:space="preserve">[Section 24 amended by No. 12 of 1990 s.168.] </w:t>
      </w:r>
    </w:p>
    <w:p>
      <w:pPr>
        <w:pStyle w:val="Heading5"/>
        <w:spacing w:before="180"/>
        <w:rPr>
          <w:snapToGrid w:val="0"/>
        </w:rPr>
      </w:pPr>
      <w:bookmarkStart w:id="219" w:name="_Toc501861697"/>
      <w:bookmarkStart w:id="220" w:name="_Toc113772451"/>
      <w:bookmarkStart w:id="221" w:name="_Toc170190546"/>
      <w:bookmarkStart w:id="222" w:name="_Toc157933520"/>
      <w:r>
        <w:rPr>
          <w:rStyle w:val="CharSectno"/>
        </w:rPr>
        <w:t>25</w:t>
      </w:r>
      <w:r>
        <w:rPr>
          <w:snapToGrid w:val="0"/>
        </w:rPr>
        <w:t>.</w:t>
      </w:r>
      <w:r>
        <w:rPr>
          <w:snapToGrid w:val="0"/>
        </w:rPr>
        <w:tab/>
        <w:t>Consideration of applications</w:t>
      </w:r>
      <w:bookmarkEnd w:id="219"/>
      <w:bookmarkEnd w:id="220"/>
      <w:bookmarkEnd w:id="221"/>
      <w:bookmarkEnd w:id="222"/>
      <w:r>
        <w:rPr>
          <w:snapToGrid w:val="0"/>
        </w:rPr>
        <w:t xml:space="preserve"> </w:t>
      </w:r>
    </w:p>
    <w:p>
      <w:pPr>
        <w:pStyle w:val="Subsection"/>
        <w:spacing w:before="140"/>
        <w:rPr>
          <w:snapToGrid w:val="0"/>
        </w:rPr>
      </w:pPr>
      <w:r>
        <w:rPr>
          <w:snapToGrid w:val="0"/>
        </w:rPr>
        <w:tab/>
        <w:t>(1)</w:t>
      </w:r>
      <w:r>
        <w:rPr>
          <w:snapToGrid w:val="0"/>
        </w:rPr>
        <w:tab/>
        <w:t>Where, at the expiration of the period specified in an instrument under section 23(1),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40"/>
        <w:rPr>
          <w:snapToGrid w:val="0"/>
          <w:spacing w:val="-3"/>
        </w:rPr>
      </w:pPr>
      <w:r>
        <w:rPr>
          <w:snapToGrid w:val="0"/>
          <w:spacing w:val="-3"/>
        </w:rPr>
        <w:tab/>
        <w:t>(2)</w:t>
      </w:r>
      <w:r>
        <w:rPr>
          <w:snapToGrid w:val="0"/>
          <w:spacing w:val="-3"/>
        </w:rPr>
        <w:tab/>
      </w:r>
      <w:r>
        <w:rPr>
          <w:snapToGrid w:val="0"/>
        </w:rPr>
        <w:t>Where</w:t>
      </w:r>
      <w:r>
        <w:rPr>
          <w:snapToGrid w:val="0"/>
          <w:spacing w:val="-3"/>
        </w:rPr>
        <w:t>, at the expiration of the period specified in an instrument under section 23(1), 2 or more applications have been made under that subsection in respect of the block or blocks specified in the instrument, the Minister may reject any or all of the applications and, if he does not reject all of the applications, may — </w:t>
      </w:r>
    </w:p>
    <w:p>
      <w:pPr>
        <w:pStyle w:val="Indenta"/>
        <w:rPr>
          <w:snapToGrid w:val="0"/>
        </w:rPr>
      </w:pPr>
      <w:r>
        <w:rPr>
          <w:snapToGrid w:val="0"/>
        </w:rPr>
        <w:tab/>
        <w:t>(a)</w:t>
      </w:r>
      <w:r>
        <w:rPr>
          <w:snapToGrid w:val="0"/>
        </w:rPr>
        <w:tab/>
        <w:t xml:space="preserve">if </w:t>
      </w:r>
      <w:r>
        <w:rPr>
          <w:snapToGrid w:val="0"/>
          <w:spacing w:val="-2"/>
        </w:rPr>
        <w:t>only</w:t>
      </w:r>
      <w:r>
        <w:rPr>
          <w:snapToGrid w:val="0"/>
        </w:rPr>
        <w:t xml:space="preserve"> </w:t>
      </w:r>
      <w:r>
        <w:rPr>
          <w:snapToGrid w:val="0"/>
          <w:spacing w:val="-2"/>
        </w:rPr>
        <w:t>one</w:t>
      </w:r>
      <w:r>
        <w:rPr>
          <w:snapToGrid w:val="0"/>
        </w:rPr>
        <w:t xml:space="preserve"> application remains unrejected, by instrument in writing served on the applicant; or</w:t>
      </w:r>
    </w:p>
    <w:p>
      <w:pPr>
        <w:pStyle w:val="Indenta"/>
        <w:rPr>
          <w:snapToGrid w:val="0"/>
          <w:spacing w:val="-2"/>
        </w:rPr>
      </w:pPr>
      <w:r>
        <w:rPr>
          <w:snapToGrid w:val="0"/>
          <w:spacing w:val="-2"/>
        </w:rPr>
        <w:tab/>
        <w:t>(b)</w:t>
      </w:r>
      <w:r>
        <w:rPr>
          <w:snapToGrid w:val="0"/>
          <w:spacing w:val="-2"/>
        </w:rPr>
        <w:tab/>
        <w:t>if 2 or more applications remain unrejected,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spacing w:before="140"/>
        <w:rPr>
          <w:snapToGrid w:val="0"/>
        </w:rPr>
      </w:pPr>
      <w:r>
        <w:rPr>
          <w:snapToGrid w:val="0"/>
        </w:rPr>
        <w:tab/>
      </w:r>
      <w:r>
        <w:rPr>
          <w:snapToGrid w:val="0"/>
        </w:rPr>
        <w:tab/>
        <w:t>inform him that he is prepared to grant to him a permit in respect of that block or those blocks.</w:t>
      </w:r>
    </w:p>
    <w:p>
      <w:pPr>
        <w:pStyle w:val="Ednotesubsection"/>
      </w:pPr>
      <w:r>
        <w:tab/>
        <w:t>[(3) and (4)</w:t>
      </w:r>
      <w:r>
        <w:tab/>
        <w:t>repealed]</w:t>
      </w:r>
    </w:p>
    <w:p>
      <w:pPr>
        <w:pStyle w:val="Subsection"/>
        <w:spacing w:before="140"/>
        <w:rPr>
          <w:snapToGrid w:val="0"/>
        </w:rPr>
      </w:pPr>
      <w:r>
        <w:rPr>
          <w:snapToGrid w:val="0"/>
        </w:rPr>
        <w:tab/>
        <w:t>(5)</w:t>
      </w:r>
      <w:r>
        <w:rPr>
          <w:snapToGrid w:val="0"/>
        </w:rPr>
        <w:tab/>
        <w:t>An instrument under this section shall contain —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 </w:t>
      </w:r>
    </w:p>
    <w:p>
      <w:pPr>
        <w:pStyle w:val="Indenti"/>
        <w:rPr>
          <w:snapToGrid w:val="0"/>
        </w:rPr>
      </w:pPr>
      <w:r>
        <w:rPr>
          <w:snapToGrid w:val="0"/>
        </w:rPr>
        <w:tab/>
        <w:t>(i)</w:t>
      </w:r>
      <w:r>
        <w:rPr>
          <w:snapToGrid w:val="0"/>
        </w:rPr>
        <w:tab/>
        <w:t>make a request under section 26(1); and</w:t>
      </w:r>
    </w:p>
    <w:p>
      <w:pPr>
        <w:pStyle w:val="Indenti"/>
        <w:rPr>
          <w:snapToGrid w:val="0"/>
        </w:rPr>
      </w:pPr>
      <w:r>
        <w:rPr>
          <w:snapToGrid w:val="0"/>
        </w:rPr>
        <w:tab/>
        <w:t>(ii)</w:t>
      </w:r>
      <w:r>
        <w:rPr>
          <w:snapToGrid w:val="0"/>
        </w:rPr>
        <w:tab/>
        <w:t>pay the balance of the amount to be paid in respect of the grant of the permit to him or enter into an agreement under section 109 in respect of that balance.</w:t>
      </w:r>
    </w:p>
    <w:p>
      <w:pPr>
        <w:pStyle w:val="Footnotesection"/>
      </w:pPr>
      <w:r>
        <w:tab/>
        <w:t xml:space="preserve">[Section 25 amended by No. 12 of 1990 s.169; No. 28 of 1994 s.83.] </w:t>
      </w:r>
    </w:p>
    <w:p>
      <w:pPr>
        <w:pStyle w:val="Heading5"/>
        <w:spacing w:before="200"/>
        <w:rPr>
          <w:snapToGrid w:val="0"/>
        </w:rPr>
      </w:pPr>
      <w:bookmarkStart w:id="223" w:name="_Toc501861698"/>
      <w:bookmarkStart w:id="224" w:name="_Toc113772452"/>
      <w:bookmarkStart w:id="225" w:name="_Toc170190547"/>
      <w:bookmarkStart w:id="226" w:name="_Toc157933521"/>
      <w:r>
        <w:rPr>
          <w:rStyle w:val="CharSectno"/>
        </w:rPr>
        <w:t>26</w:t>
      </w:r>
      <w:r>
        <w:rPr>
          <w:snapToGrid w:val="0"/>
        </w:rPr>
        <w:t>.</w:t>
      </w:r>
      <w:r>
        <w:rPr>
          <w:snapToGrid w:val="0"/>
        </w:rPr>
        <w:tab/>
        <w:t>Request by applicant for grant of permit in respect of advertised blocks</w:t>
      </w:r>
      <w:bookmarkEnd w:id="223"/>
      <w:bookmarkEnd w:id="224"/>
      <w:bookmarkEnd w:id="225"/>
      <w:bookmarkEnd w:id="226"/>
      <w:r>
        <w:rPr>
          <w:snapToGrid w:val="0"/>
        </w:rPr>
        <w:t xml:space="preserve"> </w:t>
      </w:r>
    </w:p>
    <w:p>
      <w:pPr>
        <w:pStyle w:val="Subsection"/>
        <w:spacing w:before="140"/>
        <w:rPr>
          <w:snapToGrid w:val="0"/>
        </w:rPr>
      </w:pPr>
      <w:r>
        <w:rPr>
          <w:snapToGrid w:val="0"/>
        </w:rPr>
        <w:tab/>
        <w:t>(1)</w:t>
      </w:r>
      <w:r>
        <w:rPr>
          <w:snapToGrid w:val="0"/>
        </w:rPr>
        <w:tab/>
        <w:t>An applicant on whom there has been served an instrument under section 25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 </w:t>
      </w:r>
    </w:p>
    <w:p>
      <w:pPr>
        <w:pStyle w:val="Indenta"/>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rPr>
          <w:snapToGrid w:val="0"/>
        </w:rPr>
      </w:pPr>
      <w:r>
        <w:rPr>
          <w:snapToGrid w:val="0"/>
        </w:rPr>
        <w:tab/>
        <w:t>(b)</w:t>
      </w:r>
      <w:r>
        <w:rPr>
          <w:snapToGrid w:val="0"/>
        </w:rPr>
        <w:tab/>
        <w:t>pay the balance of the amount to be paid in respect of the grant of the permit to him or enter into an agreement under section 109 in respect of that balance.</w:t>
      </w:r>
    </w:p>
    <w:p>
      <w:pPr>
        <w:pStyle w:val="Subsection"/>
        <w:spacing w:before="140"/>
        <w:rPr>
          <w:snapToGrid w:val="0"/>
        </w:rPr>
      </w:pPr>
      <w:r>
        <w:rPr>
          <w:snapToGrid w:val="0"/>
        </w:rPr>
        <w:tab/>
        <w:t>(2)</w:t>
      </w:r>
      <w:r>
        <w:rPr>
          <w:snapToGrid w:val="0"/>
        </w:rPr>
        <w:tab/>
        <w:t>Where an applicant on whom there has been served an instrument under section 25 — </w:t>
      </w:r>
    </w:p>
    <w:p>
      <w:pPr>
        <w:pStyle w:val="Indenta"/>
        <w:rPr>
          <w:snapToGrid w:val="0"/>
        </w:rPr>
      </w:pPr>
      <w:r>
        <w:rPr>
          <w:snapToGrid w:val="0"/>
        </w:rPr>
        <w:tab/>
        <w:t>(a)</w:t>
      </w:r>
      <w:r>
        <w:rPr>
          <w:snapToGrid w:val="0"/>
        </w:rPr>
        <w:tab/>
        <w:t>has not made a request under subsection (1); or</w:t>
      </w:r>
    </w:p>
    <w:p>
      <w:pPr>
        <w:pStyle w:val="Indenta"/>
        <w:rPr>
          <w:snapToGrid w:val="0"/>
        </w:rPr>
      </w:pPr>
      <w:r>
        <w:rPr>
          <w:snapToGrid w:val="0"/>
        </w:rPr>
        <w:tab/>
        <w:t>(b)</w:t>
      </w:r>
      <w:r>
        <w:rPr>
          <w:snapToGrid w:val="0"/>
        </w:rPr>
        <w:tab/>
        <w:t>has not paid the balance of the amount to be paid in respect of the grant of the permit to him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(1) the application lapses upon the expiration of that period.</w:t>
      </w:r>
    </w:p>
    <w:p>
      <w:pPr>
        <w:pStyle w:val="Subsection"/>
        <w:spacing w:before="120"/>
        <w:rPr>
          <w:snapToGrid w:val="0"/>
        </w:rPr>
      </w:pPr>
      <w:r>
        <w:rPr>
          <w:snapToGrid w:val="0"/>
        </w:rPr>
        <w:tab/>
        <w:t>(3)</w:t>
      </w:r>
      <w:r>
        <w:rPr>
          <w:snapToGrid w:val="0"/>
        </w:rPr>
        <w:tab/>
        <w:t>Where the application of an applicant on whom there has been served an instrument under section 25(2) lapses as provided by subsection (2), section 25(2) applies in respect of the application or applications, if any, then remaining unrejected.</w:t>
      </w:r>
    </w:p>
    <w:p>
      <w:pPr>
        <w:pStyle w:val="Footnotesection"/>
        <w:spacing w:before="80"/>
        <w:ind w:left="890" w:hanging="890"/>
      </w:pPr>
      <w:r>
        <w:tab/>
        <w:t xml:space="preserve">[Section 26 amended by No. 28 of 1994 s.84.] </w:t>
      </w:r>
    </w:p>
    <w:p>
      <w:pPr>
        <w:pStyle w:val="Heading5"/>
        <w:spacing w:before="180"/>
        <w:rPr>
          <w:snapToGrid w:val="0"/>
        </w:rPr>
      </w:pPr>
      <w:bookmarkStart w:id="227" w:name="_Toc501861699"/>
      <w:bookmarkStart w:id="228" w:name="_Toc113772453"/>
      <w:bookmarkStart w:id="229" w:name="_Toc170190548"/>
      <w:bookmarkStart w:id="230" w:name="_Toc157933522"/>
      <w:r>
        <w:rPr>
          <w:rStyle w:val="CharSectno"/>
        </w:rPr>
        <w:t>27</w:t>
      </w:r>
      <w:r>
        <w:rPr>
          <w:snapToGrid w:val="0"/>
        </w:rPr>
        <w:t>.</w:t>
      </w:r>
      <w:r>
        <w:rPr>
          <w:snapToGrid w:val="0"/>
        </w:rPr>
        <w:tab/>
        <w:t>Grant of permit on request</w:t>
      </w:r>
      <w:bookmarkEnd w:id="227"/>
      <w:bookmarkEnd w:id="228"/>
      <w:bookmarkEnd w:id="229"/>
      <w:bookmarkEnd w:id="230"/>
      <w:r>
        <w:rPr>
          <w:snapToGrid w:val="0"/>
        </w:rPr>
        <w:t xml:space="preserve"> </w:t>
      </w:r>
    </w:p>
    <w:p>
      <w:pPr>
        <w:pStyle w:val="Subsection"/>
        <w:spacing w:before="120"/>
        <w:rPr>
          <w:snapToGrid w:val="0"/>
        </w:rPr>
      </w:pPr>
      <w:r>
        <w:rPr>
          <w:snapToGrid w:val="0"/>
        </w:rPr>
        <w:tab/>
      </w:r>
      <w:r>
        <w:rPr>
          <w:snapToGrid w:val="0"/>
        </w:rPr>
        <w:tab/>
        <w:t>Where a person on whom there has been served an instrument under section 25 — </w:t>
      </w:r>
    </w:p>
    <w:p>
      <w:pPr>
        <w:pStyle w:val="Indenta"/>
        <w:spacing w:before="60"/>
        <w:rPr>
          <w:snapToGrid w:val="0"/>
        </w:rPr>
      </w:pPr>
      <w:r>
        <w:rPr>
          <w:snapToGrid w:val="0"/>
        </w:rPr>
        <w:tab/>
        <w:t>(a)</w:t>
      </w:r>
      <w:r>
        <w:rPr>
          <w:snapToGrid w:val="0"/>
        </w:rPr>
        <w:tab/>
        <w:t>has made a request under section 26(1); and</w:t>
      </w:r>
    </w:p>
    <w:p>
      <w:pPr>
        <w:pStyle w:val="Indenta"/>
        <w:spacing w:before="60"/>
        <w:rPr>
          <w:snapToGrid w:val="0"/>
        </w:rPr>
      </w:pPr>
      <w:r>
        <w:rPr>
          <w:snapToGrid w:val="0"/>
        </w:rPr>
        <w:tab/>
        <w:t>(b)</w:t>
      </w:r>
      <w:r>
        <w:rPr>
          <w:snapToGrid w:val="0"/>
        </w:rPr>
        <w:tab/>
        <w:t>has paid the balance of the amount to be paid in respect of the grant of a permit to him or has entered into an agreement under section 109 in respect of that balance,</w:t>
      </w:r>
    </w:p>
    <w:p>
      <w:pPr>
        <w:pStyle w:val="Subsection"/>
        <w:spacing w:before="120"/>
        <w:rPr>
          <w:snapToGrid w:val="0"/>
        </w:rPr>
      </w:pPr>
      <w:r>
        <w:rPr>
          <w:snapToGrid w:val="0"/>
        </w:rPr>
        <w:tab/>
      </w:r>
      <w:r>
        <w:rPr>
          <w:snapToGrid w:val="0"/>
        </w:rPr>
        <w:tab/>
        <w:t>within the period applicable under section 25(1), the Minister shall grant to that person an exploration permit for petroleum in respect of the block or blocks specified in the instrument.</w:t>
      </w:r>
    </w:p>
    <w:p>
      <w:pPr>
        <w:pStyle w:val="Footnotesection"/>
        <w:spacing w:before="80"/>
        <w:ind w:left="890" w:hanging="890"/>
      </w:pPr>
      <w:r>
        <w:tab/>
        <w:t xml:space="preserve">[Section 27 amended by No. 28 of 1994 s.85.] </w:t>
      </w:r>
    </w:p>
    <w:p>
      <w:pPr>
        <w:pStyle w:val="Heading5"/>
        <w:spacing w:before="180"/>
        <w:rPr>
          <w:snapToGrid w:val="0"/>
        </w:rPr>
      </w:pPr>
      <w:bookmarkStart w:id="231" w:name="_Toc501861700"/>
      <w:bookmarkStart w:id="232" w:name="_Toc113772454"/>
      <w:bookmarkStart w:id="233" w:name="_Toc170190549"/>
      <w:bookmarkStart w:id="234" w:name="_Toc157933523"/>
      <w:r>
        <w:rPr>
          <w:rStyle w:val="CharSectno"/>
        </w:rPr>
        <w:t>28</w:t>
      </w:r>
      <w:r>
        <w:rPr>
          <w:snapToGrid w:val="0"/>
        </w:rPr>
        <w:t>.</w:t>
      </w:r>
      <w:r>
        <w:rPr>
          <w:snapToGrid w:val="0"/>
        </w:rPr>
        <w:tab/>
        <w:t>Rights conferred by permit</w:t>
      </w:r>
      <w:bookmarkEnd w:id="231"/>
      <w:bookmarkEnd w:id="232"/>
      <w:bookmarkEnd w:id="233"/>
      <w:bookmarkEnd w:id="234"/>
      <w:r>
        <w:rPr>
          <w:snapToGrid w:val="0"/>
        </w:rPr>
        <w:t xml:space="preserve"> </w:t>
      </w:r>
    </w:p>
    <w:p>
      <w:pPr>
        <w:pStyle w:val="Subsection"/>
        <w:spacing w:before="120"/>
        <w:rPr>
          <w:snapToGrid w:val="0"/>
        </w:rPr>
      </w:pPr>
      <w:r>
        <w:rPr>
          <w:snapToGrid w:val="0"/>
        </w:rPr>
        <w:tab/>
      </w:r>
      <w:r>
        <w:rPr>
          <w:snapToGrid w:val="0"/>
        </w:rPr>
        <w:tab/>
        <w:t>A permit, while it remains in force, authorizes the permittee, subject to this Act</w:t>
      </w:r>
      <w:del w:id="235" w:author="svcMRProcess" w:date="2020-02-19T21:14:00Z">
        <w:r>
          <w:rPr>
            <w:snapToGrid w:val="0"/>
          </w:rPr>
          <w:delText xml:space="preserve"> and the regulations</w:delText>
        </w:r>
      </w:del>
      <w:r>
        <w:rPr>
          <w:snapToGrid w:val="0"/>
        </w:rPr>
        <w:t xml:space="preserve"> and in accordance with the conditions to which the permit is subject, to explore for petroleum and to carry on such operations and execute such works as are necessary for that purpose in the permit area.</w:t>
      </w:r>
    </w:p>
    <w:p>
      <w:pPr>
        <w:pStyle w:val="Footnotesection"/>
        <w:rPr>
          <w:ins w:id="236" w:author="svcMRProcess" w:date="2020-02-19T21:14:00Z"/>
        </w:rPr>
      </w:pPr>
      <w:ins w:id="237" w:author="svcMRProcess" w:date="2020-02-19T21:14:00Z">
        <w:r>
          <w:tab/>
          <w:t>[Section 28 amended by No. 13 of 2005 s. 46(1).]</w:t>
        </w:r>
      </w:ins>
    </w:p>
    <w:p>
      <w:pPr>
        <w:pStyle w:val="Heading5"/>
        <w:spacing w:before="180"/>
        <w:rPr>
          <w:snapToGrid w:val="0"/>
        </w:rPr>
      </w:pPr>
      <w:bookmarkStart w:id="238" w:name="_Toc501861701"/>
      <w:bookmarkStart w:id="239" w:name="_Toc113772455"/>
      <w:bookmarkStart w:id="240" w:name="_Toc170190550"/>
      <w:bookmarkStart w:id="241" w:name="_Toc157933524"/>
      <w:r>
        <w:rPr>
          <w:rStyle w:val="CharSectno"/>
        </w:rPr>
        <w:t>29</w:t>
      </w:r>
      <w:r>
        <w:rPr>
          <w:snapToGrid w:val="0"/>
        </w:rPr>
        <w:t>.</w:t>
      </w:r>
      <w:r>
        <w:rPr>
          <w:snapToGrid w:val="0"/>
        </w:rPr>
        <w:tab/>
        <w:t>Term of permit</w:t>
      </w:r>
      <w:bookmarkEnd w:id="238"/>
      <w:bookmarkEnd w:id="239"/>
      <w:bookmarkEnd w:id="240"/>
      <w:bookmarkEnd w:id="241"/>
      <w:r>
        <w:rPr>
          <w:snapToGrid w:val="0"/>
        </w:rPr>
        <w:t xml:space="preserve"> </w:t>
      </w:r>
    </w:p>
    <w:p>
      <w:pPr>
        <w:pStyle w:val="Subsection"/>
        <w:keepNext/>
        <w:spacing w:before="120"/>
        <w:rPr>
          <w:snapToGrid w:val="0"/>
        </w:rPr>
      </w:pPr>
      <w:r>
        <w:rPr>
          <w:snapToGrid w:val="0"/>
        </w:rPr>
        <w:tab/>
      </w:r>
      <w:r>
        <w:rPr>
          <w:snapToGrid w:val="0"/>
        </w:rPr>
        <w:tab/>
        <w:t>Subject to this Part, a permit remains in force — </w:t>
      </w:r>
    </w:p>
    <w:p>
      <w:pPr>
        <w:pStyle w:val="Indenta"/>
        <w:spacing w:before="60"/>
        <w:rPr>
          <w:snapToGrid w:val="0"/>
        </w:rPr>
      </w:pPr>
      <w:r>
        <w:rPr>
          <w:snapToGrid w:val="0"/>
        </w:rPr>
        <w:tab/>
        <w:t>(a)</w:t>
      </w:r>
      <w:r>
        <w:rPr>
          <w:snapToGrid w:val="0"/>
        </w:rPr>
        <w:tab/>
        <w:t>in the case of a permit granted otherwise than by way of the renewal of a permit, for a period of 6 years commencing on the day on which the permit is granted or, if a later day is specified in the permit as being the day on which the permit is to come into force, on that later day; and</w:t>
      </w:r>
    </w:p>
    <w:p>
      <w:pPr>
        <w:pStyle w:val="Indenta"/>
        <w:spacing w:before="60"/>
        <w:rPr>
          <w:snapToGrid w:val="0"/>
        </w:rPr>
      </w:pPr>
      <w:r>
        <w:rPr>
          <w:snapToGrid w:val="0"/>
        </w:rPr>
        <w:tab/>
        <w:t>(b)</w:t>
      </w:r>
      <w:r>
        <w:rPr>
          <w:snapToGrid w:val="0"/>
        </w:rPr>
        <w:tab/>
        <w:t>in the case of a permit granted by way of the renewal of a permit, for a period of 5 years commencing on the day on which the permit is granted or, if a later day is specified in the permit as being the day on which the permit is to come into force, on that later day.</w:t>
      </w:r>
    </w:p>
    <w:p>
      <w:pPr>
        <w:pStyle w:val="Footnotesection"/>
        <w:spacing w:before="80"/>
        <w:ind w:left="890" w:hanging="890"/>
      </w:pPr>
      <w:r>
        <w:tab/>
        <w:t xml:space="preserve">[Section 29 amended by No. 12 of 1990, s.170.] </w:t>
      </w:r>
    </w:p>
    <w:p>
      <w:pPr>
        <w:pStyle w:val="Heading5"/>
        <w:spacing w:before="180"/>
        <w:rPr>
          <w:snapToGrid w:val="0"/>
        </w:rPr>
      </w:pPr>
      <w:bookmarkStart w:id="242" w:name="_Toc501861702"/>
      <w:bookmarkStart w:id="243" w:name="_Toc113772456"/>
      <w:bookmarkStart w:id="244" w:name="_Toc170190551"/>
      <w:bookmarkStart w:id="245" w:name="_Toc157933525"/>
      <w:r>
        <w:rPr>
          <w:rStyle w:val="CharSectno"/>
        </w:rPr>
        <w:t>30</w:t>
      </w:r>
      <w:r>
        <w:rPr>
          <w:snapToGrid w:val="0"/>
        </w:rPr>
        <w:t>.</w:t>
      </w:r>
      <w:r>
        <w:rPr>
          <w:snapToGrid w:val="0"/>
        </w:rPr>
        <w:tab/>
        <w:t>Application for renewal of permit</w:t>
      </w:r>
      <w:bookmarkEnd w:id="242"/>
      <w:bookmarkEnd w:id="243"/>
      <w:bookmarkEnd w:id="244"/>
      <w:bookmarkEnd w:id="245"/>
      <w:r>
        <w:rPr>
          <w:snapToGrid w:val="0"/>
        </w:rPr>
        <w:t xml:space="preserve"> </w:t>
      </w:r>
    </w:p>
    <w:p>
      <w:pPr>
        <w:pStyle w:val="Subsection"/>
        <w:spacing w:before="120"/>
        <w:rPr>
          <w:snapToGrid w:val="0"/>
        </w:rPr>
      </w:pPr>
      <w:r>
        <w:rPr>
          <w:snapToGrid w:val="0"/>
        </w:rPr>
        <w:tab/>
        <w:t>(1)</w:t>
      </w:r>
      <w:r>
        <w:rPr>
          <w:snapToGrid w:val="0"/>
        </w:rPr>
        <w:tab/>
        <w:t>Subject to section 31, a permittee may, from time to time, make an application to the Minister for the renewal of the permit in respect of such of the blocks the subject of the permit as are specified in the application.</w:t>
      </w:r>
    </w:p>
    <w:p>
      <w:pPr>
        <w:pStyle w:val="Subsection"/>
        <w:spacing w:before="120"/>
        <w:rPr>
          <w:snapToGrid w:val="0"/>
        </w:rPr>
      </w:pPr>
      <w:r>
        <w:rPr>
          <w:snapToGrid w:val="0"/>
        </w:rPr>
        <w:tab/>
        <w:t>(2)</w:t>
      </w:r>
      <w:r>
        <w:rPr>
          <w:snapToGrid w:val="0"/>
        </w:rPr>
        <w:tab/>
        <w:t>An application for the renewal of the permit —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spacing w:before="60"/>
        <w:rPr>
          <w:snapToGrid w:val="0"/>
        </w:rPr>
      </w:pPr>
      <w:r>
        <w:rPr>
          <w:snapToGrid w:val="0"/>
        </w:rPr>
        <w:tab/>
        <w:t>(c)</w:t>
      </w:r>
      <w:r>
        <w:rPr>
          <w:snapToGrid w:val="0"/>
        </w:rPr>
        <w:tab/>
        <w:t>shall be accompanied by the prescribed fee.</w:t>
      </w:r>
    </w:p>
    <w:p>
      <w:pPr>
        <w:pStyle w:val="Subsection"/>
        <w:spacing w:before="120"/>
        <w:rPr>
          <w:snapToGrid w:val="0"/>
          <w:spacing w:val="-4"/>
        </w:rPr>
      </w:pPr>
      <w:r>
        <w:rPr>
          <w:snapToGrid w:val="0"/>
          <w:spacing w:val="-4"/>
        </w:rPr>
        <w:tab/>
        <w:t>(3)</w:t>
      </w:r>
      <w:r>
        <w:rPr>
          <w:snapToGrid w:val="0"/>
          <w:spacing w:val="-4"/>
        </w:rPr>
        <w:tab/>
        <w:t>The Minister may, for reasons that he thinks sufficient, receive an application for the renewal of the permit less than 3 months before, but not in any case after, the date of expiration of the permit.</w:t>
      </w:r>
    </w:p>
    <w:p>
      <w:pPr>
        <w:pStyle w:val="Footnotesection"/>
      </w:pPr>
      <w:r>
        <w:tab/>
        <w:t xml:space="preserve">[Section 30 amended by No. 12 of 1990 s.171.] </w:t>
      </w:r>
    </w:p>
    <w:p>
      <w:pPr>
        <w:pStyle w:val="Heading5"/>
        <w:spacing w:before="180"/>
        <w:rPr>
          <w:snapToGrid w:val="0"/>
        </w:rPr>
      </w:pPr>
      <w:bookmarkStart w:id="246" w:name="_Toc501861703"/>
      <w:bookmarkStart w:id="247" w:name="_Toc113772457"/>
      <w:bookmarkStart w:id="248" w:name="_Toc170190552"/>
      <w:bookmarkStart w:id="249" w:name="_Toc157933526"/>
      <w:r>
        <w:rPr>
          <w:rStyle w:val="CharSectno"/>
        </w:rPr>
        <w:t>31</w:t>
      </w:r>
      <w:r>
        <w:rPr>
          <w:snapToGrid w:val="0"/>
        </w:rPr>
        <w:t>.</w:t>
      </w:r>
      <w:r>
        <w:rPr>
          <w:snapToGrid w:val="0"/>
        </w:rPr>
        <w:tab/>
        <w:t>Application for renewal of permit to be in respect of reduced area</w:t>
      </w:r>
      <w:bookmarkEnd w:id="246"/>
      <w:bookmarkEnd w:id="247"/>
      <w:bookmarkEnd w:id="248"/>
      <w:bookmarkEnd w:id="249"/>
      <w:r>
        <w:rPr>
          <w:snapToGrid w:val="0"/>
        </w:rPr>
        <w:t xml:space="preserve"> </w:t>
      </w:r>
    </w:p>
    <w:p>
      <w:pPr>
        <w:pStyle w:val="Subsection"/>
        <w:spacing w:before="120"/>
        <w:rPr>
          <w:snapToGrid w:val="0"/>
        </w:rPr>
      </w:pPr>
      <w:r>
        <w:rPr>
          <w:snapToGrid w:val="0"/>
        </w:rPr>
        <w:tab/>
        <w:t>(1)</w:t>
      </w:r>
      <w:r>
        <w:rPr>
          <w:snapToGrid w:val="0"/>
        </w:rPr>
        <w:tab/>
        <w:t>Subject to subsection (3), the number of blocks in respect of which an application for the renewal of a permit may be made shall not exceed the number calculated as follows — </w:t>
      </w:r>
    </w:p>
    <w:p>
      <w:pPr>
        <w:pStyle w:val="Indenta"/>
        <w:spacing w:before="60"/>
        <w:rPr>
          <w:snapToGrid w:val="0"/>
        </w:rPr>
      </w:pPr>
      <w:r>
        <w:rPr>
          <w:snapToGrid w:val="0"/>
        </w:rPr>
        <w:tab/>
        <w:t>(a)</w:t>
      </w:r>
      <w:r>
        <w:rPr>
          <w:snapToGrid w:val="0"/>
        </w:rPr>
        <w:tab/>
        <w:t>where the number of blocks in respect of which the permit is in force is a number that is divisible by 2 without remainder, one</w:t>
      </w:r>
      <w:r>
        <w:rPr>
          <w:snapToGrid w:val="0"/>
        </w:rPr>
        <w:noBreakHyphen/>
        <w:t>half of that number; or</w:t>
      </w:r>
    </w:p>
    <w:p>
      <w:pPr>
        <w:pStyle w:val="Indenta"/>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one</w:t>
      </w:r>
      <w:r>
        <w:rPr>
          <w:snapToGrid w:val="0"/>
        </w:rPr>
        <w:noBreakHyphen/>
        <w:t>half of that last</w:t>
      </w:r>
      <w:r>
        <w:rPr>
          <w:snapToGrid w:val="0"/>
        </w:rPr>
        <w:noBreakHyphen/>
        <w:t>mentioned number.</w:t>
      </w:r>
    </w:p>
    <w:p>
      <w:pPr>
        <w:pStyle w:val="Subsection"/>
        <w:spacing w:before="120"/>
        <w:rPr>
          <w:snapToGrid w:val="0"/>
        </w:rPr>
      </w:pPr>
      <w:r>
        <w:rPr>
          <w:snapToGrid w:val="0"/>
        </w:rPr>
        <w:tab/>
        <w:t>(2)</w:t>
      </w:r>
      <w:r>
        <w:rPr>
          <w:snapToGrid w:val="0"/>
        </w:rPr>
        <w:tab/>
        <w:t>A block that is, or is included in, a location and in respect of which the permit is in force shall not be regarded as a block in respect of which the permit is in force for the purpose of making a calculation under subsection (1).</w:t>
      </w:r>
    </w:p>
    <w:p>
      <w:pPr>
        <w:pStyle w:val="Subsection"/>
        <w:spacing w:before="120"/>
        <w:rPr>
          <w:snapToGrid w:val="0"/>
        </w:rPr>
      </w:pPr>
      <w:r>
        <w:rPr>
          <w:snapToGrid w:val="0"/>
        </w:rPr>
        <w:tab/>
        <w:t>(3)</w:t>
      </w:r>
      <w:r>
        <w:rPr>
          <w:snapToGrid w:val="0"/>
        </w:rPr>
        <w:tab/>
        <w:t>An application for the renewal of a permit may include, in addition to the blocks referred to in subsection (1), a block that is, or is included in, a location and in respect of which the permit is in force, or 2 or more such blocks.</w:t>
      </w:r>
    </w:p>
    <w:p>
      <w:pPr>
        <w:pStyle w:val="Subsection"/>
        <w:spacing w:before="120"/>
        <w:rPr>
          <w:snapToGrid w:val="0"/>
        </w:rPr>
      </w:pPr>
      <w:r>
        <w:rPr>
          <w:snapToGrid w:val="0"/>
        </w:rPr>
        <w:tab/>
        <w:t>(4)</w:t>
      </w:r>
      <w:r>
        <w:rPr>
          <w:snapToGrid w:val="0"/>
        </w:rPr>
        <w:tab/>
        <w:t>The blocks specified in an application for the renewal of a permit shall be blocks that are constituted by, or are within, graticular sections that — </w:t>
      </w:r>
    </w:p>
    <w:p>
      <w:pPr>
        <w:pStyle w:val="Indenta"/>
        <w:spacing w:before="60"/>
        <w:rPr>
          <w:snapToGrid w:val="0"/>
        </w:rPr>
      </w:pPr>
      <w:r>
        <w:rPr>
          <w:snapToGrid w:val="0"/>
        </w:rPr>
        <w:tab/>
        <w:t>(a)</w:t>
      </w:r>
      <w:r>
        <w:rPr>
          <w:snapToGrid w:val="0"/>
        </w:rPr>
        <w:tab/>
        <w:t>constitute a single area or a number of discrete areas; and</w:t>
      </w:r>
    </w:p>
    <w:p>
      <w:pPr>
        <w:pStyle w:val="Indenta"/>
        <w:spacing w:before="60"/>
        <w:rPr>
          <w:snapToGrid w:val="0"/>
        </w:rPr>
      </w:pPr>
      <w:r>
        <w:rPr>
          <w:snapToGrid w:val="0"/>
        </w:rPr>
        <w:tab/>
        <w:t>(b)</w:t>
      </w:r>
      <w:r>
        <w:rPr>
          <w:snapToGrid w:val="0"/>
        </w:rPr>
        <w:tab/>
        <w:t>are such that each graticular section in the area, or in each area, has a side in common with at least one other graticular section in that area.</w:t>
      </w:r>
    </w:p>
    <w:p>
      <w:pPr>
        <w:pStyle w:val="Subsection"/>
        <w:spacing w:before="120"/>
        <w:rPr>
          <w:snapToGrid w:val="0"/>
        </w:rPr>
      </w:pPr>
      <w:r>
        <w:rPr>
          <w:snapToGrid w:val="0"/>
        </w:rPr>
        <w:tab/>
        <w:t>(5)</w:t>
      </w:r>
      <w:r>
        <w:rPr>
          <w:snapToGrid w:val="0"/>
        </w:rPr>
        <w:tab/>
        <w:t>Where the number of blocks in respect of which an application for the renewal of a permit may be made is 16 or more, each area constituted by blocks in respect of which the application is made shall be constituted by not less than 16 blocks.</w:t>
      </w:r>
    </w:p>
    <w:p>
      <w:pPr>
        <w:pStyle w:val="Subsection"/>
        <w:spacing w:before="120"/>
        <w:rPr>
          <w:snapToGrid w:val="0"/>
        </w:rPr>
      </w:pPr>
      <w:r>
        <w:rPr>
          <w:snapToGrid w:val="0"/>
        </w:rPr>
        <w:tab/>
        <w:t>(6)</w:t>
      </w:r>
      <w:r>
        <w:rPr>
          <w:snapToGrid w:val="0"/>
        </w:rPr>
        <w:tab/>
        <w:t>Where the maximum number of blocks in respect of which an application for the renewal of a permit may be made in accordance with the preceding provisions of this section is less than 16, the Minister may, by instrument in writing served on the permittee — </w:t>
      </w:r>
    </w:p>
    <w:p>
      <w:pPr>
        <w:pStyle w:val="Indenta"/>
        <w:spacing w:before="60"/>
        <w:rPr>
          <w:snapToGrid w:val="0"/>
        </w:rPr>
      </w:pPr>
      <w:r>
        <w:rPr>
          <w:snapToGrid w:val="0"/>
        </w:rPr>
        <w:tab/>
        <w:t>(a)</w:t>
      </w:r>
      <w:r>
        <w:rPr>
          <w:snapToGrid w:val="0"/>
        </w:rPr>
        <w:tab/>
        <w:t>inform the permittee that the number of blocks in respect of which the application may be made is such number, not exceeding 16, as is specified in the instrument; and</w:t>
      </w:r>
    </w:p>
    <w:p>
      <w:pPr>
        <w:pStyle w:val="Indenta"/>
        <w:spacing w:before="60"/>
        <w:rPr>
          <w:snapToGrid w:val="0"/>
        </w:rPr>
      </w:pPr>
      <w:r>
        <w:rPr>
          <w:snapToGrid w:val="0"/>
        </w:rPr>
        <w:tab/>
        <w:t>(b)</w:t>
      </w:r>
      <w:r>
        <w:rPr>
          <w:snapToGrid w:val="0"/>
        </w:rPr>
        <w:tab/>
        <w:t>give such directions as he thinks fit concerning the blocks in respect of which the application may be made.</w:t>
      </w:r>
    </w:p>
    <w:p>
      <w:pPr>
        <w:pStyle w:val="Subsection"/>
        <w:rPr>
          <w:snapToGrid w:val="0"/>
        </w:rPr>
      </w:pPr>
      <w:r>
        <w:rPr>
          <w:snapToGrid w:val="0"/>
        </w:rPr>
        <w:tab/>
        <w:t>(7)</w:t>
      </w:r>
      <w:r>
        <w:rPr>
          <w:snapToGrid w:val="0"/>
        </w:rPr>
        <w:tab/>
        <w:t>The Minister may, for reasons that he thinks sufficient — </w:t>
      </w:r>
    </w:p>
    <w:p>
      <w:pPr>
        <w:pStyle w:val="Indenta"/>
        <w:rPr>
          <w:snapToGrid w:val="0"/>
        </w:rPr>
      </w:pPr>
      <w:r>
        <w:rPr>
          <w:snapToGrid w:val="0"/>
        </w:rPr>
        <w:tab/>
        <w:t>(a)</w:t>
      </w:r>
      <w:r>
        <w:rPr>
          <w:snapToGrid w:val="0"/>
        </w:rPr>
        <w:tab/>
        <w:t>direct that subsections (4) and (5) do not apply to or in relation to a proposed application for the renewal of a permit; and</w:t>
      </w:r>
    </w:p>
    <w:p>
      <w:pPr>
        <w:pStyle w:val="Indenta"/>
        <w:rPr>
          <w:snapToGrid w:val="0"/>
        </w:rPr>
      </w:pPr>
      <w:r>
        <w:rPr>
          <w:snapToGrid w:val="0"/>
        </w:rPr>
        <w:tab/>
        <w:t>(b)</w:t>
      </w:r>
      <w:r>
        <w:rPr>
          <w:snapToGrid w:val="0"/>
        </w:rPr>
        <w:tab/>
        <w:t>give such directions as he thinks fit concerning the blocks in respect of which that application may be made.</w:t>
      </w:r>
    </w:p>
    <w:p>
      <w:pPr>
        <w:pStyle w:val="Heading5"/>
        <w:rPr>
          <w:snapToGrid w:val="0"/>
        </w:rPr>
      </w:pPr>
      <w:bookmarkStart w:id="250" w:name="_Toc501861704"/>
      <w:bookmarkStart w:id="251" w:name="_Toc113772458"/>
      <w:bookmarkStart w:id="252" w:name="_Toc170190553"/>
      <w:bookmarkStart w:id="253" w:name="_Toc157933527"/>
      <w:r>
        <w:rPr>
          <w:rStyle w:val="CharSectno"/>
        </w:rPr>
        <w:t>32</w:t>
      </w:r>
      <w:r>
        <w:rPr>
          <w:snapToGrid w:val="0"/>
        </w:rPr>
        <w:t>.</w:t>
      </w:r>
      <w:r>
        <w:rPr>
          <w:snapToGrid w:val="0"/>
        </w:rPr>
        <w:tab/>
        <w:t>Grant or refusal of renewal of permit</w:t>
      </w:r>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Where an application has been made under section 30 for the renewal of a permit, the Minister —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 </w:t>
      </w:r>
    </w:p>
    <w:p>
      <w:pPr>
        <w:pStyle w:val="Indenti"/>
        <w:rPr>
          <w:snapToGrid w:val="0"/>
        </w:rPr>
      </w:pPr>
      <w:r>
        <w:rPr>
          <w:snapToGrid w:val="0"/>
        </w:rPr>
        <w:tab/>
        <w:t>(i)</w:t>
      </w:r>
      <w:r>
        <w:rPr>
          <w:snapToGrid w:val="0"/>
        </w:rPr>
        <w:tab/>
        <w:t>any of the conditions to which the permit is, or has from time to time been, subject or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that person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the renewal of the permit.</w:t>
      </w:r>
    </w:p>
    <w:p>
      <w:pPr>
        <w:pStyle w:val="Subsection"/>
        <w:rPr>
          <w:snapToGrid w:val="0"/>
        </w:rPr>
      </w:pPr>
      <w:r>
        <w:rPr>
          <w:snapToGrid w:val="0"/>
        </w:rPr>
        <w:tab/>
        <w:t>(3)</w:t>
      </w:r>
      <w:r>
        <w:rPr>
          <w:snapToGrid w:val="0"/>
        </w:rPr>
        <w:tab/>
        <w:t>The Minister shall not refuse to grant the renewal of the permit unless —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p>
    <w:p>
      <w:pPr>
        <w:pStyle w:val="Indenta"/>
        <w:rPr>
          <w:snapToGrid w:val="0"/>
        </w:rPr>
      </w:pPr>
      <w:r>
        <w:rPr>
          <w:snapToGrid w:val="0"/>
        </w:rPr>
        <w:tab/>
        <w:t>(b)</w:t>
      </w:r>
      <w:r>
        <w:rPr>
          <w:snapToGrid w:val="0"/>
        </w:rPr>
        <w:tab/>
        <w:t xml:space="preserve">he has served a copy of the instrument on such other persons, if any, as he thinks fit; </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 xml:space="preserve">specified a date on or before which the permittee or a person on whom a copy of the instrument is served may, by instrument in writing served on the Minister, submit any matters that he wishes the Minister to consider;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him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 </w:t>
      </w:r>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 xml:space="preserve">[Section 32 amended by No. 28 of 1994 s.86.] </w:t>
      </w:r>
    </w:p>
    <w:p>
      <w:pPr>
        <w:pStyle w:val="Heading5"/>
        <w:rPr>
          <w:snapToGrid w:val="0"/>
        </w:rPr>
      </w:pPr>
      <w:bookmarkStart w:id="254" w:name="_Toc501861705"/>
      <w:bookmarkStart w:id="255" w:name="_Toc113772459"/>
      <w:bookmarkStart w:id="256" w:name="_Toc170190554"/>
      <w:bookmarkStart w:id="257" w:name="_Toc157933528"/>
      <w:r>
        <w:rPr>
          <w:rStyle w:val="CharSectno"/>
        </w:rPr>
        <w:t>33</w:t>
      </w:r>
      <w:r>
        <w:rPr>
          <w:snapToGrid w:val="0"/>
        </w:rPr>
        <w:t>.</w:t>
      </w:r>
      <w:r>
        <w:rPr>
          <w:snapToGrid w:val="0"/>
        </w:rPr>
        <w:tab/>
        <w:t>Conditions of permit</w:t>
      </w:r>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 </w:t>
      </w:r>
    </w:p>
    <w:p>
      <w:pPr>
        <w:pStyle w:val="Indenta"/>
        <w:rPr>
          <w:snapToGrid w:val="0"/>
        </w:rPr>
      </w:pPr>
      <w:r>
        <w:rPr>
          <w:snapToGrid w:val="0"/>
        </w:rPr>
        <w:tab/>
        <w:t>(a)</w:t>
      </w:r>
      <w:r>
        <w:rPr>
          <w:snapToGrid w:val="0"/>
        </w:rPr>
        <w:tab/>
        <w:t>work to be carried out by the permittee in or in relation to the permit area during the term of the permit;</w:t>
      </w:r>
    </w:p>
    <w:p>
      <w:pPr>
        <w:pStyle w:val="Indenta"/>
        <w:rPr>
          <w:snapToGrid w:val="0"/>
        </w:rPr>
      </w:pPr>
      <w:r>
        <w:rPr>
          <w:snapToGrid w:val="0"/>
        </w:rPr>
        <w:tab/>
        <w:t>(b)</w:t>
      </w:r>
      <w:r>
        <w:rPr>
          <w:snapToGrid w:val="0"/>
        </w:rPr>
        <w:tab/>
        <w:t>amounts to be expended by the permittee in the carrying out of such work; or</w:t>
      </w:r>
    </w:p>
    <w:p>
      <w:pPr>
        <w:pStyle w:val="Indenta"/>
        <w:rPr>
          <w:snapToGrid w:val="0"/>
        </w:rPr>
      </w:pPr>
      <w:r>
        <w:rPr>
          <w:snapToGrid w:val="0"/>
        </w:rPr>
        <w:tab/>
        <w:t>(c)</w:t>
      </w:r>
      <w:r>
        <w:rPr>
          <w:snapToGrid w:val="0"/>
        </w:rPr>
        <w:tab/>
        <w:t>both those matters,</w:t>
      </w:r>
    </w:p>
    <w:p>
      <w:pPr>
        <w:pStyle w:val="Subsection"/>
        <w:spacing w:before="120"/>
        <w:rPr>
          <w:snapToGrid w:val="0"/>
        </w:rPr>
      </w:pPr>
      <w:r>
        <w:rPr>
          <w:snapToGrid w:val="0"/>
        </w:rPr>
        <w:tab/>
      </w:r>
      <w:r>
        <w:rPr>
          <w:snapToGrid w:val="0"/>
        </w:rPr>
        <w:tab/>
        <w:t>and the conditions may require the permittee to comply with directions given in accordance with the permit concerning the matters referred to in paragraphs (a) and (b).</w:t>
      </w:r>
    </w:p>
    <w:p>
      <w:pPr>
        <w:pStyle w:val="Heading5"/>
        <w:rPr>
          <w:snapToGrid w:val="0"/>
        </w:rPr>
      </w:pPr>
      <w:bookmarkStart w:id="258" w:name="_Toc501861706"/>
      <w:bookmarkStart w:id="259" w:name="_Toc113772460"/>
      <w:bookmarkStart w:id="260" w:name="_Toc170190555"/>
      <w:bookmarkStart w:id="261" w:name="_Toc157933529"/>
      <w:r>
        <w:rPr>
          <w:rStyle w:val="CharSectno"/>
        </w:rPr>
        <w:t>34</w:t>
      </w:r>
      <w:r>
        <w:rPr>
          <w:snapToGrid w:val="0"/>
        </w:rPr>
        <w:t>.</w:t>
      </w:r>
      <w:r>
        <w:rPr>
          <w:snapToGrid w:val="0"/>
        </w:rPr>
        <w:tab/>
        <w:t>Discovery of petroleum to be notified</w:t>
      </w:r>
      <w:bookmarkEnd w:id="258"/>
      <w:bookmarkEnd w:id="259"/>
      <w:bookmarkEnd w:id="260"/>
      <w:bookmarkEnd w:id="261"/>
      <w:r>
        <w:rPr>
          <w:snapToGrid w:val="0"/>
        </w:rPr>
        <w:t xml:space="preserve"> </w:t>
      </w:r>
    </w:p>
    <w:p>
      <w:pPr>
        <w:pStyle w:val="Subsection"/>
        <w:spacing w:before="120"/>
        <w:rPr>
          <w:snapToGrid w:val="0"/>
          <w:spacing w:val="-2"/>
        </w:rPr>
      </w:pPr>
      <w:r>
        <w:rPr>
          <w:snapToGrid w:val="0"/>
          <w:spacing w:val="-2"/>
        </w:rPr>
        <w:tab/>
        <w:t>(1)</w:t>
      </w:r>
      <w:r>
        <w:rPr>
          <w:snapToGrid w:val="0"/>
          <w:spacing w:val="-2"/>
        </w:rPr>
        <w:tab/>
        <w:t>Where petroleum is discovered in a permit area, the permittee —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spacing w:before="120"/>
        <w:rPr>
          <w:snapToGrid w:val="0"/>
        </w:rPr>
      </w:pPr>
      <w:r>
        <w:rPr>
          <w:snapToGrid w:val="0"/>
        </w:rPr>
        <w:tab/>
        <w:t>(2)</w:t>
      </w:r>
      <w:r>
        <w:rPr>
          <w:snapToGrid w:val="0"/>
        </w:rPr>
        <w:tab/>
        <w:t>Where petroleum is discovered in a permit area, the Minister may, from time to time, by instrument in writing served on the permittee, direct the permittee to furnish to him, within the period specified in the instrument, particulars in writing of any one or more of the following —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subsoil in which the petroleum occurs; and</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spacing w:before="120"/>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Heading5"/>
        <w:rPr>
          <w:snapToGrid w:val="0"/>
        </w:rPr>
      </w:pPr>
      <w:bookmarkStart w:id="262" w:name="_Toc501861707"/>
      <w:bookmarkStart w:id="263" w:name="_Toc113772461"/>
      <w:bookmarkStart w:id="264" w:name="_Toc170190556"/>
      <w:bookmarkStart w:id="265" w:name="_Toc157933530"/>
      <w:r>
        <w:rPr>
          <w:rStyle w:val="CharSectno"/>
        </w:rPr>
        <w:t>35</w:t>
      </w:r>
      <w:r>
        <w:rPr>
          <w:snapToGrid w:val="0"/>
        </w:rPr>
        <w:t>.</w:t>
      </w:r>
      <w:r>
        <w:rPr>
          <w:snapToGrid w:val="0"/>
        </w:rPr>
        <w:tab/>
        <w:t>Directions by Minister on discovery of petroleum</w:t>
      </w:r>
      <w:bookmarkEnd w:id="262"/>
      <w:bookmarkEnd w:id="263"/>
      <w:bookmarkEnd w:id="264"/>
      <w:bookmarkEnd w:id="265"/>
      <w:r>
        <w:rPr>
          <w:snapToGrid w:val="0"/>
        </w:rPr>
        <w:t xml:space="preserve"> </w:t>
      </w:r>
    </w:p>
    <w:p>
      <w:pPr>
        <w:pStyle w:val="Subsection"/>
        <w:spacing w:before="120"/>
        <w:rPr>
          <w:snapToGrid w:val="0"/>
        </w:rPr>
      </w:pPr>
      <w:r>
        <w:rPr>
          <w:snapToGrid w:val="0"/>
        </w:rPr>
        <w:tab/>
        <w:t>(1)</w:t>
      </w:r>
      <w:r>
        <w:rPr>
          <w:snapToGrid w:val="0"/>
        </w:rPr>
        <w:tab/>
        <w:t>Where petroleum is discovered in a permit area, the Minister may, by instrument in writing served on the permittee, direct the permittee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in such part of that petroleum pool as is within the permit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Heading5"/>
        <w:spacing w:before="240"/>
        <w:rPr>
          <w:snapToGrid w:val="0"/>
        </w:rPr>
      </w:pPr>
      <w:bookmarkStart w:id="266" w:name="_Toc501861708"/>
      <w:bookmarkStart w:id="267" w:name="_Toc113772462"/>
      <w:bookmarkStart w:id="268" w:name="_Toc170190557"/>
      <w:bookmarkStart w:id="269" w:name="_Toc157933531"/>
      <w:r>
        <w:rPr>
          <w:rStyle w:val="CharSectno"/>
        </w:rPr>
        <w:t>36</w:t>
      </w:r>
      <w:r>
        <w:rPr>
          <w:snapToGrid w:val="0"/>
        </w:rPr>
        <w:t>.</w:t>
      </w:r>
      <w:r>
        <w:rPr>
          <w:snapToGrid w:val="0"/>
        </w:rPr>
        <w:tab/>
        <w:t>Nomination of blocks as location</w:t>
      </w:r>
      <w:bookmarkEnd w:id="266"/>
      <w:bookmarkEnd w:id="267"/>
      <w:bookmarkEnd w:id="268"/>
      <w:bookmarkEnd w:id="269"/>
      <w:r>
        <w:rPr>
          <w:snapToGrid w:val="0"/>
        </w:rPr>
        <w:t xml:space="preserve"> </w:t>
      </w:r>
    </w:p>
    <w:p>
      <w:pPr>
        <w:pStyle w:val="Subsection"/>
        <w:spacing w:before="180"/>
        <w:rPr>
          <w:snapToGrid w:val="0"/>
        </w:rPr>
      </w:pPr>
      <w:r>
        <w:rPr>
          <w:snapToGrid w:val="0"/>
        </w:rPr>
        <w:tab/>
        <w:t>(1)</w:t>
      </w:r>
      <w:r>
        <w:rPr>
          <w:snapToGrid w:val="0"/>
        </w:rPr>
        <w:tab/>
        <w:t>Where a petroleum pool is identified in a permit area, the permittee may nominate the block in which the pool is situated, or the blocks (being blocks within the permit area) to which the pool extends, for declaration as a location.</w:t>
      </w:r>
    </w:p>
    <w:p>
      <w:pPr>
        <w:pStyle w:val="Subsection"/>
        <w:spacing w:before="180"/>
        <w:rPr>
          <w:snapToGrid w:val="0"/>
        </w:rPr>
      </w:pPr>
      <w:r>
        <w:rPr>
          <w:snapToGrid w:val="0"/>
        </w:rPr>
        <w:tab/>
        <w:t>(2)</w:t>
      </w:r>
      <w:r>
        <w:rPr>
          <w:snapToGrid w:val="0"/>
        </w:rPr>
        <w:tab/>
        <w:t>Where 2 or more petroleum pools are identified in a permit area, the permittee may, instead of making a nomination under subsection (1) in relation to each pool, nominate all of the blocks to which the pools extend, or to which any 2 or more of the pools extend, for declaration as a single location.</w:t>
      </w:r>
    </w:p>
    <w:p>
      <w:pPr>
        <w:pStyle w:val="Subsection"/>
        <w:spacing w:before="180"/>
        <w:rPr>
          <w:snapToGrid w:val="0"/>
        </w:rPr>
      </w:pPr>
      <w:r>
        <w:rPr>
          <w:snapToGrid w:val="0"/>
        </w:rPr>
        <w:tab/>
        <w:t>(3)</w:t>
      </w:r>
      <w:r>
        <w:rPr>
          <w:snapToGrid w:val="0"/>
        </w:rPr>
        <w:tab/>
        <w:t>A nomination may not be made under subsection (2) unless, in the case of each of the pools to which the nomination relates, at least one of the blocks to which the pool extends immediately adjoins a block to which the other, or another, of those pools extends.</w:t>
      </w:r>
    </w:p>
    <w:p>
      <w:pPr>
        <w:pStyle w:val="Subsection"/>
        <w:spacing w:before="180"/>
        <w:rPr>
          <w:snapToGrid w:val="0"/>
        </w:rPr>
      </w:pPr>
      <w:r>
        <w:rPr>
          <w:snapToGrid w:val="0"/>
        </w:rPr>
        <w:tab/>
        <w:t>(4)</w:t>
      </w:r>
      <w:r>
        <w:rPr>
          <w:snapToGrid w:val="0"/>
        </w:rPr>
        <w:tab/>
        <w:t>A nomination by a permittee shall be in writing and served on the Minister.</w:t>
      </w:r>
    </w:p>
    <w:p>
      <w:pPr>
        <w:pStyle w:val="Subsection"/>
        <w:spacing w:before="180"/>
        <w:rPr>
          <w:snapToGrid w:val="0"/>
        </w:rPr>
      </w:pPr>
      <w:r>
        <w:rPr>
          <w:snapToGrid w:val="0"/>
        </w:rPr>
        <w:tab/>
        <w:t>(5)</w:t>
      </w:r>
      <w:r>
        <w:rPr>
          <w:snapToGrid w:val="0"/>
        </w:rPr>
        <w:tab/>
        <w:t>A nomination may not be made by a permittee unless the permittee or another person has, whether within or outside the permit area, recovered petroleum from the petroleum pool to which the nomination relates or, if the nomination relates to more than one pool, from each of those pools.</w:t>
      </w:r>
    </w:p>
    <w:p>
      <w:pPr>
        <w:pStyle w:val="Subsection"/>
        <w:keepNext/>
        <w:rPr>
          <w:snapToGrid w:val="0"/>
        </w:rPr>
      </w:pPr>
      <w:r>
        <w:rPr>
          <w:snapToGrid w:val="0"/>
        </w:rPr>
        <w:tab/>
        <w:t>(6)</w:t>
      </w:r>
      <w:r>
        <w:rPr>
          <w:snapToGrid w:val="0"/>
        </w:rPr>
        <w:tab/>
        <w:t>Where — </w:t>
      </w:r>
    </w:p>
    <w:p>
      <w:pPr>
        <w:pStyle w:val="Indenta"/>
        <w:rPr>
          <w:snapToGrid w:val="0"/>
        </w:rPr>
      </w:pPr>
      <w:r>
        <w:rPr>
          <w:snapToGrid w:val="0"/>
        </w:rPr>
        <w:tab/>
        <w:t>(a)</w:t>
      </w:r>
      <w:r>
        <w:rPr>
          <w:snapToGrid w:val="0"/>
        </w:rPr>
        <w:tab/>
        <w:t>the Minister is of the opinion that a permittee is entitled to nominate a block or blocks under subsection (1) or (2); and</w:t>
      </w:r>
    </w:p>
    <w:p>
      <w:pPr>
        <w:pStyle w:val="Indenta"/>
        <w:rPr>
          <w:snapToGrid w:val="0"/>
        </w:rPr>
      </w:pPr>
      <w:r>
        <w:rPr>
          <w:snapToGrid w:val="0"/>
        </w:rPr>
        <w:tab/>
        <w:t>(b)</w:t>
      </w:r>
      <w:r>
        <w:rPr>
          <w:snapToGrid w:val="0"/>
        </w:rPr>
        <w:tab/>
        <w:t>the permittee has not done so,</w:t>
      </w:r>
    </w:p>
    <w:p>
      <w:pPr>
        <w:pStyle w:val="Subsection"/>
        <w:spacing w:before="120"/>
        <w:rPr>
          <w:snapToGrid w:val="0"/>
        </w:rPr>
      </w:pPr>
      <w:r>
        <w:rPr>
          <w:snapToGrid w:val="0"/>
        </w:rPr>
        <w:tab/>
      </w:r>
      <w:r>
        <w:rPr>
          <w:snapToGrid w:val="0"/>
        </w:rPr>
        <w:tab/>
        <w:t>the Minister may require the permittee to exercise the permittee’s right to nominate the block or blocks within 3 months after the date of the making of the requirement.</w:t>
      </w:r>
    </w:p>
    <w:p>
      <w:pPr>
        <w:pStyle w:val="Subsection"/>
        <w:spacing w:before="120"/>
        <w:rPr>
          <w:snapToGrid w:val="0"/>
        </w:rPr>
      </w:pPr>
      <w:r>
        <w:rPr>
          <w:snapToGrid w:val="0"/>
        </w:rPr>
        <w:tab/>
        <w:t>(7)</w:t>
      </w:r>
      <w:r>
        <w:rPr>
          <w:snapToGrid w:val="0"/>
        </w:rPr>
        <w:tab/>
        <w:t>A requirement by the Minister under subsection (6) shall be by written notice served on the permittee.</w:t>
      </w:r>
    </w:p>
    <w:p>
      <w:pPr>
        <w:pStyle w:val="Subsection"/>
        <w:spacing w:before="120"/>
        <w:rPr>
          <w:snapToGrid w:val="0"/>
        </w:rPr>
      </w:pPr>
      <w:r>
        <w:rPr>
          <w:snapToGrid w:val="0"/>
        </w:rPr>
        <w:tab/>
        <w:t>(8)</w:t>
      </w:r>
      <w:r>
        <w:rPr>
          <w:snapToGrid w:val="0"/>
        </w:rPr>
        <w:tab/>
        <w:t>On written request by a permittee within the period fixed by subsection (6), the Minister may extend the time for compliance with a requirement under that subsection by not more than 3 months.</w:t>
      </w:r>
    </w:p>
    <w:p>
      <w:pPr>
        <w:pStyle w:val="Subsection"/>
        <w:spacing w:before="120"/>
        <w:rPr>
          <w:snapToGrid w:val="0"/>
        </w:rPr>
      </w:pPr>
      <w:r>
        <w:rPr>
          <w:snapToGrid w:val="0"/>
        </w:rPr>
        <w:tab/>
        <w:t>(9)</w:t>
      </w:r>
      <w:r>
        <w:rPr>
          <w:snapToGrid w:val="0"/>
        </w:rPr>
        <w:tab/>
        <w:t>If a permittee fails to comply with a requirement under subsection (6), the Minister may, by written notice served on the permittee, nominate the block or blocks for declaration as a location.</w:t>
      </w:r>
    </w:p>
    <w:p>
      <w:pPr>
        <w:pStyle w:val="Footnotesection"/>
      </w:pPr>
      <w:r>
        <w:tab/>
        <w:t>[Section 36 inserted by No. 12 of 1990 s.172</w:t>
      </w:r>
      <w:r>
        <w:rPr>
          <w:vertAlign w:val="superscript"/>
        </w:rPr>
        <w:t xml:space="preserve"> 3</w:t>
      </w:r>
      <w:r>
        <w:t xml:space="preserve">.] </w:t>
      </w:r>
    </w:p>
    <w:p>
      <w:pPr>
        <w:pStyle w:val="Heading5"/>
        <w:rPr>
          <w:snapToGrid w:val="0"/>
        </w:rPr>
      </w:pPr>
      <w:bookmarkStart w:id="270" w:name="_Toc501861709"/>
      <w:bookmarkStart w:id="271" w:name="_Toc113772463"/>
      <w:bookmarkStart w:id="272" w:name="_Toc170190558"/>
      <w:bookmarkStart w:id="273" w:name="_Toc157933532"/>
      <w:r>
        <w:rPr>
          <w:rStyle w:val="CharSectno"/>
        </w:rPr>
        <w:t>37</w:t>
      </w:r>
      <w:r>
        <w:rPr>
          <w:snapToGrid w:val="0"/>
        </w:rPr>
        <w:t>.</w:t>
      </w:r>
      <w:r>
        <w:rPr>
          <w:snapToGrid w:val="0"/>
        </w:rPr>
        <w:tab/>
        <w:t>Declaration of location</w:t>
      </w:r>
      <w:bookmarkEnd w:id="270"/>
      <w:bookmarkEnd w:id="271"/>
      <w:bookmarkEnd w:id="272"/>
      <w:bookmarkEnd w:id="273"/>
      <w:r>
        <w:rPr>
          <w:snapToGrid w:val="0"/>
        </w:rPr>
        <w:t xml:space="preserve"> </w:t>
      </w:r>
    </w:p>
    <w:p>
      <w:pPr>
        <w:pStyle w:val="Subsection"/>
        <w:spacing w:before="12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permittee has made a nomination under section 36; and</w:t>
      </w:r>
    </w:p>
    <w:p>
      <w:pPr>
        <w:pStyle w:val="Indenta"/>
        <w:rPr>
          <w:snapToGrid w:val="0"/>
        </w:rPr>
      </w:pPr>
      <w:r>
        <w:rPr>
          <w:snapToGrid w:val="0"/>
        </w:rPr>
        <w:tab/>
        <w:t>(b)</w:t>
      </w:r>
      <w:r>
        <w:rPr>
          <w:snapToGrid w:val="0"/>
        </w:rPr>
        <w:tab/>
        <w:t>the Minister is of the opinion that the permittee is entitled under that section to nominate the block or blocks specified in the nomination,</w:t>
      </w:r>
    </w:p>
    <w:p>
      <w:pPr>
        <w:pStyle w:val="Subsection"/>
        <w:spacing w:before="120"/>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spacing w:val="-2"/>
        </w:rPr>
      </w:pPr>
      <w:r>
        <w:rPr>
          <w:snapToGrid w:val="0"/>
          <w:spacing w:val="-2"/>
        </w:rPr>
        <w:tab/>
        <w:t>(2)</w:t>
      </w:r>
      <w:r>
        <w:rPr>
          <w:snapToGrid w:val="0"/>
          <w:spacing w:val="-2"/>
        </w:rPr>
        <w:tab/>
        <w:t xml:space="preserve">Where the Minister has made a nomination under section 36(9), the Minister shall, by notice published in the </w:t>
      </w:r>
      <w:r>
        <w:rPr>
          <w:i/>
          <w:snapToGrid w:val="0"/>
          <w:spacing w:val="-2"/>
        </w:rPr>
        <w:t>Gazette</w:t>
      </w:r>
      <w:r>
        <w:rPr>
          <w:snapToGrid w:val="0"/>
          <w:spacing w:val="-2"/>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revoke a declaration.</w:t>
      </w:r>
    </w:p>
    <w:p>
      <w:pPr>
        <w:pStyle w:val="Subsection"/>
        <w:rPr>
          <w:snapToGrid w:val="0"/>
        </w:rPr>
      </w:pPr>
      <w:r>
        <w:rPr>
          <w:snapToGrid w:val="0"/>
        </w:rPr>
        <w:tab/>
        <w:t>(4)</w:t>
      </w:r>
      <w:r>
        <w:rPr>
          <w:snapToGrid w:val="0"/>
        </w:rPr>
        <w:tab/>
        <w:t>The Minister may vary a declaration by — </w:t>
      </w:r>
    </w:p>
    <w:p>
      <w:pPr>
        <w:pStyle w:val="Indenta"/>
        <w:rPr>
          <w:snapToGrid w:val="0"/>
        </w:rPr>
      </w:pPr>
      <w:r>
        <w:rPr>
          <w:snapToGrid w:val="0"/>
        </w:rPr>
        <w:tab/>
        <w:t>(a)</w:t>
      </w:r>
      <w:r>
        <w:rPr>
          <w:snapToGrid w:val="0"/>
        </w:rPr>
        <w:tab/>
        <w:t>adding to the location a block in the permit area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rPr>
          <w:snapToGrid w:val="0"/>
        </w:rPr>
      </w:pPr>
      <w:r>
        <w:rPr>
          <w:snapToGrid w:val="0"/>
        </w:rPr>
        <w:tab/>
        <w:t>(5)</w:t>
      </w:r>
      <w:r>
        <w:rPr>
          <w:snapToGrid w:val="0"/>
        </w:rPr>
        <w:tab/>
        <w:t>The Minister may not vary a declaration unless — </w:t>
      </w:r>
    </w:p>
    <w:p>
      <w:pPr>
        <w:pStyle w:val="Indenta"/>
        <w:rPr>
          <w:snapToGrid w:val="0"/>
        </w:rPr>
      </w:pPr>
      <w:r>
        <w:rPr>
          <w:snapToGrid w:val="0"/>
        </w:rPr>
        <w:tab/>
        <w:t>(a)</w:t>
      </w:r>
      <w:r>
        <w:rPr>
          <w:snapToGrid w:val="0"/>
        </w:rPr>
        <w:tab/>
        <w:t>the Minister has caused to be served on the permittee notice in writing of the proposed variation, identifying the block to be added to, or deleted from, the location;</w:t>
      </w:r>
    </w:p>
    <w:p>
      <w:pPr>
        <w:pStyle w:val="Indenta"/>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in relation to the proposed variation.</w:t>
      </w:r>
    </w:p>
    <w:p>
      <w:pPr>
        <w:pStyle w:val="Subsection"/>
        <w:rPr>
          <w:snapToGrid w:val="0"/>
        </w:rPr>
      </w:pPr>
      <w:r>
        <w:rPr>
          <w:snapToGrid w:val="0"/>
        </w:rPr>
        <w:tab/>
        <w:t>(6)</w:t>
      </w:r>
      <w:r>
        <w:rPr>
          <w:snapToGrid w:val="0"/>
        </w:rPr>
        <w:tab/>
        <w:t>Subsection (5) does not apply where a variation is made at the request of the permittee.</w:t>
      </w:r>
    </w:p>
    <w:p>
      <w:pPr>
        <w:pStyle w:val="Footnotesection"/>
      </w:pPr>
      <w:r>
        <w:tab/>
        <w:t>[Section 37 inserted by No. 12 of 1990 s.172</w:t>
      </w:r>
      <w:r>
        <w:rPr>
          <w:vertAlign w:val="superscript"/>
        </w:rPr>
        <w:t xml:space="preserve"> 3</w:t>
      </w:r>
      <w:r>
        <w:t xml:space="preserve">.] </w:t>
      </w:r>
    </w:p>
    <w:p>
      <w:pPr>
        <w:pStyle w:val="Heading5"/>
        <w:rPr>
          <w:snapToGrid w:val="0"/>
        </w:rPr>
      </w:pPr>
      <w:bookmarkStart w:id="274" w:name="_Toc501861710"/>
      <w:bookmarkStart w:id="275" w:name="_Toc113772464"/>
      <w:bookmarkStart w:id="276" w:name="_Toc170190559"/>
      <w:bookmarkStart w:id="277" w:name="_Toc157933533"/>
      <w:r>
        <w:rPr>
          <w:rStyle w:val="CharSectno"/>
        </w:rPr>
        <w:t>38</w:t>
      </w:r>
      <w:r>
        <w:rPr>
          <w:snapToGrid w:val="0"/>
        </w:rPr>
        <w:t>.</w:t>
      </w:r>
      <w:r>
        <w:rPr>
          <w:snapToGrid w:val="0"/>
        </w:rPr>
        <w:tab/>
        <w:t>Immediately adjoining blocks</w:t>
      </w:r>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For the purposes of section 36, a block immediately adjoins another block if the graticular section that constitutes or includes that block and the graticular section that constitutes or includes that other block — </w:t>
      </w:r>
    </w:p>
    <w:p>
      <w:pPr>
        <w:pStyle w:val="Indenta"/>
        <w:rPr>
          <w:snapToGrid w:val="0"/>
        </w:rPr>
      </w:pPr>
      <w:r>
        <w:rPr>
          <w:snapToGrid w:val="0"/>
        </w:rPr>
        <w:tab/>
        <w:t>(a)</w:t>
      </w:r>
      <w:r>
        <w:rPr>
          <w:snapToGrid w:val="0"/>
        </w:rPr>
        <w:tab/>
        <w:t>have a side in common; or</w:t>
      </w:r>
    </w:p>
    <w:p>
      <w:pPr>
        <w:pStyle w:val="Indenta"/>
        <w:keepNext/>
        <w:rPr>
          <w:snapToGrid w:val="0"/>
        </w:rPr>
      </w:pPr>
      <w:r>
        <w:rPr>
          <w:snapToGrid w:val="0"/>
        </w:rPr>
        <w:tab/>
        <w:t>(b)</w:t>
      </w:r>
      <w:r>
        <w:rPr>
          <w:snapToGrid w:val="0"/>
        </w:rPr>
        <w:tab/>
        <w:t>are joined together at one point only.</w:t>
      </w:r>
    </w:p>
    <w:p>
      <w:pPr>
        <w:pStyle w:val="Footnotesection"/>
      </w:pPr>
      <w:r>
        <w:tab/>
        <w:t>[Section 38 amended by No. 12 of 1990 s.173</w:t>
      </w:r>
      <w:r>
        <w:rPr>
          <w:vertAlign w:val="superscript"/>
        </w:rPr>
        <w:t xml:space="preserve"> 3</w:t>
      </w:r>
      <w:r>
        <w:t xml:space="preserve">.] </w:t>
      </w:r>
    </w:p>
    <w:p>
      <w:pPr>
        <w:pStyle w:val="Heading3"/>
        <w:rPr>
          <w:snapToGrid w:val="0"/>
        </w:rPr>
      </w:pPr>
      <w:bookmarkStart w:id="278" w:name="_Toc72913745"/>
      <w:bookmarkStart w:id="279" w:name="_Toc91304225"/>
      <w:bookmarkStart w:id="280" w:name="_Toc92688468"/>
      <w:bookmarkStart w:id="281" w:name="_Toc113772465"/>
      <w:bookmarkStart w:id="282" w:name="_Toc156976950"/>
      <w:bookmarkStart w:id="283" w:name="_Toc157933534"/>
      <w:bookmarkStart w:id="284" w:name="_Toc162761168"/>
      <w:bookmarkStart w:id="285" w:name="_Toc170190560"/>
      <w:r>
        <w:rPr>
          <w:rStyle w:val="CharDivNo"/>
        </w:rPr>
        <w:t>Division 2A</w:t>
      </w:r>
      <w:r>
        <w:rPr>
          <w:snapToGrid w:val="0"/>
        </w:rPr>
        <w:t> — </w:t>
      </w:r>
      <w:r>
        <w:rPr>
          <w:rStyle w:val="CharDivText"/>
        </w:rPr>
        <w:t>Retention leases for petroleum</w:t>
      </w:r>
      <w:bookmarkEnd w:id="278"/>
      <w:bookmarkEnd w:id="279"/>
      <w:bookmarkEnd w:id="280"/>
      <w:bookmarkEnd w:id="281"/>
      <w:bookmarkEnd w:id="282"/>
      <w:bookmarkEnd w:id="283"/>
      <w:bookmarkEnd w:id="284"/>
      <w:bookmarkEnd w:id="285"/>
      <w:r>
        <w:rPr>
          <w:rStyle w:val="CharDivText"/>
        </w:rPr>
        <w:t xml:space="preserve"> </w:t>
      </w:r>
    </w:p>
    <w:p>
      <w:pPr>
        <w:pStyle w:val="Footnoteheading"/>
        <w:rPr>
          <w:snapToGrid w:val="0"/>
        </w:rPr>
      </w:pPr>
      <w:r>
        <w:rPr>
          <w:snapToGrid w:val="0"/>
        </w:rPr>
        <w:tab/>
        <w:t xml:space="preserve">[Heading inserted by No. 12 of 1990 s.174.] </w:t>
      </w:r>
    </w:p>
    <w:p>
      <w:pPr>
        <w:pStyle w:val="Heading5"/>
        <w:spacing w:before="180"/>
        <w:rPr>
          <w:snapToGrid w:val="0"/>
        </w:rPr>
      </w:pPr>
      <w:bookmarkStart w:id="286" w:name="_Toc501861711"/>
      <w:bookmarkStart w:id="287" w:name="_Toc113772466"/>
      <w:bookmarkStart w:id="288" w:name="_Toc170190561"/>
      <w:bookmarkStart w:id="289" w:name="_Toc157933535"/>
      <w:r>
        <w:rPr>
          <w:rStyle w:val="CharSectno"/>
        </w:rPr>
        <w:t>38A</w:t>
      </w:r>
      <w:r>
        <w:rPr>
          <w:snapToGrid w:val="0"/>
        </w:rPr>
        <w:t>.</w:t>
      </w:r>
      <w:r>
        <w:rPr>
          <w:snapToGrid w:val="0"/>
        </w:rPr>
        <w:tab/>
        <w:t>Application by permittee for lease</w:t>
      </w:r>
      <w:bookmarkEnd w:id="286"/>
      <w:bookmarkEnd w:id="287"/>
      <w:bookmarkEnd w:id="288"/>
      <w:bookmarkEnd w:id="289"/>
      <w:r>
        <w:rPr>
          <w:snapToGrid w:val="0"/>
        </w:rPr>
        <w:t xml:space="preserve"> </w:t>
      </w:r>
    </w:p>
    <w:p>
      <w:pPr>
        <w:pStyle w:val="Subsection"/>
        <w:spacing w:before="120"/>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lease in respect of that block, or in respect of one or more of those blocks, as the case may be.</w:t>
      </w:r>
    </w:p>
    <w:p>
      <w:pPr>
        <w:pStyle w:val="Subsection"/>
        <w:spacing w:before="120"/>
        <w:rPr>
          <w:snapToGrid w:val="0"/>
        </w:rPr>
      </w:pPr>
      <w:r>
        <w:rPr>
          <w:snapToGrid w:val="0"/>
        </w:rPr>
        <w:tab/>
        <w:t>(2)</w:t>
      </w:r>
      <w:r>
        <w:rPr>
          <w:snapToGrid w:val="0"/>
        </w:rPr>
        <w:tab/>
        <w:t>An application under subsection (1) —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 </w:t>
      </w:r>
    </w:p>
    <w:p>
      <w:pPr>
        <w:pStyle w:val="Indenti"/>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rPr>
          <w:snapToGrid w:val="0"/>
        </w:rPr>
      </w:pPr>
      <w:r>
        <w:rPr>
          <w:snapToGrid w:val="0"/>
        </w:rPr>
        <w:tab/>
        <w:t>(ii)</w:t>
      </w:r>
      <w:r>
        <w:rPr>
          <w:snapToGrid w:val="0"/>
        </w:rPr>
        <w:tab/>
        <w:t>the commercial viability of the recovery of petroleum from the area comprised in the blocks specified in the application at the time of the application, and particulars of the possible future commercial viability of the recovery of petroleum from that area;</w:t>
      </w:r>
    </w:p>
    <w:p>
      <w:pPr>
        <w:pStyle w:val="Indenta"/>
        <w:spacing w:before="60"/>
        <w:rPr>
          <w:snapToGrid w:val="0"/>
        </w:rPr>
      </w:pPr>
      <w:r>
        <w:rPr>
          <w:snapToGrid w:val="0"/>
        </w:rPr>
        <w:tab/>
        <w:t>(d)</w:t>
      </w:r>
      <w:r>
        <w:rPr>
          <w:snapToGrid w:val="0"/>
        </w:rPr>
        <w:tab/>
        <w:t>may set out any other matters that the applicant wishes to be considered; and</w:t>
      </w:r>
    </w:p>
    <w:p>
      <w:pPr>
        <w:pStyle w:val="Indenta"/>
        <w:spacing w:before="60"/>
        <w:rPr>
          <w:snapToGrid w:val="0"/>
        </w:rPr>
      </w:pPr>
      <w:r>
        <w:rPr>
          <w:snapToGrid w:val="0"/>
        </w:rPr>
        <w:tab/>
        <w:t>(e)</w:t>
      </w:r>
      <w:r>
        <w:rPr>
          <w:snapToGrid w:val="0"/>
        </w:rPr>
        <w:tab/>
        <w:t>shall be accompanied by the prescribed fee.</w:t>
      </w:r>
    </w:p>
    <w:p>
      <w:pPr>
        <w:pStyle w:val="Subsection"/>
        <w:spacing w:before="120"/>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keepNext/>
        <w:spacing w:before="120"/>
        <w:rPr>
          <w:snapToGrid w:val="0"/>
        </w:rPr>
      </w:pPr>
      <w:r>
        <w:rPr>
          <w:snapToGrid w:val="0"/>
        </w:rPr>
        <w:tab/>
        <w:t>(4)</w:t>
      </w:r>
      <w:r>
        <w:rPr>
          <w:snapToGrid w:val="0"/>
        </w:rPr>
        <w:tab/>
        <w:t>The application period in respect of an application under this section by a permittee is — </w:t>
      </w:r>
    </w:p>
    <w:p>
      <w:pPr>
        <w:pStyle w:val="Indenta"/>
        <w:spacing w:before="6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60"/>
        <w:rPr>
          <w:snapToGrid w:val="0"/>
        </w:rPr>
      </w:pPr>
      <w:r>
        <w:rPr>
          <w:snapToGrid w:val="0"/>
        </w:rPr>
        <w:tab/>
        <w:t>(b)</w:t>
      </w:r>
      <w:r>
        <w:rPr>
          <w:snapToGrid w:val="0"/>
        </w:rPr>
        <w:tab/>
        <w:t>such other period, not less than 2 years or more than 4 years after that date, as the Minister, on application in writing by the permittee, served on the Minister before the end of the first</w:t>
      </w:r>
      <w:r>
        <w:rPr>
          <w:snapToGrid w:val="0"/>
        </w:rPr>
        <w:noBreakHyphen/>
        <w:t>mentioned period of 2 years, allows.</w:t>
      </w:r>
    </w:p>
    <w:p>
      <w:pPr>
        <w:pStyle w:val="Footnotesection"/>
        <w:spacing w:before="80"/>
        <w:ind w:left="890" w:hanging="890"/>
      </w:pPr>
      <w:r>
        <w:tab/>
        <w:t xml:space="preserve">[Section 38A inserted by No. 12 of 1990 s.174.] </w:t>
      </w:r>
    </w:p>
    <w:p>
      <w:pPr>
        <w:pStyle w:val="Heading5"/>
        <w:spacing w:before="180"/>
        <w:rPr>
          <w:snapToGrid w:val="0"/>
        </w:rPr>
      </w:pPr>
      <w:bookmarkStart w:id="290" w:name="_Toc501861712"/>
      <w:bookmarkStart w:id="291" w:name="_Toc113772467"/>
      <w:bookmarkStart w:id="292" w:name="_Toc170190562"/>
      <w:bookmarkStart w:id="293" w:name="_Toc157933536"/>
      <w:r>
        <w:rPr>
          <w:rStyle w:val="CharSectno"/>
        </w:rPr>
        <w:t>38B</w:t>
      </w:r>
      <w:r>
        <w:rPr>
          <w:snapToGrid w:val="0"/>
        </w:rPr>
        <w:t>.</w:t>
      </w:r>
      <w:r>
        <w:rPr>
          <w:snapToGrid w:val="0"/>
        </w:rPr>
        <w:tab/>
        <w:t>Grant or refusal of lease in relation to application</w:t>
      </w:r>
      <w:bookmarkEnd w:id="290"/>
      <w:bookmarkEnd w:id="291"/>
      <w:bookmarkEnd w:id="292"/>
      <w:bookmarkEnd w:id="293"/>
      <w:r>
        <w:rPr>
          <w:snapToGrid w:val="0"/>
        </w:rPr>
        <w:t xml:space="preserve"> </w:t>
      </w:r>
    </w:p>
    <w:p>
      <w:pPr>
        <w:pStyle w:val="Subsection"/>
        <w:spacing w:before="12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an application has been made under section 38A;</w:t>
      </w:r>
    </w:p>
    <w:p>
      <w:pPr>
        <w:pStyle w:val="Indenta"/>
        <w:spacing w:before="60"/>
        <w:rPr>
          <w:snapToGrid w:val="0"/>
        </w:rPr>
      </w:pPr>
      <w:r>
        <w:rPr>
          <w:snapToGrid w:val="0"/>
        </w:rPr>
        <w:tab/>
        <w:t>(b)</w:t>
      </w:r>
      <w:r>
        <w:rPr>
          <w:snapToGrid w:val="0"/>
        </w:rPr>
        <w:tab/>
        <w:t xml:space="preserve">the applicant has furnished any further information as and when required by the Minister under section 38A(3); </w:t>
      </w:r>
    </w:p>
    <w:p>
      <w:pPr>
        <w:pStyle w:val="Indenta"/>
        <w:spacing w:before="60"/>
        <w:ind w:left="0" w:firstLine="0"/>
        <w:rPr>
          <w:snapToGrid w:val="0"/>
          <w:spacing w:val="-2"/>
        </w:rPr>
      </w:pPr>
      <w:r>
        <w:rPr>
          <w:snapToGrid w:val="0"/>
          <w:spacing w:val="-2"/>
        </w:rPr>
        <w:tab/>
      </w:r>
      <w:r>
        <w:rPr>
          <w:snapToGrid w:val="0"/>
          <w:spacing w:val="-2"/>
        </w:rPr>
        <w:tab/>
        <w:t>and</w:t>
      </w:r>
    </w:p>
    <w:p>
      <w:pPr>
        <w:pStyle w:val="Indenta"/>
        <w:spacing w:before="60"/>
        <w:rPr>
          <w:snapToGrid w:val="0"/>
        </w:rPr>
      </w:pPr>
      <w:r>
        <w:rPr>
          <w:snapToGrid w:val="0"/>
        </w:rPr>
        <w:tab/>
        <w:t>(c)</w:t>
      </w:r>
      <w:r>
        <w:rPr>
          <w:snapToGrid w:val="0"/>
        </w:rPr>
        <w:tab/>
        <w:t>the Minister is satisfied that recovery of petroleum from the area comprised in the blocks specified in the application — </w:t>
      </w:r>
    </w:p>
    <w:p>
      <w:pPr>
        <w:pStyle w:val="Indenti"/>
        <w:spacing w:before="60"/>
        <w:rPr>
          <w:snapToGrid w:val="0"/>
        </w:rPr>
      </w:pPr>
      <w:r>
        <w:rPr>
          <w:snapToGrid w:val="0"/>
        </w:rPr>
        <w:tab/>
        <w:t>(i)</w:t>
      </w:r>
      <w:r>
        <w:rPr>
          <w:snapToGrid w:val="0"/>
        </w:rPr>
        <w:tab/>
        <w:t>is not, at the time of the application, commercially viable; and</w:t>
      </w:r>
    </w:p>
    <w:p>
      <w:pPr>
        <w:pStyle w:val="Indenti"/>
        <w:spacing w:before="60"/>
        <w:rPr>
          <w:snapToGrid w:val="0"/>
        </w:rPr>
      </w:pPr>
      <w:r>
        <w:rPr>
          <w:snapToGrid w:val="0"/>
        </w:rPr>
        <w:tab/>
        <w:t>(ii)</w:t>
      </w:r>
      <w:r>
        <w:rPr>
          <w:snapToGrid w:val="0"/>
        </w:rPr>
        <w:tab/>
        <w:t>is likely to become commercially viable within the period of 15 years after that time,</w:t>
      </w:r>
    </w:p>
    <w:p>
      <w:pPr>
        <w:pStyle w:val="Subsection"/>
        <w:spacing w:before="80"/>
        <w:rPr>
          <w:snapToGrid w:val="0"/>
          <w:spacing w:val="-4"/>
        </w:rPr>
      </w:pPr>
      <w:r>
        <w:rPr>
          <w:snapToGrid w:val="0"/>
        </w:rPr>
        <w:tab/>
      </w:r>
      <w:r>
        <w:rPr>
          <w:snapToGrid w:val="0"/>
        </w:rPr>
        <w:tab/>
      </w:r>
      <w:r>
        <w:rPr>
          <w:snapToGrid w:val="0"/>
          <w:spacing w:val="-4"/>
        </w:rPr>
        <w:t>the Minister shall, by instrument in writing served on the applicant, inform the applicant that he is prepared to grant to the applicant a lease in respect of the block or blocks specified in the application.</w:t>
      </w:r>
    </w:p>
    <w:p>
      <w:pPr>
        <w:pStyle w:val="Subsection"/>
        <w:spacing w:before="120"/>
        <w:rPr>
          <w:snapToGrid w:val="0"/>
        </w:rPr>
      </w:pPr>
      <w:r>
        <w:rPr>
          <w:snapToGrid w:val="0"/>
        </w:rPr>
        <w:tab/>
        <w:t>(2)</w:t>
      </w:r>
      <w:r>
        <w:rPr>
          <w:snapToGrid w:val="0"/>
        </w:rPr>
        <w:tab/>
        <w:t>Where an application has been made under section 38A and — </w:t>
      </w:r>
    </w:p>
    <w:p>
      <w:pPr>
        <w:pStyle w:val="Indenta"/>
        <w:spacing w:before="60"/>
        <w:rPr>
          <w:snapToGrid w:val="0"/>
        </w:rPr>
      </w:pPr>
      <w:r>
        <w:rPr>
          <w:snapToGrid w:val="0"/>
        </w:rPr>
        <w:tab/>
        <w:t>(a)</w:t>
      </w:r>
      <w:r>
        <w:rPr>
          <w:snapToGrid w:val="0"/>
        </w:rPr>
        <w:tab/>
        <w:t>the applicant has not furnished any further information as and when required by the Minister under section 38A(3); or</w:t>
      </w:r>
    </w:p>
    <w:p>
      <w:pPr>
        <w:pStyle w:val="Indenta"/>
        <w:spacing w:before="60"/>
        <w:rPr>
          <w:snapToGrid w:val="0"/>
        </w:rPr>
      </w:pPr>
      <w:r>
        <w:rPr>
          <w:snapToGrid w:val="0"/>
        </w:rPr>
        <w:tab/>
        <w:t>(b)</w:t>
      </w:r>
      <w:r>
        <w:rPr>
          <w:snapToGrid w:val="0"/>
        </w:rPr>
        <w:tab/>
        <w:t>the Minister is not satisfied as to the matters referred to in subsection (1)(c) in relation to the blocks specified in the application,</w:t>
      </w:r>
    </w:p>
    <w:p>
      <w:pPr>
        <w:pStyle w:val="Subsection"/>
        <w:spacing w:before="80"/>
        <w:rPr>
          <w:snapToGrid w:val="0"/>
        </w:rPr>
      </w:pPr>
      <w:r>
        <w:rPr>
          <w:snapToGrid w:val="0"/>
        </w:rPr>
        <w:tab/>
      </w:r>
      <w:r>
        <w:rPr>
          <w:snapToGrid w:val="0"/>
        </w:rPr>
        <w:tab/>
        <w:t>the Minister shall, by instrument in writing served on the applicant, refuse to grant a lease to the applicant.</w:t>
      </w:r>
    </w:p>
    <w:p>
      <w:pPr>
        <w:pStyle w:val="Subsection"/>
        <w:spacing w:before="120"/>
        <w:rPr>
          <w:snapToGrid w:val="0"/>
        </w:rPr>
      </w:pPr>
      <w:r>
        <w:rPr>
          <w:snapToGrid w:val="0"/>
        </w:rPr>
        <w:tab/>
        <w:t>(3)</w:t>
      </w:r>
      <w:r>
        <w:rPr>
          <w:snapToGrid w:val="0"/>
        </w:rPr>
        <w:tab/>
        <w:t>An instrument under subsection (1) shall contain — </w:t>
      </w:r>
    </w:p>
    <w:p>
      <w:pPr>
        <w:pStyle w:val="Indenta"/>
        <w:spacing w:before="60"/>
        <w:rPr>
          <w:snapToGrid w:val="0"/>
        </w:rPr>
      </w:pPr>
      <w:r>
        <w:rPr>
          <w:snapToGrid w:val="0"/>
        </w:rPr>
        <w:tab/>
        <w:t>(a)</w:t>
      </w:r>
      <w:r>
        <w:rPr>
          <w:snapToGrid w:val="0"/>
        </w:rPr>
        <w:tab/>
        <w:t>a summary of the conditions subject to which the lease is to be granted; and</w:t>
      </w:r>
    </w:p>
    <w:p>
      <w:pPr>
        <w:pStyle w:val="Indenta"/>
        <w:spacing w:before="60"/>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spacing w:before="120"/>
        <w:rPr>
          <w:snapToGrid w:val="0"/>
          <w:spacing w:val="-3"/>
        </w:rPr>
      </w:pPr>
      <w:r>
        <w:rPr>
          <w:snapToGrid w:val="0"/>
          <w:spacing w:val="-3"/>
        </w:rPr>
        <w:tab/>
        <w:t>(4)</w:t>
      </w:r>
      <w:r>
        <w:rPr>
          <w:snapToGrid w:val="0"/>
          <w:spacing w:val="-3"/>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spacing w:val="-3"/>
        </w:rPr>
        <w:noBreakHyphen/>
        <w:t>mentioned period of one month, allows, by instrument in writing served on the Minister, request the Minister to grant to the applicant the lease.</w:t>
      </w:r>
    </w:p>
    <w:p>
      <w:pPr>
        <w:pStyle w:val="Subsection"/>
        <w:spacing w:before="120"/>
        <w:rPr>
          <w:snapToGrid w:val="0"/>
        </w:rPr>
      </w:pPr>
      <w:r>
        <w:rPr>
          <w:snapToGrid w:val="0"/>
        </w:rPr>
        <w:tab/>
        <w:t>(5)</w:t>
      </w:r>
      <w:r>
        <w:rPr>
          <w:snapToGrid w:val="0"/>
        </w:rPr>
        <w:tab/>
        <w:t>Where an applicant on whom there has been served an instrument under subsection (1) has made a request under subsection (4) within the period applicable under subsection (4), the Minister shall grant to the applicant a retention lease in respect of the block or blocks specified in the instrument.</w:t>
      </w:r>
    </w:p>
    <w:p>
      <w:pPr>
        <w:pStyle w:val="Subsection"/>
        <w:spacing w:before="120"/>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spacing w:before="120"/>
        <w:rPr>
          <w:snapToGrid w:val="0"/>
          <w:spacing w:val="-2"/>
        </w:rPr>
      </w:pPr>
      <w:r>
        <w:rPr>
          <w:snapToGrid w:val="0"/>
          <w:spacing w:val="-2"/>
        </w:rPr>
        <w:tab/>
        <w:t>(7)</w:t>
      </w:r>
      <w:r>
        <w:rPr>
          <w:snapToGrid w:val="0"/>
          <w:spacing w:val="-2"/>
        </w:rPr>
        <w:tab/>
        <w:t>On the day on which a lease granted under this section in respect of a block or blocks comes into force, the permit in respect of the block or blocks ceases to be in force in respect of those blocks.</w:t>
      </w:r>
    </w:p>
    <w:p>
      <w:pPr>
        <w:pStyle w:val="Footnotesection"/>
        <w:spacing w:before="80"/>
        <w:ind w:left="890" w:hanging="890"/>
      </w:pPr>
      <w:r>
        <w:tab/>
        <w:t xml:space="preserve">[Section 38B inserted by No. 12 of 1990 s.174; amended by No. 28 of 1994 s.87.] </w:t>
      </w:r>
    </w:p>
    <w:p>
      <w:pPr>
        <w:pStyle w:val="Heading5"/>
        <w:spacing w:before="180"/>
        <w:rPr>
          <w:snapToGrid w:val="0"/>
        </w:rPr>
      </w:pPr>
      <w:bookmarkStart w:id="294" w:name="_Toc501861713"/>
      <w:bookmarkStart w:id="295" w:name="_Toc113772468"/>
      <w:bookmarkStart w:id="296" w:name="_Toc170190563"/>
      <w:bookmarkStart w:id="297" w:name="_Toc157933537"/>
      <w:r>
        <w:rPr>
          <w:rStyle w:val="CharSectno"/>
        </w:rPr>
        <w:t>38BA</w:t>
      </w:r>
      <w:r>
        <w:rPr>
          <w:snapToGrid w:val="0"/>
        </w:rPr>
        <w:t>.</w:t>
      </w:r>
      <w:r>
        <w:rPr>
          <w:snapToGrid w:val="0"/>
        </w:rPr>
        <w:tab/>
        <w:t>Application of sections 38A and 38B where permit is transferred</w:t>
      </w:r>
      <w:bookmarkEnd w:id="294"/>
      <w:bookmarkEnd w:id="295"/>
      <w:bookmarkEnd w:id="296"/>
      <w:bookmarkEnd w:id="297"/>
      <w:r>
        <w:rPr>
          <w:snapToGrid w:val="0"/>
        </w:rPr>
        <w:t xml:space="preserve"> </w:t>
      </w:r>
    </w:p>
    <w:p>
      <w:pPr>
        <w:pStyle w:val="Subsection"/>
        <w:keepNext/>
        <w:spacing w:before="120"/>
        <w:rPr>
          <w:snapToGrid w:val="0"/>
        </w:rPr>
      </w:pPr>
      <w:r>
        <w:rPr>
          <w:snapToGrid w:val="0"/>
        </w:rPr>
        <w:tab/>
      </w:r>
      <w:r>
        <w:rPr>
          <w:snapToGrid w:val="0"/>
        </w:rPr>
        <w:tab/>
        <w:t>Where — </w:t>
      </w:r>
    </w:p>
    <w:p>
      <w:pPr>
        <w:pStyle w:val="Indenta"/>
        <w:spacing w:before="60"/>
        <w:rPr>
          <w:snapToGrid w:val="0"/>
        </w:rPr>
      </w:pPr>
      <w:r>
        <w:rPr>
          <w:snapToGrid w:val="0"/>
        </w:rPr>
        <w:tab/>
        <w:t>(a)</w:t>
      </w:r>
      <w:r>
        <w:rPr>
          <w:snapToGrid w:val="0"/>
        </w:rPr>
        <w:tab/>
        <w:t>after an application has been made under section 38A(1)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38B(1) or (2) in relation to the application,</w:t>
      </w:r>
    </w:p>
    <w:p>
      <w:pPr>
        <w:pStyle w:val="Subsection"/>
        <w:rPr>
          <w:snapToGrid w:val="0"/>
        </w:rPr>
      </w:pPr>
      <w:r>
        <w:rPr>
          <w:snapToGrid w:val="0"/>
        </w:rPr>
        <w:tab/>
      </w:r>
      <w:r>
        <w:rPr>
          <w:snapToGrid w:val="0"/>
        </w:rPr>
        <w:tab/>
        <w:t>a transfer of the permit is registered under section 78, sections 38A and 38B have effect, after the time of the transfer, as if any reference in those sections to the applicant were a reference to the transferee.</w:t>
      </w:r>
    </w:p>
    <w:p>
      <w:pPr>
        <w:pStyle w:val="Footnotesection"/>
      </w:pPr>
      <w:r>
        <w:tab/>
        <w:t xml:space="preserve">[Section 38BA inserted by No. 28 of 1994 s.88.] </w:t>
      </w:r>
    </w:p>
    <w:p>
      <w:pPr>
        <w:pStyle w:val="Heading5"/>
        <w:rPr>
          <w:snapToGrid w:val="0"/>
        </w:rPr>
      </w:pPr>
      <w:bookmarkStart w:id="298" w:name="_Toc501861714"/>
      <w:bookmarkStart w:id="299" w:name="_Toc113772469"/>
      <w:bookmarkStart w:id="300" w:name="_Toc170190564"/>
      <w:bookmarkStart w:id="301" w:name="_Toc157933538"/>
      <w:r>
        <w:rPr>
          <w:rStyle w:val="CharSectno"/>
        </w:rPr>
        <w:t>38C</w:t>
      </w:r>
      <w:r>
        <w:rPr>
          <w:snapToGrid w:val="0"/>
        </w:rPr>
        <w:t>.</w:t>
      </w:r>
      <w:r>
        <w:rPr>
          <w:snapToGrid w:val="0"/>
        </w:rPr>
        <w:tab/>
        <w:t>Rights conferred by lease</w:t>
      </w:r>
      <w:bookmarkEnd w:id="298"/>
      <w:bookmarkEnd w:id="299"/>
      <w:bookmarkEnd w:id="300"/>
      <w:bookmarkEnd w:id="301"/>
      <w:r>
        <w:rPr>
          <w:snapToGrid w:val="0"/>
        </w:rPr>
        <w:t xml:space="preserve"> </w:t>
      </w:r>
    </w:p>
    <w:p>
      <w:pPr>
        <w:pStyle w:val="Subsection"/>
        <w:rPr>
          <w:snapToGrid w:val="0"/>
        </w:rPr>
      </w:pPr>
      <w:r>
        <w:rPr>
          <w:snapToGrid w:val="0"/>
        </w:rPr>
        <w:tab/>
      </w:r>
      <w:r>
        <w:rPr>
          <w:snapToGrid w:val="0"/>
        </w:rPr>
        <w:tab/>
        <w:t>A lease, while it remains in force, authorizes the lessee, subject to this Act</w:t>
      </w:r>
      <w:del w:id="302" w:author="svcMRProcess" w:date="2020-02-19T21:14:00Z">
        <w:r>
          <w:rPr>
            <w:snapToGrid w:val="0"/>
          </w:rPr>
          <w:delText xml:space="preserve"> and the regulations</w:delText>
        </w:r>
      </w:del>
      <w:r>
        <w:rPr>
          <w:snapToGrid w:val="0"/>
        </w:rPr>
        <w:t xml:space="preserve"> and in accordance with the conditions to which the lease is subject, to explore for petroleum, and to carry on such operations and execute such works as are necessary for that purpose, in the lease area.</w:t>
      </w:r>
    </w:p>
    <w:p>
      <w:pPr>
        <w:pStyle w:val="Footnotesection"/>
      </w:pPr>
      <w:r>
        <w:tab/>
        <w:t>[Section 38C inserted by No. 12 of 1990 s.</w:t>
      </w:r>
      <w:del w:id="303" w:author="svcMRProcess" w:date="2020-02-19T21:14:00Z">
        <w:r>
          <w:delText>174.]</w:delText>
        </w:r>
      </w:del>
      <w:ins w:id="304" w:author="svcMRProcess" w:date="2020-02-19T21:14:00Z">
        <w:r>
          <w:t> 174; amended by No. 13 of 2005 s. 46(1).]</w:t>
        </w:r>
      </w:ins>
      <w:r>
        <w:t xml:space="preserve"> </w:t>
      </w:r>
    </w:p>
    <w:p>
      <w:pPr>
        <w:pStyle w:val="Heading5"/>
        <w:rPr>
          <w:snapToGrid w:val="0"/>
        </w:rPr>
      </w:pPr>
      <w:bookmarkStart w:id="305" w:name="_Toc501861715"/>
      <w:bookmarkStart w:id="306" w:name="_Toc113772470"/>
      <w:bookmarkStart w:id="307" w:name="_Toc170190565"/>
      <w:bookmarkStart w:id="308" w:name="_Toc157933539"/>
      <w:r>
        <w:rPr>
          <w:rStyle w:val="CharSectno"/>
        </w:rPr>
        <w:t>38D</w:t>
      </w:r>
      <w:r>
        <w:rPr>
          <w:snapToGrid w:val="0"/>
        </w:rPr>
        <w:t>.</w:t>
      </w:r>
      <w:r>
        <w:rPr>
          <w:snapToGrid w:val="0"/>
        </w:rPr>
        <w:tab/>
        <w:t>Term of lease</w:t>
      </w:r>
      <w:bookmarkEnd w:id="305"/>
      <w:bookmarkEnd w:id="306"/>
      <w:bookmarkEnd w:id="307"/>
      <w:bookmarkEnd w:id="308"/>
      <w:r>
        <w:rPr>
          <w:snapToGrid w:val="0"/>
        </w:rPr>
        <w:t xml:space="preserve"> </w:t>
      </w:r>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 xml:space="preserve">[Section 38D inserted by No. 12 of 1990 s.174.] </w:t>
      </w:r>
    </w:p>
    <w:p>
      <w:pPr>
        <w:pStyle w:val="Heading5"/>
        <w:rPr>
          <w:snapToGrid w:val="0"/>
        </w:rPr>
      </w:pPr>
      <w:bookmarkStart w:id="309" w:name="_Toc501861716"/>
      <w:bookmarkStart w:id="310" w:name="_Toc113772471"/>
      <w:bookmarkStart w:id="311" w:name="_Toc170190566"/>
      <w:bookmarkStart w:id="312" w:name="_Toc157933540"/>
      <w:r>
        <w:rPr>
          <w:rStyle w:val="CharSectno"/>
        </w:rPr>
        <w:t>38E</w:t>
      </w:r>
      <w:r>
        <w:rPr>
          <w:snapToGrid w:val="0"/>
        </w:rPr>
        <w:t>.</w:t>
      </w:r>
      <w:r>
        <w:rPr>
          <w:snapToGrid w:val="0"/>
        </w:rPr>
        <w:tab/>
        <w:t>Notice of intention to cancel lease</w:t>
      </w:r>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lessee has been given a notice of the kind referred to in section 38H(3) during the term of the lease and has carried out, and has informed the Minister of the results of, the re</w:t>
      </w:r>
      <w:r>
        <w:rPr>
          <w:snapToGrid w:val="0"/>
        </w:rPr>
        <w:noBreakHyphen/>
        <w:t>evaluation required by the notice;</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evaluation referred to in paragraph (a) and such other matters as the Minister thinks fit, the Minister is of the opinion that recovery of petroleum from the lease area 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 </w:t>
      </w:r>
    </w:p>
    <w:p>
      <w:pPr>
        <w:pStyle w:val="Indenta"/>
        <w:rPr>
          <w:snapToGrid w:val="0"/>
        </w:rPr>
      </w:pPr>
      <w:r>
        <w:rPr>
          <w:snapToGrid w:val="0"/>
        </w:rPr>
        <w:tab/>
        <w:t>(d)</w:t>
      </w:r>
      <w:r>
        <w:rPr>
          <w:snapToGrid w:val="0"/>
        </w:rPr>
        <w:tab/>
        <w:t>informing the lessee or the other person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the other person, as the case may be, wishes to be considered.</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spacing w:before="120"/>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 xml:space="preserve">[Section 38E inserted by No. 12 of 1990 s.174.] </w:t>
      </w:r>
    </w:p>
    <w:p>
      <w:pPr>
        <w:pStyle w:val="Heading5"/>
        <w:spacing w:before="180"/>
        <w:rPr>
          <w:snapToGrid w:val="0"/>
        </w:rPr>
      </w:pPr>
      <w:bookmarkStart w:id="313" w:name="_Toc501861717"/>
      <w:bookmarkStart w:id="314" w:name="_Toc113772472"/>
      <w:bookmarkStart w:id="315" w:name="_Toc170190567"/>
      <w:bookmarkStart w:id="316" w:name="_Toc157933541"/>
      <w:r>
        <w:rPr>
          <w:rStyle w:val="CharSectno"/>
        </w:rPr>
        <w:t>38F</w:t>
      </w:r>
      <w:r>
        <w:rPr>
          <w:snapToGrid w:val="0"/>
        </w:rPr>
        <w:t>.</w:t>
      </w:r>
      <w:r>
        <w:rPr>
          <w:snapToGrid w:val="0"/>
        </w:rPr>
        <w:tab/>
        <w:t>Application for renewal of lease</w:t>
      </w:r>
      <w:bookmarkEnd w:id="313"/>
      <w:bookmarkEnd w:id="314"/>
      <w:bookmarkEnd w:id="315"/>
      <w:bookmarkEnd w:id="316"/>
      <w:r>
        <w:rPr>
          <w:snapToGrid w:val="0"/>
        </w:rPr>
        <w:t xml:space="preserve"> </w:t>
      </w:r>
    </w:p>
    <w:p>
      <w:pPr>
        <w:pStyle w:val="Subsection"/>
        <w:spacing w:before="120"/>
        <w:rPr>
          <w:snapToGrid w:val="0"/>
        </w:rPr>
      </w:pPr>
      <w:r>
        <w:rPr>
          <w:snapToGrid w:val="0"/>
        </w:rPr>
        <w:tab/>
        <w:t>(1)</w:t>
      </w:r>
      <w:r>
        <w:rPr>
          <w:snapToGrid w:val="0"/>
        </w:rPr>
        <w:tab/>
        <w:t>A lessee may, from time to time, make an application to the Minister for the renewal of the lease.</w:t>
      </w:r>
    </w:p>
    <w:p>
      <w:pPr>
        <w:pStyle w:val="Subsection"/>
        <w:spacing w:before="120"/>
        <w:rPr>
          <w:snapToGrid w:val="0"/>
        </w:rPr>
      </w:pPr>
      <w:r>
        <w:rPr>
          <w:snapToGrid w:val="0"/>
        </w:rPr>
        <w:tab/>
        <w:t>(2)</w:t>
      </w:r>
      <w:r>
        <w:rPr>
          <w:snapToGrid w:val="0"/>
        </w:rPr>
        <w:tab/>
        <w:t>An application for the renewal of a lease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p>
    <w:p>
      <w:pPr>
        <w:pStyle w:val="Indenta"/>
        <w:rPr>
          <w:snapToGrid w:val="0"/>
        </w:rPr>
      </w:pPr>
      <w:r>
        <w:rPr>
          <w:snapToGrid w:val="0"/>
        </w:rPr>
        <w:tab/>
        <w:t>(c)</w:t>
      </w:r>
      <w:r>
        <w:rPr>
          <w:snapToGrid w:val="0"/>
        </w:rPr>
        <w:tab/>
        <w:t>shall be accompanied by particulars of —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the commercial viability of recovery of petroleum from the lease area at the time of the application and particulars of the possible future commercial viability of recovery of petroleum from the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spacing w:before="120"/>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spacing w:before="160"/>
        <w:ind w:left="890" w:hanging="890"/>
      </w:pPr>
      <w:r>
        <w:tab/>
        <w:t xml:space="preserve">[Section 38F inserted by No. 12 of 1990 s.174; amended by No. 28 of 1994 s.89.] </w:t>
      </w:r>
    </w:p>
    <w:p>
      <w:pPr>
        <w:pStyle w:val="Heading5"/>
        <w:spacing w:before="240"/>
        <w:rPr>
          <w:snapToGrid w:val="0"/>
        </w:rPr>
      </w:pPr>
      <w:bookmarkStart w:id="317" w:name="_Toc501861718"/>
      <w:bookmarkStart w:id="318" w:name="_Toc113772473"/>
      <w:bookmarkStart w:id="319" w:name="_Toc170190568"/>
      <w:bookmarkStart w:id="320" w:name="_Toc157933542"/>
      <w:r>
        <w:rPr>
          <w:rStyle w:val="CharSectno"/>
        </w:rPr>
        <w:t>38G</w:t>
      </w:r>
      <w:r>
        <w:rPr>
          <w:snapToGrid w:val="0"/>
        </w:rPr>
        <w:t>.</w:t>
      </w:r>
      <w:r>
        <w:rPr>
          <w:snapToGrid w:val="0"/>
        </w:rPr>
        <w:tab/>
        <w:t>Grant or refusal of renewal of lease</w:t>
      </w:r>
      <w:bookmarkEnd w:id="317"/>
      <w:bookmarkEnd w:id="318"/>
      <w:bookmarkEnd w:id="319"/>
      <w:bookmarkEnd w:id="320"/>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an application for the renewal of a lease has been made under section 38F;</w:t>
      </w:r>
    </w:p>
    <w:p>
      <w:pPr>
        <w:pStyle w:val="Indenta"/>
        <w:spacing w:before="100"/>
        <w:rPr>
          <w:snapToGrid w:val="0"/>
        </w:rPr>
      </w:pPr>
      <w:r>
        <w:rPr>
          <w:snapToGrid w:val="0"/>
        </w:rPr>
        <w:tab/>
        <w:t>(b)</w:t>
      </w:r>
      <w:r>
        <w:rPr>
          <w:snapToGrid w:val="0"/>
        </w:rPr>
        <w:tab/>
        <w:t>any further information required by the Minister under subsection (4) of section 38F has been furnished in accordance with that subsection; and</w:t>
      </w:r>
    </w:p>
    <w:p>
      <w:pPr>
        <w:pStyle w:val="Indenta"/>
        <w:spacing w:before="100"/>
        <w:rPr>
          <w:snapToGrid w:val="0"/>
        </w:rPr>
      </w:pPr>
      <w:r>
        <w:rPr>
          <w:snapToGrid w:val="0"/>
        </w:rPr>
        <w:tab/>
        <w:t>(c)</w:t>
      </w:r>
      <w:r>
        <w:rPr>
          <w:snapToGrid w:val="0"/>
        </w:rPr>
        <w:tab/>
        <w:t>the Minister is satisfied that recovery of petroleum from the lease area — </w:t>
      </w:r>
    </w:p>
    <w:p>
      <w:pPr>
        <w:pStyle w:val="Indenti"/>
        <w:spacing w:before="100"/>
        <w:rPr>
          <w:snapToGrid w:val="0"/>
        </w:rPr>
      </w:pPr>
      <w:r>
        <w:rPr>
          <w:snapToGrid w:val="0"/>
        </w:rPr>
        <w:tab/>
        <w:t>(i)</w:t>
      </w:r>
      <w:r>
        <w:rPr>
          <w:snapToGrid w:val="0"/>
        </w:rPr>
        <w:tab/>
        <w:t>is not, at the time of the application, commercially viable; and</w:t>
      </w:r>
    </w:p>
    <w:p>
      <w:pPr>
        <w:pStyle w:val="Indenti"/>
        <w:spacing w:before="100"/>
        <w:rPr>
          <w:snapToGrid w:val="0"/>
        </w:rPr>
      </w:pPr>
      <w:r>
        <w:rPr>
          <w:snapToGrid w:val="0"/>
        </w:rPr>
        <w:tab/>
        <w:t>(ii)</w:t>
      </w:r>
      <w:r>
        <w:rPr>
          <w:snapToGrid w:val="0"/>
        </w:rPr>
        <w:tab/>
        <w:t>is likely to become commercially viable within the period of 15 years after that time,</w:t>
      </w:r>
    </w:p>
    <w:p>
      <w:pPr>
        <w:pStyle w:val="Subsection"/>
        <w:spacing w:before="180"/>
        <w:rPr>
          <w:snapToGrid w:val="0"/>
        </w:rPr>
      </w:pPr>
      <w:r>
        <w:rPr>
          <w:snapToGrid w:val="0"/>
        </w:rPr>
        <w:tab/>
      </w:r>
      <w:r>
        <w:rPr>
          <w:snapToGrid w:val="0"/>
        </w:rPr>
        <w:tab/>
        <w:t>the Minister — </w:t>
      </w:r>
    </w:p>
    <w:p>
      <w:pPr>
        <w:pStyle w:val="Indenta"/>
        <w:spacing w:before="100"/>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spacing w:before="100"/>
        <w:rPr>
          <w:snapToGrid w:val="0"/>
        </w:rPr>
      </w:pPr>
      <w:r>
        <w:rPr>
          <w:snapToGrid w:val="0"/>
        </w:rPr>
        <w:tab/>
        <w:t>(e)</w:t>
      </w:r>
      <w:r>
        <w:rPr>
          <w:snapToGrid w:val="0"/>
        </w:rPr>
        <w:tab/>
        <w:t>may, if — </w:t>
      </w:r>
    </w:p>
    <w:p>
      <w:pPr>
        <w:pStyle w:val="Indenti"/>
        <w:spacing w:before="100"/>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lease,</w:t>
      </w:r>
    </w:p>
    <w:p>
      <w:pPr>
        <w:pStyle w:val="Subsection"/>
        <w:spacing w:before="180"/>
        <w:rPr>
          <w:snapToGrid w:val="0"/>
        </w:rPr>
      </w:pPr>
      <w:r>
        <w:rPr>
          <w:snapToGrid w:val="0"/>
        </w:rPr>
        <w:tab/>
      </w:r>
      <w:r>
        <w:rPr>
          <w:snapToGrid w:val="0"/>
        </w:rPr>
        <w:tab/>
        <w:t>by instrument in writing served on the person who is then the lessee, inform that person that the Minister is prepared to grant to the person the renewal of the lease.</w:t>
      </w:r>
    </w:p>
    <w:p>
      <w:pPr>
        <w:pStyle w:val="Subsection"/>
        <w:spacing w:before="180"/>
        <w:rPr>
          <w:snapToGrid w:val="0"/>
        </w:rPr>
      </w:pPr>
      <w:r>
        <w:rPr>
          <w:snapToGrid w:val="0"/>
        </w:rPr>
        <w:tab/>
        <w:t>(2)</w:t>
      </w:r>
      <w:r>
        <w:rPr>
          <w:snapToGrid w:val="0"/>
        </w:rPr>
        <w:tab/>
        <w:t>Subject to subsection (3), where an application for the renewal of a lease has been made under section 38F and — </w:t>
      </w:r>
    </w:p>
    <w:p>
      <w:pPr>
        <w:pStyle w:val="Indenta"/>
        <w:rPr>
          <w:snapToGrid w:val="0"/>
        </w:rPr>
      </w:pPr>
      <w:r>
        <w:rPr>
          <w:snapToGrid w:val="0"/>
        </w:rPr>
        <w:tab/>
        <w:t>(a)</w:t>
      </w:r>
      <w:r>
        <w:rPr>
          <w:snapToGrid w:val="0"/>
        </w:rPr>
        <w:tab/>
        <w:t>any further information required by the Minister under subsection (4) of section 38F has not been furnished in accordance with that subsection;</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8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spacing w:before="180"/>
        <w:rPr>
          <w:snapToGrid w:val="0"/>
        </w:rPr>
      </w:pPr>
      <w:r>
        <w:rPr>
          <w:snapToGrid w:val="0"/>
        </w:rPr>
        <w:tab/>
        <w:t>(3)</w:t>
      </w:r>
      <w:r>
        <w:rPr>
          <w:snapToGrid w:val="0"/>
        </w:rPr>
        <w:tab/>
        <w:t>The Minister shall not refuse to grant the renewal of the lease unless —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 xml:space="preserve">specified a date on or before which the lessee or a person on whom a copy of the instrument is served may, by instrument in writing served on the Minister, submit any matters that the lessee wishes to be considered;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spacing w:before="180"/>
        <w:rPr>
          <w:snapToGrid w:val="0"/>
        </w:rPr>
      </w:pPr>
      <w:r>
        <w:rPr>
          <w:snapToGrid w:val="0"/>
        </w:rPr>
        <w:tab/>
        <w:t>(4)</w:t>
      </w:r>
      <w:r>
        <w:rPr>
          <w:snapToGrid w:val="0"/>
        </w:rPr>
        <w:tab/>
        <w:t>An instrument referred to in subsection (1) shall contain —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spacing w:before="180"/>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spacing w:before="180"/>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spacing w:before="180"/>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spacing w:before="140"/>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spacing w:before="140"/>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application for the renewal of a lease has been made; and</w:t>
      </w:r>
    </w:p>
    <w:p>
      <w:pPr>
        <w:pStyle w:val="Indenta"/>
        <w:rPr>
          <w:snapToGrid w:val="0"/>
        </w:rPr>
      </w:pPr>
      <w:r>
        <w:rPr>
          <w:snapToGrid w:val="0"/>
        </w:rPr>
        <w:tab/>
        <w:t>(b)</w:t>
      </w:r>
      <w:r>
        <w:rPr>
          <w:snapToGrid w:val="0"/>
        </w:rPr>
        <w:tab/>
        <w:t>the lease expires —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40"/>
        <w:rPr>
          <w:snapToGrid w:val="0"/>
        </w:rPr>
      </w:pPr>
      <w:r>
        <w:rPr>
          <w:snapToGrid w:val="0"/>
        </w:rPr>
        <w:tab/>
      </w:r>
      <w:r>
        <w:rPr>
          <w:snapToGrid w:val="0"/>
        </w:rPr>
        <w:tab/>
        <w:t>the lease shall be deemed to continue in force in all respects — </w:t>
      </w:r>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40"/>
        <w:rPr>
          <w:snapToGrid w:val="0"/>
        </w:rPr>
      </w:pPr>
      <w:r>
        <w:rPr>
          <w:snapToGrid w:val="0"/>
        </w:rPr>
        <w:tab/>
      </w:r>
      <w:r>
        <w:rPr>
          <w:snapToGrid w:val="0"/>
        </w:rPr>
        <w:tab/>
        <w:t>whichever first happens.</w:t>
      </w:r>
    </w:p>
    <w:p>
      <w:pPr>
        <w:pStyle w:val="Subsection"/>
        <w:spacing w:before="140"/>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 </w:t>
      </w:r>
    </w:p>
    <w:p>
      <w:pPr>
        <w:pStyle w:val="Indenta"/>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 xml:space="preserve">[Section 38G inserted by No. 12 of 1990 s.174; amended by No. 28 of 1994 s.90.] </w:t>
      </w:r>
    </w:p>
    <w:p>
      <w:pPr>
        <w:pStyle w:val="Heading5"/>
        <w:rPr>
          <w:snapToGrid w:val="0"/>
        </w:rPr>
      </w:pPr>
      <w:bookmarkStart w:id="321" w:name="_Toc501861719"/>
      <w:bookmarkStart w:id="322" w:name="_Toc113772474"/>
      <w:bookmarkStart w:id="323" w:name="_Toc170190569"/>
      <w:bookmarkStart w:id="324" w:name="_Toc157933543"/>
      <w:r>
        <w:rPr>
          <w:rStyle w:val="CharSectno"/>
        </w:rPr>
        <w:t>38H</w:t>
      </w:r>
      <w:r>
        <w:rPr>
          <w:snapToGrid w:val="0"/>
        </w:rPr>
        <w:t>.</w:t>
      </w:r>
      <w:r>
        <w:rPr>
          <w:snapToGrid w:val="0"/>
        </w:rPr>
        <w:tab/>
        <w:t>Conditions of lease</w:t>
      </w:r>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 petroleum production in the lease area (otherwise than by the drilling of wells) and inform the Minister in writing of the results of the re</w:t>
      </w:r>
      <w:r>
        <w:rPr>
          <w:snapToGrid w:val="0"/>
        </w:rPr>
        <w:noBreakHyphen/>
        <w:t>evaluation.</w:t>
      </w:r>
    </w:p>
    <w:p>
      <w:pPr>
        <w:pStyle w:val="Subsection"/>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pPr>
      <w:r>
        <w:tab/>
        <w:t xml:space="preserve">[Section 38H inserted by No. 12 of 1990 s.174.] </w:t>
      </w:r>
    </w:p>
    <w:p>
      <w:pPr>
        <w:pStyle w:val="Heading5"/>
        <w:rPr>
          <w:snapToGrid w:val="0"/>
        </w:rPr>
      </w:pPr>
      <w:bookmarkStart w:id="325" w:name="_Toc501861720"/>
      <w:bookmarkStart w:id="326" w:name="_Toc113772475"/>
      <w:bookmarkStart w:id="327" w:name="_Toc170190570"/>
      <w:bookmarkStart w:id="328" w:name="_Toc157933544"/>
      <w:r>
        <w:rPr>
          <w:rStyle w:val="CharSectno"/>
        </w:rPr>
        <w:t>38J</w:t>
      </w:r>
      <w:r>
        <w:rPr>
          <w:snapToGrid w:val="0"/>
        </w:rPr>
        <w:t>.</w:t>
      </w:r>
      <w:r>
        <w:rPr>
          <w:snapToGrid w:val="0"/>
        </w:rPr>
        <w:tab/>
        <w:t>Discovery of petroleum to be notified</w:t>
      </w:r>
      <w:bookmarkEnd w:id="325"/>
      <w:bookmarkEnd w:id="326"/>
      <w:bookmarkEnd w:id="327"/>
      <w:bookmarkEnd w:id="328"/>
      <w:r>
        <w:rPr>
          <w:snapToGrid w:val="0"/>
        </w:rPr>
        <w:t xml:space="preserve"> </w:t>
      </w:r>
    </w:p>
    <w:p>
      <w:pPr>
        <w:pStyle w:val="Subsection"/>
        <w:rPr>
          <w:snapToGrid w:val="0"/>
        </w:rPr>
      </w:pPr>
      <w:r>
        <w:rPr>
          <w:snapToGrid w:val="0"/>
        </w:rPr>
        <w:tab/>
        <w:t>(1)</w:t>
      </w:r>
      <w:r>
        <w:rPr>
          <w:snapToGrid w:val="0"/>
        </w:rPr>
        <w:tab/>
        <w:t>Where petroleum is discovered in a lease area, the lessee —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spacing w:before="180"/>
        <w:rPr>
          <w:snapToGrid w:val="0"/>
        </w:rPr>
      </w:pPr>
      <w:r>
        <w:rPr>
          <w:snapToGrid w:val="0"/>
        </w:rPr>
        <w:tab/>
        <w:t>(2)</w:t>
      </w:r>
      <w:r>
        <w:rPr>
          <w:snapToGrid w:val="0"/>
        </w:rPr>
        <w:tab/>
        <w:t>Where petroleum is discovered in a lease area, the Minister may, from time to time, by instrument in writing served on the lessee, direct the lessee to furnish to the Minister, within the period specified in the instrument, particulars in writing of any one or more of the following — </w:t>
      </w:r>
    </w:p>
    <w:p>
      <w:pPr>
        <w:pStyle w:val="Indenta"/>
        <w:spacing w:before="100"/>
        <w:rPr>
          <w:snapToGrid w:val="0"/>
        </w:rPr>
      </w:pPr>
      <w:r>
        <w:rPr>
          <w:snapToGrid w:val="0"/>
        </w:rPr>
        <w:tab/>
        <w:t>(a)</w:t>
      </w:r>
      <w:r>
        <w:rPr>
          <w:snapToGrid w:val="0"/>
        </w:rPr>
        <w:tab/>
        <w:t>the chemical composition and physical properties of the petroleum;</w:t>
      </w:r>
    </w:p>
    <w:p>
      <w:pPr>
        <w:pStyle w:val="Indenta"/>
        <w:spacing w:before="100"/>
        <w:rPr>
          <w:snapToGrid w:val="0"/>
        </w:rPr>
      </w:pPr>
      <w:r>
        <w:rPr>
          <w:snapToGrid w:val="0"/>
        </w:rPr>
        <w:tab/>
        <w:t>(b)</w:t>
      </w:r>
      <w:r>
        <w:rPr>
          <w:snapToGrid w:val="0"/>
        </w:rPr>
        <w:tab/>
        <w:t>the nature of the subsoil in which the petroleum occurs;</w:t>
      </w:r>
    </w:p>
    <w:p>
      <w:pPr>
        <w:pStyle w:val="Indenta"/>
        <w:spacing w:before="100"/>
        <w:rPr>
          <w:snapToGrid w:val="0"/>
        </w:rPr>
      </w:pPr>
      <w:r>
        <w:rPr>
          <w:snapToGrid w:val="0"/>
        </w:rPr>
        <w:tab/>
        <w:t>(c)</w:t>
      </w:r>
      <w:r>
        <w:rPr>
          <w:snapToGrid w:val="0"/>
        </w:rPr>
        <w:tab/>
        <w:t>any other matters relating to the discovery that are specified by the Minister in the instrument.</w:t>
      </w:r>
    </w:p>
    <w:p>
      <w:pPr>
        <w:pStyle w:val="Subsection"/>
        <w:spacing w:before="180"/>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 xml:space="preserve">[Section 38J inserted by No. 12 of 1990 s.174.] </w:t>
      </w:r>
    </w:p>
    <w:p>
      <w:pPr>
        <w:pStyle w:val="Heading5"/>
        <w:spacing w:before="240"/>
        <w:rPr>
          <w:snapToGrid w:val="0"/>
        </w:rPr>
      </w:pPr>
      <w:bookmarkStart w:id="329" w:name="_Toc501861721"/>
      <w:bookmarkStart w:id="330" w:name="_Toc113772476"/>
      <w:bookmarkStart w:id="331" w:name="_Toc170190571"/>
      <w:bookmarkStart w:id="332" w:name="_Toc157933545"/>
      <w:r>
        <w:rPr>
          <w:rStyle w:val="CharSectno"/>
        </w:rPr>
        <w:t>38K</w:t>
      </w:r>
      <w:r>
        <w:rPr>
          <w:snapToGrid w:val="0"/>
        </w:rPr>
        <w:t>.</w:t>
      </w:r>
      <w:r>
        <w:rPr>
          <w:snapToGrid w:val="0"/>
        </w:rPr>
        <w:tab/>
        <w:t>Directions by Minister on discovery of petroleum</w:t>
      </w:r>
      <w:bookmarkEnd w:id="329"/>
      <w:bookmarkEnd w:id="330"/>
      <w:bookmarkEnd w:id="331"/>
      <w:bookmarkEnd w:id="332"/>
      <w:r>
        <w:rPr>
          <w:snapToGrid w:val="0"/>
        </w:rPr>
        <w:t xml:space="preserve"> </w:t>
      </w:r>
    </w:p>
    <w:p>
      <w:pPr>
        <w:pStyle w:val="Subsection"/>
        <w:spacing w:before="180"/>
        <w:rPr>
          <w:snapToGrid w:val="0"/>
        </w:rPr>
      </w:pPr>
      <w:r>
        <w:rPr>
          <w:snapToGrid w:val="0"/>
        </w:rPr>
        <w:tab/>
        <w:t>(1)</w:t>
      </w:r>
      <w:r>
        <w:rPr>
          <w:snapToGrid w:val="0"/>
        </w:rPr>
        <w:tab/>
        <w:t>Where petroleum is discovered in a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 xml:space="preserve">[Section 38K inserted by No. 12 of 1990 s.174.] </w:t>
      </w:r>
    </w:p>
    <w:p>
      <w:pPr>
        <w:pStyle w:val="Heading3"/>
        <w:rPr>
          <w:snapToGrid w:val="0"/>
        </w:rPr>
      </w:pPr>
      <w:bookmarkStart w:id="333" w:name="_Toc72913757"/>
      <w:bookmarkStart w:id="334" w:name="_Toc91304237"/>
      <w:bookmarkStart w:id="335" w:name="_Toc92688480"/>
      <w:bookmarkStart w:id="336" w:name="_Toc113772477"/>
      <w:bookmarkStart w:id="337" w:name="_Toc156976962"/>
      <w:bookmarkStart w:id="338" w:name="_Toc157933546"/>
      <w:bookmarkStart w:id="339" w:name="_Toc162761180"/>
      <w:bookmarkStart w:id="340" w:name="_Toc170190572"/>
      <w:r>
        <w:rPr>
          <w:rStyle w:val="CharDivNo"/>
        </w:rPr>
        <w:t>Division 3</w:t>
      </w:r>
      <w:r>
        <w:rPr>
          <w:snapToGrid w:val="0"/>
        </w:rPr>
        <w:t> — </w:t>
      </w:r>
      <w:r>
        <w:rPr>
          <w:rStyle w:val="CharDivText"/>
        </w:rPr>
        <w:t>Production licences for petroleum</w:t>
      </w:r>
      <w:bookmarkEnd w:id="333"/>
      <w:bookmarkEnd w:id="334"/>
      <w:bookmarkEnd w:id="335"/>
      <w:bookmarkEnd w:id="336"/>
      <w:bookmarkEnd w:id="337"/>
      <w:bookmarkEnd w:id="338"/>
      <w:bookmarkEnd w:id="339"/>
      <w:bookmarkEnd w:id="340"/>
      <w:r>
        <w:rPr>
          <w:rStyle w:val="CharDivText"/>
        </w:rPr>
        <w:t xml:space="preserve"> </w:t>
      </w:r>
    </w:p>
    <w:p>
      <w:pPr>
        <w:pStyle w:val="Heading5"/>
        <w:spacing w:before="200"/>
        <w:rPr>
          <w:snapToGrid w:val="0"/>
        </w:rPr>
      </w:pPr>
      <w:bookmarkStart w:id="341" w:name="_Toc501861722"/>
      <w:bookmarkStart w:id="342" w:name="_Toc113772478"/>
      <w:bookmarkStart w:id="343" w:name="_Toc170190573"/>
      <w:bookmarkStart w:id="344" w:name="_Toc157933547"/>
      <w:r>
        <w:rPr>
          <w:rStyle w:val="CharSectno"/>
        </w:rPr>
        <w:t>39</w:t>
      </w:r>
      <w:r>
        <w:rPr>
          <w:snapToGrid w:val="0"/>
        </w:rPr>
        <w:t>.</w:t>
      </w:r>
      <w:r>
        <w:rPr>
          <w:snapToGrid w:val="0"/>
        </w:rPr>
        <w:tab/>
        <w:t>Recovery of petroleum in adjacent area</w:t>
      </w:r>
      <w:bookmarkEnd w:id="341"/>
      <w:bookmarkEnd w:id="342"/>
      <w:bookmarkEnd w:id="343"/>
      <w:bookmarkEnd w:id="344"/>
      <w:r>
        <w:rPr>
          <w:snapToGrid w:val="0"/>
        </w:rPr>
        <w:t xml:space="preserve"> </w:t>
      </w:r>
    </w:p>
    <w:p>
      <w:pPr>
        <w:pStyle w:val="Subsection"/>
        <w:spacing w:before="120"/>
        <w:rPr>
          <w:snapToGrid w:val="0"/>
        </w:rPr>
      </w:pPr>
      <w:r>
        <w:rPr>
          <w:snapToGrid w:val="0"/>
        </w:rPr>
        <w:tab/>
      </w:r>
      <w:r>
        <w:rPr>
          <w:snapToGrid w:val="0"/>
        </w:rPr>
        <w:tab/>
        <w:t>A person shall not carry on operations for the recovery of petroleum in the adjacent area except — </w:t>
      </w:r>
    </w:p>
    <w:p>
      <w:pPr>
        <w:pStyle w:val="Indenta"/>
        <w:rPr>
          <w:snapToGrid w:val="0"/>
        </w:rPr>
      </w:pPr>
      <w:r>
        <w:rPr>
          <w:snapToGrid w:val="0"/>
        </w:rPr>
        <w:tab/>
        <w:t>(a)</w:t>
      </w:r>
      <w:r>
        <w:rPr>
          <w:snapToGrid w:val="0"/>
        </w:rPr>
        <w:tab/>
        <w:t>under and in accordance with a licence;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Heading5"/>
        <w:spacing w:before="200"/>
        <w:rPr>
          <w:snapToGrid w:val="0"/>
        </w:rPr>
      </w:pPr>
      <w:bookmarkStart w:id="345" w:name="_Toc501861723"/>
      <w:bookmarkStart w:id="346" w:name="_Toc113772479"/>
      <w:bookmarkStart w:id="347" w:name="_Toc170190574"/>
      <w:bookmarkStart w:id="348" w:name="_Toc157933548"/>
      <w:r>
        <w:rPr>
          <w:rStyle w:val="CharSectno"/>
        </w:rPr>
        <w:t>40</w:t>
      </w:r>
      <w:r>
        <w:rPr>
          <w:snapToGrid w:val="0"/>
        </w:rPr>
        <w:t>.</w:t>
      </w:r>
      <w:r>
        <w:rPr>
          <w:snapToGrid w:val="0"/>
        </w:rPr>
        <w:tab/>
        <w:t>Application by permittee for licence</w:t>
      </w:r>
      <w:bookmarkEnd w:id="345"/>
      <w:bookmarkEnd w:id="346"/>
      <w:bookmarkEnd w:id="347"/>
      <w:bookmarkEnd w:id="348"/>
      <w:r>
        <w:rPr>
          <w:snapToGrid w:val="0"/>
        </w:rPr>
        <w:t xml:space="preserve"> </w:t>
      </w:r>
    </w:p>
    <w:p>
      <w:pPr>
        <w:pStyle w:val="Subsection"/>
        <w:spacing w:before="120"/>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licence — </w:t>
      </w:r>
    </w:p>
    <w:p>
      <w:pPr>
        <w:pStyle w:val="Indenta"/>
        <w:rPr>
          <w:snapToGrid w:val="0"/>
        </w:rPr>
      </w:pPr>
      <w:r>
        <w:rPr>
          <w:snapToGrid w:val="0"/>
        </w:rPr>
        <w:tab/>
        <w:t>(a)</w:t>
      </w:r>
      <w:r>
        <w:rPr>
          <w:snapToGrid w:val="0"/>
        </w:rPr>
        <w:tab/>
        <w:t>where 9 or more blocks constitute the location concerned, in respect of 5 of those blocks;</w:t>
      </w:r>
    </w:p>
    <w:p>
      <w:pPr>
        <w:pStyle w:val="Indenta"/>
        <w:rPr>
          <w:snapToGrid w:val="0"/>
        </w:rPr>
      </w:pPr>
      <w:r>
        <w:rPr>
          <w:snapToGrid w:val="0"/>
        </w:rPr>
        <w:tab/>
        <w:t>(b)</w:t>
      </w:r>
      <w:r>
        <w:rPr>
          <w:snapToGrid w:val="0"/>
        </w:rPr>
        <w:tab/>
        <w:t>where 8 or 7 blocks constitute the location concerned, in respect of 4 of those blocks;</w:t>
      </w:r>
    </w:p>
    <w:p>
      <w:pPr>
        <w:pStyle w:val="Indenta"/>
        <w:rPr>
          <w:snapToGrid w:val="0"/>
        </w:rPr>
      </w:pPr>
      <w:r>
        <w:rPr>
          <w:snapToGrid w:val="0"/>
        </w:rPr>
        <w:tab/>
        <w:t>(c)</w:t>
      </w:r>
      <w:r>
        <w:rPr>
          <w:snapToGrid w:val="0"/>
        </w:rPr>
        <w:tab/>
        <w:t>where 6 or 5 blocks constitute the location concerned, in respect of 3 of those blocks;</w:t>
      </w:r>
    </w:p>
    <w:p>
      <w:pPr>
        <w:pStyle w:val="Indenta"/>
        <w:rPr>
          <w:snapToGrid w:val="0"/>
        </w:rPr>
      </w:pPr>
      <w:r>
        <w:rPr>
          <w:snapToGrid w:val="0"/>
        </w:rPr>
        <w:tab/>
        <w:t>(d)</w:t>
      </w:r>
      <w:r>
        <w:rPr>
          <w:snapToGrid w:val="0"/>
        </w:rPr>
        <w:tab/>
        <w:t>where 4 or 3 blocks constitute the location concerned, in respect of 2 of those blocks;</w:t>
      </w:r>
    </w:p>
    <w:p>
      <w:pPr>
        <w:pStyle w:val="Indenta"/>
        <w:rPr>
          <w:snapToGrid w:val="0"/>
        </w:rPr>
      </w:pPr>
      <w:r>
        <w:rPr>
          <w:snapToGrid w:val="0"/>
        </w:rPr>
        <w:tab/>
        <w:t>(e)</w:t>
      </w:r>
      <w:r>
        <w:rPr>
          <w:snapToGrid w:val="0"/>
        </w:rPr>
        <w:tab/>
        <w:t>where 2 blocks constitute the location concerned, in respect of one of those blocks; or</w:t>
      </w:r>
    </w:p>
    <w:p>
      <w:pPr>
        <w:pStyle w:val="Indenta"/>
        <w:rPr>
          <w:snapToGrid w:val="0"/>
        </w:rPr>
      </w:pPr>
      <w:r>
        <w:rPr>
          <w:snapToGrid w:val="0"/>
        </w:rPr>
        <w:tab/>
        <w:t>(f)</w:t>
      </w:r>
      <w:r>
        <w:rPr>
          <w:snapToGrid w:val="0"/>
        </w:rPr>
        <w:tab/>
        <w:t>where one block constitutes the location concerned, in respect of that block.</w:t>
      </w:r>
    </w:p>
    <w:p>
      <w:pPr>
        <w:pStyle w:val="Subsection"/>
        <w:spacing w:before="120"/>
        <w:rPr>
          <w:snapToGrid w:val="0"/>
        </w:rPr>
      </w:pPr>
      <w:r>
        <w:rPr>
          <w:snapToGrid w:val="0"/>
        </w:rPr>
        <w:tab/>
        <w:t>(2)</w:t>
      </w:r>
      <w:r>
        <w:rPr>
          <w:snapToGrid w:val="0"/>
        </w:rPr>
        <w:tab/>
        <w:t>A permittee whose permit is in force in respect of blocks that constitute a location — </w:t>
      </w:r>
    </w:p>
    <w:p>
      <w:pPr>
        <w:pStyle w:val="Indenta"/>
        <w:rPr>
          <w:snapToGrid w:val="0"/>
        </w:rPr>
      </w:pPr>
      <w:r>
        <w:rPr>
          <w:snapToGrid w:val="0"/>
        </w:rPr>
        <w:tab/>
        <w:t>(a)</w:t>
      </w:r>
      <w:r>
        <w:rPr>
          <w:snapToGrid w:val="0"/>
        </w:rPr>
        <w:tab/>
        <w:t>instead of making an application under subsection (1)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permittee makes an application under subsection (1) in respect of his primary entitlement; or</w:t>
      </w:r>
    </w:p>
    <w:p>
      <w:pPr>
        <w:pStyle w:val="Indenta"/>
        <w:rPr>
          <w:snapToGrid w:val="0"/>
        </w:rPr>
      </w:pPr>
      <w:r>
        <w:rPr>
          <w:snapToGrid w:val="0"/>
        </w:rPr>
        <w:tab/>
        <w:t>(b)</w:t>
      </w:r>
      <w:r>
        <w:rPr>
          <w:snapToGrid w:val="0"/>
        </w:rPr>
        <w:tab/>
        <w:t>a permittee who is the holder of a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is —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in writing, served on the Minister before the expiration of the period of 2 years referred to in paragraph (a), allows.</w:t>
      </w:r>
    </w:p>
    <w:p>
      <w:pPr>
        <w:pStyle w:val="Subsection"/>
        <w:spacing w:before="180"/>
        <w:rPr>
          <w:snapToGrid w:val="0"/>
        </w:rPr>
      </w:pPr>
      <w:r>
        <w:rPr>
          <w:snapToGrid w:val="0"/>
        </w:rPr>
        <w:tab/>
        <w:t>(5)</w:t>
      </w:r>
      <w:r>
        <w:rPr>
          <w:snapToGrid w:val="0"/>
        </w:rPr>
        <w:tab/>
        <w:t>Where — </w:t>
      </w:r>
    </w:p>
    <w:p>
      <w:pPr>
        <w:pStyle w:val="Indenta"/>
        <w:spacing w:before="100"/>
        <w:rPr>
          <w:snapToGrid w:val="0"/>
        </w:rPr>
      </w:pPr>
      <w:r>
        <w:rPr>
          <w:snapToGrid w:val="0"/>
        </w:rPr>
        <w:tab/>
        <w:t>(a)</w:t>
      </w:r>
      <w:r>
        <w:rPr>
          <w:snapToGrid w:val="0"/>
        </w:rPr>
        <w:tab/>
        <w:t>a permittee applies for the grant by the Minister of a licence in respect of a block or blocks in respect of which the permittee has applied for a lease under section 38A; and</w:t>
      </w:r>
    </w:p>
    <w:p>
      <w:pPr>
        <w:pStyle w:val="Indenta"/>
        <w:spacing w:before="100"/>
        <w:rPr>
          <w:snapToGrid w:val="0"/>
        </w:rPr>
      </w:pPr>
      <w:r>
        <w:rPr>
          <w:snapToGrid w:val="0"/>
        </w:rPr>
        <w:tab/>
        <w:t>(b)</w:t>
      </w:r>
      <w:r>
        <w:rPr>
          <w:snapToGrid w:val="0"/>
        </w:rPr>
        <w:tab/>
        <w:t>an instrument refusing to grant the lease is served on the permittee under section 38B(2),</w:t>
      </w:r>
    </w:p>
    <w:p>
      <w:pPr>
        <w:pStyle w:val="Subsection"/>
        <w:spacing w:before="180"/>
        <w:rPr>
          <w:snapToGrid w:val="0"/>
        </w:rPr>
      </w:pPr>
      <w:r>
        <w:rPr>
          <w:snapToGrid w:val="0"/>
        </w:rPr>
        <w:tab/>
      </w:r>
      <w:r>
        <w:rPr>
          <w:snapToGrid w:val="0"/>
        </w:rPr>
        <w:tab/>
        <w:t>the application period is whichever of the following periods last expires — </w:t>
      </w:r>
    </w:p>
    <w:p>
      <w:pPr>
        <w:pStyle w:val="Indenta"/>
        <w:spacing w:before="100"/>
        <w:rPr>
          <w:snapToGrid w:val="0"/>
        </w:rPr>
      </w:pPr>
      <w:r>
        <w:rPr>
          <w:snapToGrid w:val="0"/>
        </w:rPr>
        <w:tab/>
        <w:t>(c)</w:t>
      </w:r>
      <w:r>
        <w:rPr>
          <w:snapToGrid w:val="0"/>
        </w:rPr>
        <w:tab/>
        <w:t>the period that is applicable under subsection (4);</w:t>
      </w:r>
    </w:p>
    <w:p>
      <w:pPr>
        <w:pStyle w:val="Indenta"/>
        <w:spacing w:before="100"/>
        <w:rPr>
          <w:snapToGrid w:val="0"/>
        </w:rPr>
      </w:pPr>
      <w:r>
        <w:rPr>
          <w:snapToGrid w:val="0"/>
        </w:rPr>
        <w:tab/>
        <w:t>(d)</w:t>
      </w:r>
      <w:r>
        <w:rPr>
          <w:snapToGrid w:val="0"/>
        </w:rPr>
        <w:tab/>
        <w:t>the period of 12 months after the day of service of the instrument.</w:t>
      </w:r>
    </w:p>
    <w:p>
      <w:pPr>
        <w:pStyle w:val="Footnotesection"/>
        <w:spacing w:before="140"/>
        <w:ind w:left="890" w:hanging="890"/>
      </w:pPr>
      <w:r>
        <w:tab/>
        <w:t>[Section 40 amended by No. 12 of 1990 s.175</w:t>
      </w:r>
      <w:r>
        <w:rPr>
          <w:vertAlign w:val="superscript"/>
        </w:rPr>
        <w:t xml:space="preserve"> 3</w:t>
      </w:r>
      <w:r>
        <w:t xml:space="preserve">; No. 28 of 1994 s.91.] </w:t>
      </w:r>
    </w:p>
    <w:p>
      <w:pPr>
        <w:pStyle w:val="Heading5"/>
        <w:spacing w:before="240"/>
        <w:rPr>
          <w:snapToGrid w:val="0"/>
        </w:rPr>
      </w:pPr>
      <w:bookmarkStart w:id="349" w:name="_Toc501861724"/>
      <w:bookmarkStart w:id="350" w:name="_Toc113772480"/>
      <w:bookmarkStart w:id="351" w:name="_Toc170190575"/>
      <w:bookmarkStart w:id="352" w:name="_Toc157933549"/>
      <w:r>
        <w:rPr>
          <w:rStyle w:val="CharSectno"/>
        </w:rPr>
        <w:t>40A</w:t>
      </w:r>
      <w:r>
        <w:rPr>
          <w:snapToGrid w:val="0"/>
        </w:rPr>
        <w:t>.</w:t>
      </w:r>
      <w:r>
        <w:rPr>
          <w:snapToGrid w:val="0"/>
        </w:rPr>
        <w:tab/>
        <w:t>Application for licence by holder of lease</w:t>
      </w:r>
      <w:bookmarkEnd w:id="349"/>
      <w:bookmarkEnd w:id="350"/>
      <w:bookmarkEnd w:id="351"/>
      <w:bookmarkEnd w:id="352"/>
      <w:r>
        <w:rPr>
          <w:snapToGrid w:val="0"/>
        </w:rPr>
        <w:t xml:space="preserve"> </w:t>
      </w:r>
    </w:p>
    <w:p>
      <w:pPr>
        <w:pStyle w:val="Subsection"/>
        <w:spacing w:before="180"/>
        <w:rPr>
          <w:snapToGrid w:val="0"/>
        </w:rPr>
      </w:pPr>
      <w:r>
        <w:rPr>
          <w:snapToGrid w:val="0"/>
        </w:rPr>
        <w:tab/>
        <w:t>(1)</w:t>
      </w:r>
      <w:r>
        <w:rPr>
          <w:snapToGrid w:val="0"/>
        </w:rPr>
        <w:tab/>
        <w:t>A lessee whose lease is in force may make an application to the Minister for the grant of a licence — </w:t>
      </w:r>
    </w:p>
    <w:p>
      <w:pPr>
        <w:pStyle w:val="Indenta"/>
        <w:spacing w:before="100"/>
        <w:rPr>
          <w:snapToGrid w:val="0"/>
        </w:rPr>
      </w:pPr>
      <w:r>
        <w:rPr>
          <w:snapToGrid w:val="0"/>
        </w:rPr>
        <w:tab/>
        <w:t>(a)</w:t>
      </w:r>
      <w:r>
        <w:rPr>
          <w:snapToGrid w:val="0"/>
        </w:rPr>
        <w:tab/>
        <w:t>where the lease is in respect of 9 or more blocks, in respect of 5 of those blocks;</w:t>
      </w:r>
    </w:p>
    <w:p>
      <w:pPr>
        <w:pStyle w:val="Indenta"/>
        <w:spacing w:before="100"/>
        <w:rPr>
          <w:snapToGrid w:val="0"/>
        </w:rPr>
      </w:pPr>
      <w:r>
        <w:rPr>
          <w:snapToGrid w:val="0"/>
        </w:rPr>
        <w:tab/>
        <w:t>(b)</w:t>
      </w:r>
      <w:r>
        <w:rPr>
          <w:snapToGrid w:val="0"/>
        </w:rPr>
        <w:tab/>
        <w:t>where the lease is in respect of 8 or 7 blocks, in respect of 4 of those blocks;</w:t>
      </w:r>
    </w:p>
    <w:p>
      <w:pPr>
        <w:pStyle w:val="Indenta"/>
        <w:spacing w:before="100"/>
        <w:rPr>
          <w:snapToGrid w:val="0"/>
        </w:rPr>
      </w:pPr>
      <w:r>
        <w:rPr>
          <w:snapToGrid w:val="0"/>
        </w:rPr>
        <w:tab/>
        <w:t>(c)</w:t>
      </w:r>
      <w:r>
        <w:rPr>
          <w:snapToGrid w:val="0"/>
        </w:rPr>
        <w:tab/>
        <w:t>where the lease is in respect of 6 or 5 blocks, in respect of 3 of those blocks;</w:t>
      </w:r>
    </w:p>
    <w:p>
      <w:pPr>
        <w:pStyle w:val="Indenta"/>
        <w:spacing w:before="100"/>
        <w:rPr>
          <w:snapToGrid w:val="0"/>
        </w:rPr>
      </w:pPr>
      <w:r>
        <w:rPr>
          <w:snapToGrid w:val="0"/>
        </w:rPr>
        <w:tab/>
        <w:t>(d)</w:t>
      </w:r>
      <w:r>
        <w:rPr>
          <w:snapToGrid w:val="0"/>
        </w:rPr>
        <w:tab/>
        <w:t>where the lease is in respect of 4 or 3 blocks, in respect of 2 of those blocks;</w:t>
      </w:r>
    </w:p>
    <w:p>
      <w:pPr>
        <w:pStyle w:val="Indenta"/>
        <w:spacing w:before="100"/>
        <w:rPr>
          <w:snapToGrid w:val="0"/>
        </w:rPr>
      </w:pPr>
      <w:r>
        <w:rPr>
          <w:snapToGrid w:val="0"/>
        </w:rPr>
        <w:tab/>
        <w:t>(e)</w:t>
      </w:r>
      <w:r>
        <w:rPr>
          <w:snapToGrid w:val="0"/>
        </w:rPr>
        <w:tab/>
        <w:t>where the lease is in respect of 2 blocks, in respect of one of those blocks; or</w:t>
      </w:r>
    </w:p>
    <w:p>
      <w:pPr>
        <w:pStyle w:val="Indenta"/>
        <w:spacing w:before="100"/>
        <w:rPr>
          <w:snapToGrid w:val="0"/>
        </w:rPr>
      </w:pPr>
      <w:r>
        <w:rPr>
          <w:snapToGrid w:val="0"/>
        </w:rPr>
        <w:tab/>
        <w:t>(f)</w:t>
      </w:r>
      <w:r>
        <w:rPr>
          <w:snapToGrid w:val="0"/>
        </w:rPr>
        <w:tab/>
        <w:t>where the lease is in respect of one block, in respect of that block.</w:t>
      </w:r>
    </w:p>
    <w:p>
      <w:pPr>
        <w:pStyle w:val="Subsection"/>
        <w:spacing w:before="120"/>
        <w:rPr>
          <w:snapToGrid w:val="0"/>
        </w:rPr>
      </w:pPr>
      <w:r>
        <w:rPr>
          <w:snapToGrid w:val="0"/>
        </w:rPr>
        <w:tab/>
        <w:t>(2)</w:t>
      </w:r>
      <w:r>
        <w:rPr>
          <w:snapToGrid w:val="0"/>
        </w:rPr>
        <w:tab/>
        <w:t>At any time while a lease is in force, the lessee may, instead of making an application under subsection (1) in respect of the lessee’s primary entitlement, make an application to the Minister for the grant of a licence in respect of a number of blocks that is less than the lessee’s primary entitlement.</w:t>
      </w:r>
    </w:p>
    <w:p>
      <w:pPr>
        <w:pStyle w:val="Subsection"/>
        <w:spacing w:before="120"/>
        <w:rPr>
          <w:snapToGrid w:val="0"/>
        </w:rPr>
      </w:pPr>
      <w:r>
        <w:rPr>
          <w:snapToGrid w:val="0"/>
        </w:rPr>
        <w:tab/>
        <w:t>(3)</w:t>
      </w:r>
      <w:r>
        <w:rPr>
          <w:snapToGrid w:val="0"/>
        </w:rPr>
        <w:tab/>
        <w:t>Where a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40A inserted by No. 12 of 1990 s.176</w:t>
      </w:r>
      <w:r>
        <w:rPr>
          <w:vertAlign w:val="superscript"/>
        </w:rPr>
        <w:t xml:space="preserve"> 3</w:t>
      </w:r>
      <w:r>
        <w:t xml:space="preserve">.] </w:t>
      </w:r>
    </w:p>
    <w:p>
      <w:pPr>
        <w:pStyle w:val="Heading5"/>
        <w:rPr>
          <w:snapToGrid w:val="0"/>
        </w:rPr>
      </w:pPr>
      <w:bookmarkStart w:id="353" w:name="_Toc501861725"/>
      <w:bookmarkStart w:id="354" w:name="_Toc113772481"/>
      <w:bookmarkStart w:id="355" w:name="_Toc170190576"/>
      <w:bookmarkStart w:id="356" w:name="_Toc157933550"/>
      <w:r>
        <w:rPr>
          <w:rStyle w:val="CharSectno"/>
        </w:rPr>
        <w:t>41</w:t>
      </w:r>
      <w:r>
        <w:rPr>
          <w:snapToGrid w:val="0"/>
        </w:rPr>
        <w:t>.</w:t>
      </w:r>
      <w:r>
        <w:rPr>
          <w:snapToGrid w:val="0"/>
        </w:rPr>
        <w:tab/>
        <w:t>Application for licence</w:t>
      </w:r>
      <w:bookmarkEnd w:id="353"/>
      <w:bookmarkEnd w:id="354"/>
      <w:bookmarkEnd w:id="355"/>
      <w:bookmarkEnd w:id="356"/>
      <w:r>
        <w:rPr>
          <w:snapToGrid w:val="0"/>
        </w:rPr>
        <w:t xml:space="preserve"> </w:t>
      </w:r>
    </w:p>
    <w:p>
      <w:pPr>
        <w:pStyle w:val="Subsection"/>
        <w:spacing w:before="120"/>
        <w:rPr>
          <w:snapToGrid w:val="0"/>
        </w:rPr>
      </w:pPr>
      <w:r>
        <w:rPr>
          <w:snapToGrid w:val="0"/>
        </w:rPr>
        <w:tab/>
        <w:t>(1)</w:t>
      </w:r>
      <w:r>
        <w:rPr>
          <w:snapToGrid w:val="0"/>
        </w:rPr>
        <w:tab/>
        <w:t>An application under section 40 or 40A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spacing w:before="120"/>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 xml:space="preserve">[Section 41 amended by No. 12 of 1990 s.177.] </w:t>
      </w:r>
    </w:p>
    <w:p>
      <w:pPr>
        <w:pStyle w:val="Heading5"/>
        <w:rPr>
          <w:snapToGrid w:val="0"/>
        </w:rPr>
      </w:pPr>
      <w:bookmarkStart w:id="357" w:name="_Toc501861726"/>
      <w:bookmarkStart w:id="358" w:name="_Toc113772482"/>
      <w:bookmarkStart w:id="359" w:name="_Toc170190577"/>
      <w:bookmarkStart w:id="360" w:name="_Toc157933551"/>
      <w:r>
        <w:rPr>
          <w:rStyle w:val="CharSectno"/>
        </w:rPr>
        <w:t>42</w:t>
      </w:r>
      <w:r>
        <w:rPr>
          <w:snapToGrid w:val="0"/>
        </w:rPr>
        <w:t>.</w:t>
      </w:r>
      <w:r>
        <w:rPr>
          <w:snapToGrid w:val="0"/>
        </w:rPr>
        <w:tab/>
        <w:t>Determination of rate of royalty</w:t>
      </w:r>
      <w:bookmarkEnd w:id="357"/>
      <w:bookmarkEnd w:id="358"/>
      <w:bookmarkEnd w:id="359"/>
      <w:bookmarkEnd w:id="360"/>
      <w:r>
        <w:rPr>
          <w:snapToGrid w:val="0"/>
        </w:rPr>
        <w:t xml:space="preserve"> </w:t>
      </w:r>
    </w:p>
    <w:p>
      <w:pPr>
        <w:pStyle w:val="Subsection"/>
        <w:spacing w:before="120"/>
        <w:rPr>
          <w:snapToGrid w:val="0"/>
        </w:rPr>
      </w:pPr>
      <w:r>
        <w:rPr>
          <w:snapToGrid w:val="0"/>
        </w:rPr>
        <w:tab/>
        <w:t>(1)</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primary licence or under the secondary licence, being a rate that is not less than 11% or more than 12½ % of the royalty value of that petroleum.</w:t>
      </w:r>
    </w:p>
    <w:p>
      <w:pPr>
        <w:pStyle w:val="Subsection"/>
        <w:spacing w:before="120"/>
        <w:rPr>
          <w:snapToGrid w:val="0"/>
        </w:rPr>
      </w:pPr>
      <w:r>
        <w:rPr>
          <w:snapToGrid w:val="0"/>
        </w:rPr>
        <w:tab/>
        <w:t>(2)</w:t>
      </w:r>
      <w:r>
        <w:rPr>
          <w:snapToGrid w:val="0"/>
        </w:rPr>
        <w:tab/>
        <w:t>The Minister shall not, under subsection (1), determine the rate at which royalty is to be payable unless he has given to the applicant an opportunity to confer with him concerning that rate.</w:t>
      </w:r>
    </w:p>
    <w:p>
      <w:pPr>
        <w:pStyle w:val="Footnotesection"/>
      </w:pPr>
      <w:r>
        <w:tab/>
        <w:t xml:space="preserve">[Section 42 amended by No. 11 of 1994 s.9.] </w:t>
      </w:r>
    </w:p>
    <w:p>
      <w:pPr>
        <w:pStyle w:val="Heading5"/>
        <w:rPr>
          <w:snapToGrid w:val="0"/>
        </w:rPr>
      </w:pPr>
      <w:bookmarkStart w:id="361" w:name="_Toc501861727"/>
      <w:bookmarkStart w:id="362" w:name="_Toc113772483"/>
      <w:bookmarkStart w:id="363" w:name="_Toc170190578"/>
      <w:bookmarkStart w:id="364" w:name="_Toc157933552"/>
      <w:r>
        <w:rPr>
          <w:rStyle w:val="CharSectno"/>
        </w:rPr>
        <w:t>43</w:t>
      </w:r>
      <w:r>
        <w:rPr>
          <w:snapToGrid w:val="0"/>
        </w:rPr>
        <w:t>.</w:t>
      </w:r>
      <w:r>
        <w:rPr>
          <w:snapToGrid w:val="0"/>
        </w:rPr>
        <w:tab/>
        <w:t>Notification as to grant of licence</w:t>
      </w:r>
      <w:bookmarkEnd w:id="361"/>
      <w:bookmarkEnd w:id="362"/>
      <w:bookmarkEnd w:id="363"/>
      <w:bookmarkEnd w:id="364"/>
      <w:r>
        <w:rPr>
          <w:snapToGrid w:val="0"/>
        </w:rPr>
        <w:t xml:space="preserve"> </w:t>
      </w:r>
    </w:p>
    <w:p>
      <w:pPr>
        <w:pStyle w:val="Subsection"/>
        <w:spacing w:before="120"/>
        <w:rPr>
          <w:snapToGrid w:val="0"/>
        </w:rPr>
      </w:pPr>
      <w:r>
        <w:rPr>
          <w:snapToGrid w:val="0"/>
        </w:rPr>
        <w:tab/>
        <w:t>(1)</w:t>
      </w:r>
      <w:r>
        <w:rPr>
          <w:snapToGrid w:val="0"/>
        </w:rPr>
        <w:tab/>
        <w:t>Where an application for the grant of a licence has been made under section 40 or 40A and the applicant has furnished any further information as and when required by the Minister under section 41(2), the Minister, by instrument in writing served on the applicant shall inform the applicant that he is prepared to grant to the applicant a licence in respect of the blocks specified in the application.</w:t>
      </w:r>
    </w:p>
    <w:p>
      <w:pPr>
        <w:pStyle w:val="Subsection"/>
        <w:spacing w:before="120"/>
        <w:rPr>
          <w:snapToGrid w:val="0"/>
        </w:rPr>
      </w:pPr>
      <w:r>
        <w:rPr>
          <w:snapToGrid w:val="0"/>
        </w:rPr>
        <w:tab/>
        <w:t>(2)</w:t>
      </w:r>
      <w:r>
        <w:rPr>
          <w:snapToGrid w:val="0"/>
        </w:rPr>
        <w:tab/>
        <w:t>An instrument under subsection (1) shall — </w:t>
      </w:r>
    </w:p>
    <w:p>
      <w:pPr>
        <w:pStyle w:val="Indenta"/>
        <w:rPr>
          <w:snapToGrid w:val="0"/>
        </w:rPr>
      </w:pPr>
      <w:r>
        <w:rPr>
          <w:snapToGrid w:val="0"/>
        </w:rPr>
        <w:tab/>
        <w:t>(a)</w:t>
      </w:r>
      <w:r>
        <w:rPr>
          <w:snapToGrid w:val="0"/>
        </w:rPr>
        <w:tab/>
        <w:t>contain a summary of the conditions subject to which the licence is to be granted;</w:t>
      </w:r>
    </w:p>
    <w:p>
      <w:pPr>
        <w:pStyle w:val="Indenta"/>
        <w:rPr>
          <w:snapToGrid w:val="0"/>
        </w:rPr>
      </w:pPr>
      <w:r>
        <w:rPr>
          <w:snapToGrid w:val="0"/>
        </w:rPr>
        <w:tab/>
        <w:t>(b)</w:t>
      </w:r>
      <w:r>
        <w:rPr>
          <w:snapToGrid w:val="0"/>
        </w:rPr>
        <w:tab/>
        <w:t>if the instrument relates to an application for a secondary licence, specify the rate of royalty determined by the Minister in pursuance of section 42(1); and</w:t>
      </w:r>
    </w:p>
    <w:p>
      <w:pPr>
        <w:pStyle w:val="Indenta"/>
        <w:rPr>
          <w:snapToGrid w:val="0"/>
        </w:rPr>
      </w:pPr>
      <w:r>
        <w:rPr>
          <w:snapToGrid w:val="0"/>
        </w:rPr>
        <w:tab/>
        <w:t>(c)</w:t>
      </w:r>
      <w:r>
        <w:rPr>
          <w:snapToGrid w:val="0"/>
        </w:rPr>
        <w:tab/>
        <w:t>contain a statement to the effect that the application will lapse if the applicant does not make a request under section 44(1) in respect of the grant of the licence.</w:t>
      </w:r>
    </w:p>
    <w:p>
      <w:pPr>
        <w:pStyle w:val="Footnotesection"/>
      </w:pPr>
      <w:r>
        <w:tab/>
        <w:t xml:space="preserve">[Section 43 amended by No. 12 of 1990 s.178; No. 28 of 1994 s.92.] </w:t>
      </w:r>
    </w:p>
    <w:p>
      <w:pPr>
        <w:pStyle w:val="Heading5"/>
        <w:spacing w:before="200"/>
        <w:rPr>
          <w:snapToGrid w:val="0"/>
        </w:rPr>
      </w:pPr>
      <w:bookmarkStart w:id="365" w:name="_Toc501861728"/>
      <w:bookmarkStart w:id="366" w:name="_Toc113772484"/>
      <w:bookmarkStart w:id="367" w:name="_Toc170190579"/>
      <w:bookmarkStart w:id="368" w:name="_Toc157933553"/>
      <w:r>
        <w:rPr>
          <w:rStyle w:val="CharSectno"/>
        </w:rPr>
        <w:t>44</w:t>
      </w:r>
      <w:r>
        <w:rPr>
          <w:snapToGrid w:val="0"/>
        </w:rPr>
        <w:t>.</w:t>
      </w:r>
      <w:r>
        <w:rPr>
          <w:snapToGrid w:val="0"/>
        </w:rPr>
        <w:tab/>
        <w:t>Grant of licence</w:t>
      </w:r>
      <w:bookmarkEnd w:id="365"/>
      <w:bookmarkEnd w:id="366"/>
      <w:bookmarkEnd w:id="367"/>
      <w:bookmarkEnd w:id="368"/>
      <w:r>
        <w:rPr>
          <w:snapToGrid w:val="0"/>
        </w:rPr>
        <w:t xml:space="preserve"> </w:t>
      </w:r>
    </w:p>
    <w:p>
      <w:pPr>
        <w:pStyle w:val="Subsection"/>
        <w:spacing w:before="120"/>
        <w:rPr>
          <w:snapToGrid w:val="0"/>
        </w:rPr>
      </w:pPr>
      <w:r>
        <w:rPr>
          <w:snapToGrid w:val="0"/>
        </w:rPr>
        <w:tab/>
        <w:t>(1)</w:t>
      </w:r>
      <w:r>
        <w:rPr>
          <w:snapToGrid w:val="0"/>
        </w:rPr>
        <w:tab/>
        <w:t>An applicant on whom there has been served an instrument under section 43(1)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spacing w:before="180"/>
        <w:rPr>
          <w:snapToGrid w:val="0"/>
          <w:spacing w:val="2"/>
        </w:rPr>
      </w:pPr>
      <w:r>
        <w:rPr>
          <w:snapToGrid w:val="0"/>
          <w:spacing w:val="2"/>
        </w:rPr>
        <w:tab/>
        <w:t>(2)</w:t>
      </w:r>
      <w:r>
        <w:rPr>
          <w:snapToGrid w:val="0"/>
          <w:spacing w:val="2"/>
        </w:rPr>
        <w:tab/>
        <w:t>Where an applicant on whom there has been served an instrument under section 43(1) has made a request under subsection (1) within the period applicable under subsection (1), the Minister shall grant to the applicant a production licence for petroleum in respect of the blocks specified in the application.</w:t>
      </w:r>
    </w:p>
    <w:p>
      <w:pPr>
        <w:pStyle w:val="Subsection"/>
        <w:spacing w:before="180"/>
        <w:rPr>
          <w:snapToGrid w:val="0"/>
        </w:rPr>
      </w:pPr>
      <w:r>
        <w:rPr>
          <w:snapToGrid w:val="0"/>
        </w:rPr>
        <w:tab/>
        <w:t>(3)</w:t>
      </w:r>
      <w:r>
        <w:rPr>
          <w:snapToGrid w:val="0"/>
        </w:rPr>
        <w:tab/>
        <w:t>A secondary licence shall not be granted to a permittee or lessee in respect of any one or more of the blocks that constitute a location unless — </w:t>
      </w:r>
    </w:p>
    <w:p>
      <w:pPr>
        <w:pStyle w:val="Indenta"/>
        <w:spacing w:before="100"/>
        <w:rPr>
          <w:snapToGrid w:val="0"/>
        </w:rPr>
      </w:pPr>
      <w:r>
        <w:rPr>
          <w:snapToGrid w:val="0"/>
        </w:rPr>
        <w:tab/>
        <w:t>(a)</w:t>
      </w:r>
      <w:r>
        <w:rPr>
          <w:snapToGrid w:val="0"/>
        </w:rPr>
        <w:tab/>
        <w:t>a primary licence has been granted in respect of a block or blocks forming part of that location; and</w:t>
      </w:r>
    </w:p>
    <w:p>
      <w:pPr>
        <w:pStyle w:val="Indenta"/>
        <w:spacing w:before="100"/>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45, is the permittee’s or lessee’s primary entitlement.</w:t>
      </w:r>
    </w:p>
    <w:p>
      <w:pPr>
        <w:pStyle w:val="Subsection"/>
        <w:spacing w:before="180"/>
        <w:rPr>
          <w:snapToGrid w:val="0"/>
        </w:rPr>
      </w:pPr>
      <w:r>
        <w:rPr>
          <w:snapToGrid w:val="0"/>
        </w:rPr>
        <w:tab/>
        <w:t>(4)</w:t>
      </w:r>
      <w:r>
        <w:rPr>
          <w:snapToGrid w:val="0"/>
        </w:rPr>
        <w:tab/>
        <w:t>Where an applicant on whom there has been served an instrument under section 43(1) has not made a request under subsection (1) within the period applicable under subsection (1), the application lapses upon the expiration of that period.</w:t>
      </w:r>
    </w:p>
    <w:p>
      <w:pPr>
        <w:pStyle w:val="Subsection"/>
        <w:spacing w:before="180"/>
        <w:rPr>
          <w:snapToGrid w:val="0"/>
        </w:rPr>
      </w:pPr>
      <w:r>
        <w:rPr>
          <w:snapToGrid w:val="0"/>
        </w:rPr>
        <w:tab/>
        <w:t>(5)</w:t>
      </w:r>
      <w:r>
        <w:rPr>
          <w:snapToGrid w:val="0"/>
        </w:rPr>
        <w:tab/>
        <w:t>On the day on which a licence granted under this section comes into force, the permit or lease in respect of the blocks in respect of which the licence was granted ceases to be in force in respect of those blocks.</w:t>
      </w:r>
    </w:p>
    <w:p>
      <w:pPr>
        <w:pStyle w:val="Footnotesection"/>
        <w:spacing w:before="140"/>
        <w:ind w:left="890" w:hanging="890"/>
      </w:pPr>
      <w:r>
        <w:tab/>
        <w:t xml:space="preserve">[Section 44 amended by No. 12 of 1990 s.179; No. 28 of 1994 s.93.] </w:t>
      </w:r>
    </w:p>
    <w:p>
      <w:pPr>
        <w:pStyle w:val="Heading5"/>
        <w:rPr>
          <w:snapToGrid w:val="0"/>
        </w:rPr>
      </w:pPr>
      <w:bookmarkStart w:id="369" w:name="_Toc501861729"/>
      <w:bookmarkStart w:id="370" w:name="_Toc113772485"/>
      <w:bookmarkStart w:id="371" w:name="_Toc170190580"/>
      <w:bookmarkStart w:id="372" w:name="_Toc157933554"/>
      <w:r>
        <w:rPr>
          <w:rStyle w:val="CharSectno"/>
        </w:rPr>
        <w:t>44A</w:t>
      </w:r>
      <w:r>
        <w:rPr>
          <w:snapToGrid w:val="0"/>
        </w:rPr>
        <w:t>.</w:t>
      </w:r>
      <w:r>
        <w:rPr>
          <w:snapToGrid w:val="0"/>
        </w:rPr>
        <w:tab/>
        <w:t>Application of sections 41 to 44 where permit etc. transferred</w:t>
      </w:r>
      <w:bookmarkEnd w:id="369"/>
      <w:bookmarkEnd w:id="370"/>
      <w:bookmarkEnd w:id="371"/>
      <w:bookmarkEnd w:id="372"/>
      <w:r>
        <w:rPr>
          <w:snapToGrid w:val="0"/>
        </w:rPr>
        <w:t xml:space="preserve"> </w:t>
      </w:r>
    </w:p>
    <w:p>
      <w:pPr>
        <w:pStyle w:val="Subsection"/>
        <w:keepNext/>
        <w:rPr>
          <w:snapToGrid w:val="0"/>
        </w:rPr>
      </w:pPr>
      <w:r>
        <w:rPr>
          <w:snapToGrid w:val="0"/>
        </w:rPr>
        <w:tab/>
      </w:r>
      <w:r>
        <w:rPr>
          <w:snapToGrid w:val="0"/>
        </w:rPr>
        <w:tab/>
        <w:t>Where — </w:t>
      </w:r>
    </w:p>
    <w:p>
      <w:pPr>
        <w:pStyle w:val="Indenta"/>
      </w:pPr>
      <w:r>
        <w:tab/>
        <w:t>(a)</w:t>
      </w:r>
      <w:r>
        <w:tab/>
        <w:t>after an application has been made — </w:t>
      </w:r>
    </w:p>
    <w:p>
      <w:pPr>
        <w:pStyle w:val="Indenti"/>
        <w:rPr>
          <w:snapToGrid w:val="0"/>
        </w:rPr>
      </w:pPr>
      <w:r>
        <w:rPr>
          <w:snapToGrid w:val="0"/>
        </w:rPr>
        <w:tab/>
        <w:t>(i)</w:t>
      </w:r>
      <w:r>
        <w:rPr>
          <w:snapToGrid w:val="0"/>
        </w:rPr>
        <w:tab/>
        <w:t>under section 40 for the grant of a licence in respect of a block or blocks in respect of which a permit is in force; or</w:t>
      </w:r>
    </w:p>
    <w:p>
      <w:pPr>
        <w:pStyle w:val="Indenti"/>
        <w:rPr>
          <w:snapToGrid w:val="0"/>
        </w:rPr>
      </w:pPr>
      <w:r>
        <w:rPr>
          <w:snapToGrid w:val="0"/>
        </w:rPr>
        <w:tab/>
        <w:t>(ii)</w:t>
      </w:r>
      <w:r>
        <w:rPr>
          <w:snapToGrid w:val="0"/>
        </w:rPr>
        <w:tab/>
        <w:t>under section 40A for the grant of a licence in respect of a block or blocks in respect of which a lease is in force;</w:t>
      </w:r>
    </w:p>
    <w:p>
      <w:pPr>
        <w:pStyle w:val="Indenta"/>
        <w:rPr>
          <w:snapToGrid w:val="0"/>
        </w:rPr>
      </w:pPr>
      <w:r>
        <w:rPr>
          <w:snapToGrid w:val="0"/>
        </w:rPr>
        <w:tab/>
      </w:r>
      <w:r>
        <w:rPr>
          <w:snapToGrid w:val="0"/>
        </w:rPr>
        <w:tab/>
        <w:t>and</w:t>
      </w:r>
    </w:p>
    <w:p>
      <w:pPr>
        <w:pStyle w:val="Indenta"/>
      </w:pPr>
      <w:r>
        <w:tab/>
        <w:t>(b)</w:t>
      </w:r>
      <w:r>
        <w:tab/>
        <w:t>before a decision has been made by the Minister under section 43(1) in relation to the application,</w:t>
      </w:r>
    </w:p>
    <w:p>
      <w:pPr>
        <w:pStyle w:val="Subsection"/>
        <w:rPr>
          <w:snapToGrid w:val="0"/>
        </w:rPr>
      </w:pPr>
      <w:r>
        <w:rPr>
          <w:snapToGrid w:val="0"/>
        </w:rPr>
        <w:tab/>
      </w:r>
      <w:r>
        <w:rPr>
          <w:snapToGrid w:val="0"/>
        </w:rPr>
        <w:tab/>
        <w:t>a transfer of the permit or lease, as the case may be, is registered under section 78, then, after the time of the transfer sections 41 to 44 have effect in relation to the application as if any reference in those sections to the applicant were a reference to the transferee.</w:t>
      </w:r>
    </w:p>
    <w:p>
      <w:pPr>
        <w:pStyle w:val="Footnotesection"/>
      </w:pPr>
      <w:r>
        <w:tab/>
        <w:t xml:space="preserve">[Section 44A inserted by No. 28 of 1994 s.94.] </w:t>
      </w:r>
    </w:p>
    <w:p>
      <w:pPr>
        <w:pStyle w:val="Heading5"/>
        <w:rPr>
          <w:snapToGrid w:val="0"/>
        </w:rPr>
      </w:pPr>
      <w:bookmarkStart w:id="373" w:name="_Toc501861730"/>
      <w:bookmarkStart w:id="374" w:name="_Toc113772486"/>
      <w:bookmarkStart w:id="375" w:name="_Toc170190581"/>
      <w:bookmarkStart w:id="376" w:name="_Toc157933555"/>
      <w:r>
        <w:rPr>
          <w:rStyle w:val="CharSectno"/>
        </w:rPr>
        <w:t>45</w:t>
      </w:r>
      <w:r>
        <w:rPr>
          <w:snapToGrid w:val="0"/>
        </w:rPr>
        <w:t>.</w:t>
      </w:r>
      <w:r>
        <w:rPr>
          <w:snapToGrid w:val="0"/>
        </w:rPr>
        <w:tab/>
        <w:t>Variation of licence area</w:t>
      </w:r>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Where an application is made under section 40(2) for a variation of a licence, the Minister shall, by instrument in writing served on the licensee, vary the licence to include in the licence area the blocks specified in the application.</w:t>
      </w:r>
    </w:p>
    <w:p>
      <w:pPr>
        <w:pStyle w:val="Subsection"/>
        <w:rPr>
          <w:snapToGrid w:val="0"/>
        </w:rPr>
      </w:pPr>
      <w:r>
        <w:rPr>
          <w:snapToGrid w:val="0"/>
        </w:rPr>
        <w:tab/>
        <w:t>(2)</w:t>
      </w:r>
      <w:r>
        <w:rPr>
          <w:snapToGrid w:val="0"/>
        </w:rPr>
        <w:tab/>
        <w:t>On and from the day on and from which a variation of a licence under this section has effect —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pPr>
      <w:r>
        <w:tab/>
        <w:t xml:space="preserve">[Section 45 amended by No. 12 of 1990 s.180.] </w:t>
      </w:r>
    </w:p>
    <w:p>
      <w:pPr>
        <w:pStyle w:val="Heading5"/>
        <w:spacing w:before="200"/>
        <w:rPr>
          <w:snapToGrid w:val="0"/>
        </w:rPr>
      </w:pPr>
      <w:bookmarkStart w:id="377" w:name="_Toc501861731"/>
      <w:bookmarkStart w:id="378" w:name="_Toc113772487"/>
      <w:bookmarkStart w:id="379" w:name="_Toc170190582"/>
      <w:bookmarkStart w:id="380" w:name="_Toc157933556"/>
      <w:r>
        <w:rPr>
          <w:rStyle w:val="CharSectno"/>
        </w:rPr>
        <w:t>46</w:t>
      </w:r>
      <w:r>
        <w:rPr>
          <w:snapToGrid w:val="0"/>
        </w:rPr>
        <w:t>.</w:t>
      </w:r>
      <w:r>
        <w:rPr>
          <w:snapToGrid w:val="0"/>
        </w:rPr>
        <w:tab/>
        <w:t>Determination of permit as to block not taken up by licensee</w:t>
      </w:r>
      <w:bookmarkEnd w:id="377"/>
      <w:bookmarkEnd w:id="378"/>
      <w:bookmarkEnd w:id="379"/>
      <w:bookmarkEnd w:id="380"/>
      <w:r>
        <w:rPr>
          <w:snapToGrid w:val="0"/>
        </w:rPr>
        <w:t xml:space="preserve"> </w:t>
      </w:r>
    </w:p>
    <w:p>
      <w:pPr>
        <w:pStyle w:val="Subsection"/>
        <w:spacing w:before="120"/>
        <w:rPr>
          <w:snapToGrid w:val="0"/>
        </w:rPr>
      </w:pPr>
      <w:r>
        <w:rPr>
          <w:snapToGrid w:val="0"/>
        </w:rPr>
        <w:tab/>
        <w:t>(1)</w:t>
      </w:r>
      <w:r>
        <w:rPr>
          <w:snapToGrid w:val="0"/>
        </w:rPr>
        <w:tab/>
        <w:t>Subject to subsection (2), where — </w:t>
      </w:r>
    </w:p>
    <w:p>
      <w:pPr>
        <w:pStyle w:val="Indenta"/>
        <w:spacing w:before="60"/>
        <w:rPr>
          <w:snapToGrid w:val="0"/>
        </w:rPr>
      </w:pPr>
      <w:r>
        <w:rPr>
          <w:snapToGrid w:val="0"/>
        </w:rPr>
        <w:tab/>
        <w:t>(a)</w:t>
      </w:r>
      <w:r>
        <w:rPr>
          <w:snapToGrid w:val="0"/>
        </w:rPr>
        <w:tab/>
        <w:t>a permittee who may make an application under section 40 in respect of a block does not, within the application period, make the application; or</w:t>
      </w:r>
    </w:p>
    <w:p>
      <w:pPr>
        <w:pStyle w:val="Indenta"/>
        <w:spacing w:before="60"/>
        <w:rPr>
          <w:snapToGrid w:val="0"/>
        </w:rPr>
      </w:pPr>
      <w:r>
        <w:rPr>
          <w:snapToGrid w:val="0"/>
        </w:rPr>
        <w:tab/>
        <w:t>(b)</w:t>
      </w:r>
      <w:r>
        <w:rPr>
          <w:snapToGrid w:val="0"/>
        </w:rPr>
        <w:tab/>
        <w:t>all applications made by a permittee under that section in respect of a block have lapsed,</w:t>
      </w:r>
    </w:p>
    <w:p>
      <w:pPr>
        <w:pStyle w:val="Subsection"/>
        <w:spacing w:before="120"/>
        <w:rPr>
          <w:snapToGrid w:val="0"/>
        </w:rPr>
      </w:pPr>
      <w:r>
        <w:rPr>
          <w:snapToGrid w:val="0"/>
        </w:rPr>
        <w:tab/>
      </w:r>
      <w:r>
        <w:rPr>
          <w:snapToGrid w:val="0"/>
        </w:rPr>
        <w:tab/>
        <w:t>the permit is determined as to that block and the determination has effect — </w:t>
      </w:r>
    </w:p>
    <w:p>
      <w:pPr>
        <w:pStyle w:val="Indenta"/>
        <w:spacing w:before="60"/>
        <w:rPr>
          <w:snapToGrid w:val="0"/>
        </w:rPr>
      </w:pPr>
      <w:r>
        <w:rPr>
          <w:snapToGrid w:val="0"/>
        </w:rPr>
        <w:tab/>
        <w:t>(c)</w:t>
      </w:r>
      <w:r>
        <w:rPr>
          <w:snapToGrid w:val="0"/>
        </w:rPr>
        <w:tab/>
        <w:t>in a case referred to in paragraph (a), upon the expiration of the application period; and</w:t>
      </w:r>
    </w:p>
    <w:p>
      <w:pPr>
        <w:pStyle w:val="Indenta"/>
        <w:spacing w:before="60"/>
        <w:rPr>
          <w:snapToGrid w:val="0"/>
        </w:rPr>
      </w:pPr>
      <w:r>
        <w:rPr>
          <w:snapToGrid w:val="0"/>
        </w:rPr>
        <w:tab/>
        <w:t>(d)</w:t>
      </w:r>
      <w:r>
        <w:rPr>
          <w:snapToGrid w:val="0"/>
        </w:rPr>
        <w:tab/>
        <w:t>in a case referred to in paragraph (b) — </w:t>
      </w:r>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Indenta"/>
        <w:spacing w:before="60"/>
        <w:rPr>
          <w:snapToGrid w:val="0"/>
        </w:rPr>
      </w:pPr>
      <w:r>
        <w:rPr>
          <w:snapToGrid w:val="0"/>
        </w:rPr>
        <w:tab/>
      </w:r>
      <w:r>
        <w:rPr>
          <w:snapToGrid w:val="0"/>
        </w:rPr>
        <w:tab/>
        <w:t>whichever is the later.</w:t>
      </w:r>
    </w:p>
    <w:p>
      <w:pPr>
        <w:pStyle w:val="Subsection"/>
        <w:spacing w:before="120"/>
        <w:rPr>
          <w:snapToGrid w:val="0"/>
        </w:rPr>
      </w:pPr>
      <w:r>
        <w:rPr>
          <w:snapToGrid w:val="0"/>
        </w:rPr>
        <w:tab/>
        <w:t>(1a)</w:t>
      </w:r>
      <w:r>
        <w:rPr>
          <w:snapToGrid w:val="0"/>
        </w:rPr>
        <w:tab/>
        <w:t>Subject to subsection (2), where all applications made by a lessee under section 40A in respect of a block have lapsed, the lease is determined as to that block and the determination has effect upon the lapsing of the last of those applications.</w:t>
      </w:r>
    </w:p>
    <w:p>
      <w:pPr>
        <w:pStyle w:val="Subsection"/>
        <w:spacing w:before="120"/>
        <w:rPr>
          <w:snapToGrid w:val="0"/>
        </w:rPr>
      </w:pPr>
      <w:r>
        <w:rPr>
          <w:snapToGrid w:val="0"/>
        </w:rPr>
        <w:tab/>
        <w:t>(2)</w:t>
      </w:r>
      <w:r>
        <w:rPr>
          <w:snapToGrid w:val="0"/>
        </w:rPr>
        <w:tab/>
        <w:t>Where a permittee or lessee makes an application for a secondary licence — </w:t>
      </w:r>
    </w:p>
    <w:p>
      <w:pPr>
        <w:pStyle w:val="Indenta"/>
        <w:spacing w:before="60"/>
        <w:rPr>
          <w:snapToGrid w:val="0"/>
        </w:rPr>
      </w:pPr>
      <w:r>
        <w:rPr>
          <w:snapToGrid w:val="0"/>
        </w:rPr>
        <w:tab/>
        <w:t>(a)</w:t>
      </w:r>
      <w:r>
        <w:rPr>
          <w:snapToGrid w:val="0"/>
        </w:rPr>
        <w:tab/>
        <w:t>the permit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or lease, the Minister shall, by instrument published in the </w:t>
      </w:r>
      <w:r>
        <w:rPr>
          <w:i/>
          <w:snapToGrid w:val="0"/>
        </w:rPr>
        <w:t>Gazette</w:t>
      </w:r>
      <w:r>
        <w:rPr>
          <w:snapToGrid w:val="0"/>
        </w:rPr>
        <w:t>— </w:t>
      </w:r>
    </w:p>
    <w:p>
      <w:pPr>
        <w:pStyle w:val="Indenta"/>
        <w:rPr>
          <w:snapToGrid w:val="0"/>
        </w:rPr>
      </w:pPr>
      <w:r>
        <w:rPr>
          <w:snapToGrid w:val="0"/>
        </w:rPr>
        <w:tab/>
        <w:t>(a)</w:t>
      </w:r>
      <w:r>
        <w:rPr>
          <w:snapToGrid w:val="0"/>
        </w:rPr>
        <w:tab/>
        <w:t>in a case where that block or those blocks constitutes or constitute that location, revoke the declaration made under section 37 in respect of that location; or</w:t>
      </w:r>
    </w:p>
    <w:p>
      <w:pPr>
        <w:pStyle w:val="Indenta"/>
        <w:rPr>
          <w:snapToGrid w:val="0"/>
        </w:rPr>
      </w:pPr>
      <w:r>
        <w:rPr>
          <w:snapToGrid w:val="0"/>
        </w:rPr>
        <w:tab/>
        <w:t>(b)</w:t>
      </w:r>
      <w:r>
        <w:rPr>
          <w:snapToGrid w:val="0"/>
        </w:rPr>
        <w:tab/>
        <w:t>in a case where that block or those blocks forms or form part of that location, revoke the declaration made under section 37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 </w:t>
      </w:r>
    </w:p>
    <w:p>
      <w:pPr>
        <w:pStyle w:val="Indenta"/>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37 to the extent that it relates to the block or blocks that is or are not within the lease area.</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the Minister refuses to grant a lease in respect of a block or blocks constituting or forming part of a location; and</w:t>
      </w:r>
    </w:p>
    <w:p>
      <w:pPr>
        <w:pStyle w:val="Indenta"/>
        <w:rPr>
          <w:snapToGrid w:val="0"/>
        </w:rPr>
      </w:pPr>
      <w:r>
        <w:rPr>
          <w:snapToGrid w:val="0"/>
        </w:rPr>
        <w:tab/>
        <w:t>(b)</w:t>
      </w:r>
      <w:r>
        <w:rPr>
          <w:snapToGrid w:val="0"/>
        </w:rPr>
        <w:tab/>
        <w:t>the reason, or one of the reasons, for the refusal is that the Minister is not satisfied as to the matter referred to in section 38B(1)(c)(ii),</w:t>
      </w:r>
    </w:p>
    <w:p>
      <w:pPr>
        <w:pStyle w:val="Subsection"/>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37 in respect of that location.</w:t>
      </w:r>
    </w:p>
    <w:p>
      <w:pPr>
        <w:pStyle w:val="Footnotesection"/>
      </w:pPr>
      <w:r>
        <w:tab/>
        <w:t>[Section 46 amended by No. 12 of 1990 s.181</w:t>
      </w:r>
      <w:r>
        <w:rPr>
          <w:vertAlign w:val="superscript"/>
        </w:rPr>
        <w:t xml:space="preserve"> 4</w:t>
      </w:r>
      <w:r>
        <w:t>.]</w:t>
      </w:r>
    </w:p>
    <w:p>
      <w:pPr>
        <w:pStyle w:val="Heading5"/>
        <w:rPr>
          <w:snapToGrid w:val="0"/>
        </w:rPr>
      </w:pPr>
      <w:bookmarkStart w:id="381" w:name="_Toc501861732"/>
      <w:bookmarkStart w:id="382" w:name="_Toc113772488"/>
      <w:bookmarkStart w:id="383" w:name="_Toc170190583"/>
      <w:bookmarkStart w:id="384" w:name="_Toc157933557"/>
      <w:r>
        <w:rPr>
          <w:rStyle w:val="CharSectno"/>
        </w:rPr>
        <w:t>47</w:t>
      </w:r>
      <w:r>
        <w:rPr>
          <w:snapToGrid w:val="0"/>
        </w:rPr>
        <w:t>.</w:t>
      </w:r>
      <w:r>
        <w:rPr>
          <w:snapToGrid w:val="0"/>
        </w:rPr>
        <w:tab/>
        <w:t>Application for licence in respect of surrendered, etc., blocks</w:t>
      </w:r>
      <w:bookmarkEnd w:id="381"/>
      <w:bookmarkEnd w:id="382"/>
      <w:bookmarkEnd w:id="383"/>
      <w:bookmarkEnd w:id="384"/>
      <w:r>
        <w:rPr>
          <w:snapToGrid w:val="0"/>
        </w:rPr>
        <w:t xml:space="preserve"> </w:t>
      </w:r>
    </w:p>
    <w:p>
      <w:pPr>
        <w:pStyle w:val="Subsection"/>
        <w:spacing w:before="12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licence is surrendered or cancelled as to a block;</w:t>
      </w:r>
    </w:p>
    <w:p>
      <w:pPr>
        <w:pStyle w:val="Indenta"/>
        <w:rPr>
          <w:snapToGrid w:val="0"/>
        </w:rPr>
      </w:pPr>
      <w:r>
        <w:rPr>
          <w:snapToGrid w:val="0"/>
        </w:rPr>
        <w:tab/>
        <w:t>(b)</w:t>
      </w:r>
      <w:r>
        <w:rPr>
          <w:snapToGrid w:val="0"/>
        </w:rPr>
        <w:tab/>
        <w:t>a permit or lease is surrendered, cancelled or determined as to a block — </w:t>
      </w:r>
    </w:p>
    <w:p>
      <w:pPr>
        <w:pStyle w:val="Indenti"/>
        <w:rPr>
          <w:snapToGrid w:val="0"/>
        </w:rPr>
      </w:pPr>
      <w:r>
        <w:rPr>
          <w:snapToGrid w:val="0"/>
        </w:rPr>
        <w:tab/>
        <w:t>(i)</w:t>
      </w:r>
      <w:r>
        <w:rPr>
          <w:snapToGrid w:val="0"/>
        </w:rPr>
        <w:tab/>
        <w:t>that, at the time of the surrender, cancellation or determination, was, or was included in, a location; and</w:t>
      </w:r>
    </w:p>
    <w:p>
      <w:pPr>
        <w:pStyle w:val="Indenti"/>
        <w:rPr>
          <w:snapToGrid w:val="0"/>
        </w:rPr>
      </w:pPr>
      <w:r>
        <w:rPr>
          <w:snapToGrid w:val="0"/>
        </w:rPr>
        <w:tab/>
        <w:t>(ii)</w:t>
      </w:r>
      <w:r>
        <w:rPr>
          <w:snapToGrid w:val="0"/>
        </w:rPr>
        <w:tab/>
        <w:t xml:space="preserve">in which, in the opinion of the Minister, there is petroleum; </w:t>
      </w:r>
    </w:p>
    <w:p>
      <w:pPr>
        <w:pStyle w:val="Indenta"/>
        <w:rPr>
          <w:snapToGrid w:val="0"/>
        </w:rPr>
      </w:pPr>
      <w:r>
        <w:rPr>
          <w:snapToGrid w:val="0"/>
        </w:rPr>
        <w:tab/>
      </w:r>
      <w:r>
        <w:rPr>
          <w:snapToGrid w:val="0"/>
        </w:rPr>
        <w:tab/>
        <w:t>or</w:t>
      </w:r>
    </w:p>
    <w:p>
      <w:pPr>
        <w:pStyle w:val="Indenta"/>
        <w:rPr>
          <w:snapToGrid w:val="0"/>
        </w:rPr>
      </w:pPr>
      <w:r>
        <w:rPr>
          <w:snapToGrid w:val="0"/>
        </w:rPr>
        <w:tab/>
        <w:t>(ba)</w:t>
      </w:r>
      <w:r>
        <w:rPr>
          <w:snapToGrid w:val="0"/>
        </w:rPr>
        <w:tab/>
        <w:t>a petroleum pool from which the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w:t>
      </w:r>
    </w:p>
    <w:p>
      <w:pPr>
        <w:pStyle w:val="Indenta"/>
        <w:rPr>
          <w:snapToGrid w:val="0"/>
        </w:rPr>
      </w:pPr>
      <w:r>
        <w:rPr>
          <w:snapToGrid w:val="0"/>
        </w:rPr>
        <w:tab/>
        <w:t>(c)</w:t>
      </w:r>
      <w:r>
        <w:rPr>
          <w:snapToGrid w:val="0"/>
        </w:rPr>
        <w:tab/>
        <w:t>invite applications for the grant of a 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spacing w:before="120"/>
        <w:rPr>
          <w:snapToGrid w:val="0"/>
        </w:rPr>
      </w:pPr>
      <w:r>
        <w:rPr>
          <w:snapToGrid w:val="0"/>
        </w:rPr>
        <w:tab/>
        <w:t>(2)</w:t>
      </w:r>
      <w:r>
        <w:rPr>
          <w:snapToGrid w:val="0"/>
        </w:rPr>
        <w:tab/>
        <w:t>The Minister shall, in an instrument under subsection (1), state — </w:t>
      </w:r>
    </w:p>
    <w:p>
      <w:pPr>
        <w:pStyle w:val="Indenta"/>
        <w:rPr>
          <w:snapToGrid w:val="0"/>
        </w:rPr>
      </w:pPr>
      <w:r>
        <w:rPr>
          <w:snapToGrid w:val="0"/>
        </w:rPr>
        <w:tab/>
        <w:t>(a)</w:t>
      </w:r>
      <w:r>
        <w:rPr>
          <w:snapToGrid w:val="0"/>
        </w:rPr>
        <w:tab/>
        <w:t>that an applicant is required to specify an amount that he would be prepared to pay in respect of the grant of a licence to him on his application; or</w:t>
      </w:r>
    </w:p>
    <w:p>
      <w:pPr>
        <w:pStyle w:val="Indenta"/>
        <w:rPr>
          <w:snapToGrid w:val="0"/>
        </w:rPr>
      </w:pPr>
      <w:r>
        <w:rPr>
          <w:snapToGrid w:val="0"/>
        </w:rPr>
        <w:tab/>
        <w:t>(b)</w:t>
      </w:r>
      <w:r>
        <w:rPr>
          <w:snapToGrid w:val="0"/>
        </w:rPr>
        <w:tab/>
        <w:t>that an applicant is required to specify a rate of royalty that he would be prepared to pay, if a licence were granted to him on his application, in respect of petroleum recovered under the licence, being a rate that exceeds 10% of the royalty value of that petroleum.</w:t>
      </w:r>
    </w:p>
    <w:p>
      <w:pPr>
        <w:pStyle w:val="Subsection"/>
        <w:spacing w:before="120"/>
        <w:rPr>
          <w:snapToGrid w:val="0"/>
        </w:rPr>
      </w:pPr>
      <w:r>
        <w:rPr>
          <w:snapToGrid w:val="0"/>
        </w:rPr>
        <w:tab/>
        <w:t>(3)</w:t>
      </w:r>
      <w:r>
        <w:rPr>
          <w:snapToGrid w:val="0"/>
        </w:rPr>
        <w:tab/>
        <w:t>Where the Minister, in an instrument under subsection (1), states that an applicant is required to specify a rate of royalty as mentioned in subsection (2)(b), the Minister may, in that instrument, state that an applicant on whose application he is prepared to grant a licence will also be required to pay to him, in respect of the grant of the licence to the applicant, the amount specified in that behalf in that instrument.</w:t>
      </w:r>
    </w:p>
    <w:p>
      <w:pPr>
        <w:pStyle w:val="Ednotesubsection"/>
      </w:pPr>
      <w:r>
        <w:tab/>
        <w:t>[(4) and (5)</w:t>
      </w:r>
      <w:r>
        <w:tab/>
        <w:t>repealed]</w:t>
      </w:r>
    </w:p>
    <w:p>
      <w:pPr>
        <w:pStyle w:val="Subsection"/>
        <w:spacing w:before="120"/>
        <w:rPr>
          <w:snapToGrid w:val="0"/>
        </w:rPr>
      </w:pPr>
      <w:r>
        <w:rPr>
          <w:snapToGrid w:val="0"/>
        </w:rPr>
        <w:tab/>
        <w:t>(6)</w:t>
      </w:r>
      <w:r>
        <w:rPr>
          <w:snapToGrid w:val="0"/>
        </w:rPr>
        <w:tab/>
        <w:t>An application under this section —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the particulars referred to in section 41(1)(c);</w:t>
      </w:r>
    </w:p>
    <w:p>
      <w:pPr>
        <w:pStyle w:val="Indenta"/>
        <w:spacing w:before="60"/>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Ednotepara"/>
        <w:spacing w:before="80"/>
        <w:ind w:left="1610" w:hanging="1610"/>
        <w:rPr>
          <w:snapToGrid w:val="0"/>
        </w:rPr>
      </w:pPr>
      <w:r>
        <w:rPr>
          <w:snapToGrid w:val="0"/>
        </w:rPr>
        <w:tab/>
        <w:t>[(e)</w:t>
      </w:r>
      <w:r>
        <w:rPr>
          <w:i w:val="0"/>
          <w:snapToGrid w:val="0"/>
        </w:rPr>
        <w:tab/>
      </w:r>
      <w:r>
        <w:rPr>
          <w:snapToGrid w:val="0"/>
        </w:rPr>
        <w:t>deleted]</w:t>
      </w:r>
    </w:p>
    <w:p>
      <w:pPr>
        <w:pStyle w:val="Indenta"/>
        <w:spacing w:before="60"/>
        <w:rPr>
          <w:snapToGrid w:val="0"/>
        </w:rPr>
      </w:pPr>
      <w:r>
        <w:rPr>
          <w:snapToGrid w:val="0"/>
        </w:rPr>
        <w:tab/>
        <w:t>(f)</w:t>
      </w:r>
      <w:r>
        <w:rPr>
          <w:snapToGrid w:val="0"/>
        </w:rPr>
        <w:tab/>
        <w:t>may set out any other matters that the applicant wishes the Minister to consider.</w:t>
      </w:r>
    </w:p>
    <w:p>
      <w:pPr>
        <w:pStyle w:val="Subsection"/>
        <w:spacing w:before="120"/>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00"/>
        <w:ind w:left="890" w:hanging="890"/>
      </w:pPr>
      <w:r>
        <w:tab/>
        <w:t xml:space="preserve">[Section 47 amended by No. 12 of 1990 s.182; No. 11 of 1994 s.9; No. 28 of 1994 s.95.] </w:t>
      </w:r>
    </w:p>
    <w:p>
      <w:pPr>
        <w:pStyle w:val="Heading5"/>
        <w:spacing w:before="200"/>
        <w:rPr>
          <w:snapToGrid w:val="0"/>
        </w:rPr>
      </w:pPr>
      <w:bookmarkStart w:id="385" w:name="_Toc501861733"/>
      <w:bookmarkStart w:id="386" w:name="_Toc113772489"/>
      <w:bookmarkStart w:id="387" w:name="_Toc170190584"/>
      <w:bookmarkStart w:id="388" w:name="_Toc157933558"/>
      <w:r>
        <w:rPr>
          <w:rStyle w:val="CharSectno"/>
        </w:rPr>
        <w:t>48</w:t>
      </w:r>
      <w:r>
        <w:rPr>
          <w:snapToGrid w:val="0"/>
        </w:rPr>
        <w:t>.</w:t>
      </w:r>
      <w:r>
        <w:rPr>
          <w:snapToGrid w:val="0"/>
        </w:rPr>
        <w:tab/>
        <w:t>Application fee, etc.</w:t>
      </w:r>
      <w:bookmarkEnd w:id="385"/>
      <w:bookmarkEnd w:id="386"/>
      <w:bookmarkEnd w:id="387"/>
      <w:bookmarkEnd w:id="388"/>
      <w:r>
        <w:rPr>
          <w:snapToGrid w:val="0"/>
        </w:rPr>
        <w:t xml:space="preserve"> </w:t>
      </w:r>
    </w:p>
    <w:p>
      <w:pPr>
        <w:pStyle w:val="Subsection"/>
        <w:spacing w:before="120"/>
        <w:rPr>
          <w:snapToGrid w:val="0"/>
        </w:rPr>
      </w:pPr>
      <w:r>
        <w:rPr>
          <w:snapToGrid w:val="0"/>
        </w:rPr>
        <w:tab/>
        <w:t>(1)</w:t>
      </w:r>
      <w:r>
        <w:rPr>
          <w:snapToGrid w:val="0"/>
        </w:rPr>
        <w:tab/>
        <w:t>An application under section 47 shall be accompanied by — </w:t>
      </w:r>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 </w:t>
      </w:r>
    </w:p>
    <w:p>
      <w:pPr>
        <w:pStyle w:val="Indenti"/>
        <w:spacing w:before="60"/>
        <w:rPr>
          <w:snapToGrid w:val="0"/>
        </w:rPr>
      </w:pPr>
      <w:r>
        <w:rPr>
          <w:snapToGrid w:val="0"/>
        </w:rPr>
        <w:tab/>
        <w:t>(i)</w:t>
      </w:r>
      <w:r>
        <w:rPr>
          <w:snapToGrid w:val="0"/>
        </w:rPr>
        <w:tab/>
        <w:t>if the applicant has specified an amount that he would be prepared to pay in respect of the grant of a licence to him on the application, of 10% of that amount; or</w:t>
      </w:r>
    </w:p>
    <w:p>
      <w:pPr>
        <w:pStyle w:val="Indenti"/>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t>Where an applicant on whom there has been served an instrument under section 49(1) does not request the Minister, under section 49(6), to grant to him the licence referred to in the instrument, the deposit shall not, unless the Minister otherwise determines, be refunded to the applicant.</w:t>
      </w:r>
    </w:p>
    <w:p>
      <w:pPr>
        <w:pStyle w:val="Footnotesection"/>
      </w:pPr>
      <w:r>
        <w:tab/>
        <w:t xml:space="preserve">[Section 48 amended by No. 12 of 1990 s.183.] </w:t>
      </w:r>
    </w:p>
    <w:p>
      <w:pPr>
        <w:pStyle w:val="Heading5"/>
        <w:rPr>
          <w:snapToGrid w:val="0"/>
        </w:rPr>
      </w:pPr>
      <w:bookmarkStart w:id="389" w:name="_Toc501861734"/>
      <w:bookmarkStart w:id="390" w:name="_Toc113772490"/>
      <w:bookmarkStart w:id="391" w:name="_Toc170190585"/>
      <w:bookmarkStart w:id="392" w:name="_Toc157933559"/>
      <w:r>
        <w:rPr>
          <w:rStyle w:val="CharSectno"/>
        </w:rPr>
        <w:t>49</w:t>
      </w:r>
      <w:r>
        <w:rPr>
          <w:snapToGrid w:val="0"/>
        </w:rPr>
        <w:t>.</w:t>
      </w:r>
      <w:r>
        <w:rPr>
          <w:snapToGrid w:val="0"/>
        </w:rPr>
        <w:tab/>
        <w:t>Request by applicant for grant of licence</w:t>
      </w:r>
      <w:bookmarkEnd w:id="389"/>
      <w:bookmarkEnd w:id="390"/>
      <w:bookmarkEnd w:id="391"/>
      <w:bookmarkEnd w:id="392"/>
      <w:r>
        <w:rPr>
          <w:snapToGrid w:val="0"/>
        </w:rPr>
        <w:t xml:space="preserve"> </w:t>
      </w:r>
    </w:p>
    <w:p>
      <w:pPr>
        <w:pStyle w:val="Subsection"/>
        <w:spacing w:before="140"/>
        <w:rPr>
          <w:snapToGrid w:val="0"/>
        </w:rPr>
      </w:pPr>
      <w:r>
        <w:rPr>
          <w:snapToGrid w:val="0"/>
        </w:rPr>
        <w:tab/>
        <w:t>(1)</w:t>
      </w:r>
      <w:r>
        <w:rPr>
          <w:snapToGrid w:val="0"/>
        </w:rPr>
        <w:tab/>
        <w:t>Where, at the expiration of the period specified in an instrument under section 47(1), only one application has been made under that subsection in respect of the block specified in the instrument, the Minister may reject the application or may, by instrument in writing served on the applicant, inform him that he is prepared to grant him a licence in respect of that block.</w:t>
      </w:r>
    </w:p>
    <w:p>
      <w:pPr>
        <w:pStyle w:val="Subsection"/>
        <w:spacing w:before="140"/>
        <w:rPr>
          <w:snapToGrid w:val="0"/>
        </w:rPr>
      </w:pPr>
      <w:r>
        <w:rPr>
          <w:snapToGrid w:val="0"/>
        </w:rPr>
        <w:tab/>
        <w:t>(2)</w:t>
      </w:r>
      <w:r>
        <w:rPr>
          <w:snapToGrid w:val="0"/>
        </w:rPr>
        <w:tab/>
        <w:t>Where, at the expiration of the period specified in an instrument under section 47(1), 2 or more applications have been made under that subsection in respect of the block specified in the instrument, the Minister may reject any or all of the applications and, if he does not reject all of the applications, may — </w:t>
      </w:r>
    </w:p>
    <w:p>
      <w:pPr>
        <w:pStyle w:val="Indenta"/>
        <w:rPr>
          <w:snapToGrid w:val="0"/>
        </w:rPr>
      </w:pPr>
      <w:r>
        <w:rPr>
          <w:snapToGrid w:val="0"/>
        </w:rPr>
        <w:tab/>
        <w:t>(a)</w:t>
      </w:r>
      <w:r>
        <w:rPr>
          <w:snapToGrid w:val="0"/>
        </w:rPr>
        <w:tab/>
        <w:t>if only one application remains unrejected, by instrument in writing served on the applicant; or</w:t>
      </w:r>
    </w:p>
    <w:p>
      <w:pPr>
        <w:pStyle w:val="Indenta"/>
        <w:rPr>
          <w:snapToGrid w:val="0"/>
        </w:rPr>
      </w:pPr>
      <w:r>
        <w:rPr>
          <w:snapToGrid w:val="0"/>
        </w:rPr>
        <w:tab/>
        <w:t>(b)</w:t>
      </w:r>
      <w:r>
        <w:rPr>
          <w:snapToGrid w:val="0"/>
        </w:rPr>
        <w:tab/>
        <w:t>if 2 or more applications remain unrejected, by instrument in writing served on the applicant, or on one of the applicants, whose application has not been rejected and who has specified in his application an amount, or a rate of royalty, that he would be prepared to pay that is not less than the amount, or the rate of royalty, specified in the application of any other applicant whose application has not been rejected,</w:t>
      </w:r>
    </w:p>
    <w:p>
      <w:pPr>
        <w:pStyle w:val="Subsection"/>
        <w:spacing w:before="120"/>
        <w:rPr>
          <w:snapToGrid w:val="0"/>
        </w:rPr>
      </w:pPr>
      <w:r>
        <w:rPr>
          <w:snapToGrid w:val="0"/>
        </w:rPr>
        <w:tab/>
      </w:r>
      <w:r>
        <w:rPr>
          <w:snapToGrid w:val="0"/>
        </w:rPr>
        <w:tab/>
        <w:t>inform the applicant — </w:t>
      </w:r>
    </w:p>
    <w:p>
      <w:pPr>
        <w:pStyle w:val="Indenta"/>
        <w:rPr>
          <w:snapToGrid w:val="0"/>
        </w:rPr>
      </w:pPr>
      <w:r>
        <w:rPr>
          <w:snapToGrid w:val="0"/>
        </w:rPr>
        <w:tab/>
        <w:t>(c)</w:t>
      </w:r>
      <w:r>
        <w:rPr>
          <w:snapToGrid w:val="0"/>
        </w:rPr>
        <w:tab/>
        <w:t>that the Minister is prepared to grant to the applicant a licence in respect of that block; and</w:t>
      </w:r>
    </w:p>
    <w:p>
      <w:pPr>
        <w:pStyle w:val="Indenta"/>
        <w:rPr>
          <w:snapToGrid w:val="0"/>
        </w:rPr>
      </w:pPr>
      <w:r>
        <w:rPr>
          <w:snapToGrid w:val="0"/>
        </w:rPr>
        <w:tab/>
        <w:t>(d)</w:t>
      </w:r>
      <w:r>
        <w:rPr>
          <w:snapToGrid w:val="0"/>
        </w:rPr>
        <w:tab/>
        <w:t>that the applicant will be required to pay — </w:t>
      </w:r>
    </w:p>
    <w:p>
      <w:pPr>
        <w:pStyle w:val="Indenti"/>
        <w:rPr>
          <w:snapToGrid w:val="0"/>
        </w:rPr>
      </w:pPr>
      <w:r>
        <w:rPr>
          <w:snapToGrid w:val="0"/>
        </w:rPr>
        <w:tab/>
        <w:t>(i)</w:t>
      </w:r>
      <w:r>
        <w:rPr>
          <w:snapToGrid w:val="0"/>
        </w:rPr>
        <w:tab/>
        <w:t>the amount specified in the application;</w:t>
      </w:r>
    </w:p>
    <w:p>
      <w:pPr>
        <w:pStyle w:val="Indenti"/>
        <w:rPr>
          <w:snapToGrid w:val="0"/>
        </w:rPr>
      </w:pPr>
      <w:r>
        <w:rPr>
          <w:snapToGrid w:val="0"/>
        </w:rPr>
        <w:tab/>
        <w:t>(ii)</w:t>
      </w:r>
      <w:r>
        <w:rPr>
          <w:snapToGrid w:val="0"/>
        </w:rPr>
        <w:tab/>
        <w:t>royalty at the rate specified in the application; or</w:t>
      </w:r>
    </w:p>
    <w:p>
      <w:pPr>
        <w:pStyle w:val="Indenti"/>
        <w:rPr>
          <w:snapToGrid w:val="0"/>
        </w:rPr>
      </w:pPr>
      <w:r>
        <w:rPr>
          <w:snapToGrid w:val="0"/>
        </w:rPr>
        <w:tab/>
        <w:t>(iii)</w:t>
      </w:r>
      <w:r>
        <w:rPr>
          <w:snapToGrid w:val="0"/>
        </w:rPr>
        <w:tab/>
        <w:t>royalty at the rate specified in the application and the amount specified in the instrument under section 47(1),</w:t>
      </w:r>
    </w:p>
    <w:p>
      <w:pPr>
        <w:pStyle w:val="Indenta"/>
        <w:rPr>
          <w:snapToGrid w:val="0"/>
        </w:rPr>
      </w:pPr>
      <w:r>
        <w:rPr>
          <w:snapToGrid w:val="0"/>
        </w:rPr>
        <w:tab/>
      </w:r>
      <w:r>
        <w:rPr>
          <w:snapToGrid w:val="0"/>
        </w:rPr>
        <w:tab/>
        <w:t>as the case may be.</w:t>
      </w:r>
    </w:p>
    <w:p>
      <w:pPr>
        <w:pStyle w:val="Ednotesubsection"/>
      </w:pPr>
      <w:r>
        <w:tab/>
        <w:t>[(3) and (4)</w:t>
      </w:r>
      <w:r>
        <w:tab/>
        <w:t>repealed]</w:t>
      </w:r>
    </w:p>
    <w:p>
      <w:pPr>
        <w:pStyle w:val="Subsection"/>
        <w:spacing w:before="120"/>
        <w:rPr>
          <w:snapToGrid w:val="0"/>
        </w:rPr>
      </w:pPr>
      <w:r>
        <w:rPr>
          <w:snapToGrid w:val="0"/>
        </w:rPr>
        <w:tab/>
        <w:t>(5)</w:t>
      </w:r>
      <w:r>
        <w:rPr>
          <w:snapToGrid w:val="0"/>
        </w:rPr>
        <w:tab/>
        <w:t>An instrument under any of the preceding provisions of this section shall contain — </w:t>
      </w:r>
    </w:p>
    <w:p>
      <w:pPr>
        <w:pStyle w:val="Indenta"/>
        <w:rPr>
          <w:snapToGrid w:val="0"/>
        </w:rPr>
      </w:pPr>
      <w:r>
        <w:rPr>
          <w:snapToGrid w:val="0"/>
        </w:rPr>
        <w:tab/>
        <w:t>(a)</w:t>
      </w:r>
      <w:r>
        <w:rPr>
          <w:snapToGrid w:val="0"/>
        </w:rPr>
        <w:tab/>
        <w:t>a summary of the conditions subject to which the licence is to be granted;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spacing w:before="60"/>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spacing w:val="-3"/>
        </w:rPr>
      </w:pPr>
      <w:r>
        <w:rPr>
          <w:snapToGrid w:val="0"/>
          <w:spacing w:val="-3"/>
        </w:rPr>
        <w:tab/>
        <w:t>(ii)</w:t>
      </w:r>
      <w:r>
        <w:rPr>
          <w:snapToGrid w:val="0"/>
          <w:spacing w:val="-3"/>
        </w:rPr>
        <w:tab/>
        <w:t>in a case where the instrument contains a statement referred to in paragraph (b), if the applicant does not pay the balance of the amount referred to in that statement or enter into an agreement under section 109 in respect of that balance.</w:t>
      </w:r>
    </w:p>
    <w:p>
      <w:pPr>
        <w:pStyle w:val="Subsection"/>
        <w:spacing w:before="120"/>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 </w:t>
      </w:r>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 him, pay that balance or enter into an agreement under section 109 in respect of that balance.</w:t>
      </w:r>
    </w:p>
    <w:p>
      <w:pPr>
        <w:pStyle w:val="Subsection"/>
        <w:spacing w:before="120"/>
        <w:rPr>
          <w:snapToGrid w:val="0"/>
        </w:rPr>
      </w:pPr>
      <w:r>
        <w:rPr>
          <w:snapToGrid w:val="0"/>
        </w:rPr>
        <w:tab/>
        <w:t>(7)</w:t>
      </w:r>
      <w:r>
        <w:rPr>
          <w:snapToGrid w:val="0"/>
        </w:rPr>
        <w:tab/>
        <w:t>Where an applicant on whom there has been served an instrument under subsection (1) or (2) — </w:t>
      </w:r>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not paid that balance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(6), the application lapses upon the expiration of that period.</w:t>
      </w:r>
    </w:p>
    <w:p>
      <w:pPr>
        <w:pStyle w:val="Subsection"/>
        <w:spacing w:before="120"/>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 xml:space="preserve">[Section 49 amended by No. 12 of 1990 s.184; No. 28 of 1994 s.96.] </w:t>
      </w:r>
    </w:p>
    <w:p>
      <w:pPr>
        <w:pStyle w:val="Heading5"/>
        <w:spacing w:before="180"/>
        <w:rPr>
          <w:snapToGrid w:val="0"/>
        </w:rPr>
      </w:pPr>
      <w:bookmarkStart w:id="393" w:name="_Toc501861735"/>
      <w:bookmarkStart w:id="394" w:name="_Toc113772491"/>
      <w:bookmarkStart w:id="395" w:name="_Toc170190586"/>
      <w:bookmarkStart w:id="396" w:name="_Toc157933560"/>
      <w:r>
        <w:rPr>
          <w:rStyle w:val="CharSectno"/>
        </w:rPr>
        <w:t>50</w:t>
      </w:r>
      <w:r>
        <w:rPr>
          <w:snapToGrid w:val="0"/>
        </w:rPr>
        <w:t>.</w:t>
      </w:r>
      <w:r>
        <w:rPr>
          <w:snapToGrid w:val="0"/>
        </w:rPr>
        <w:tab/>
        <w:t>Grant of licence on request</w:t>
      </w:r>
      <w:bookmarkEnd w:id="393"/>
      <w:bookmarkEnd w:id="394"/>
      <w:bookmarkEnd w:id="395"/>
      <w:bookmarkEnd w:id="396"/>
      <w:r>
        <w:rPr>
          <w:snapToGrid w:val="0"/>
        </w:rPr>
        <w:t xml:space="preserve"> </w:t>
      </w:r>
    </w:p>
    <w:p>
      <w:pPr>
        <w:pStyle w:val="Subsection"/>
        <w:spacing w:before="120"/>
        <w:rPr>
          <w:snapToGrid w:val="0"/>
        </w:rPr>
      </w:pPr>
      <w:r>
        <w:rPr>
          <w:snapToGrid w:val="0"/>
        </w:rPr>
        <w:tab/>
      </w:r>
      <w:r>
        <w:rPr>
          <w:snapToGrid w:val="0"/>
        </w:rPr>
        <w:tab/>
        <w:t>Where an applicant on whom there has been served an instrument under section 49 — </w:t>
      </w:r>
    </w:p>
    <w:p>
      <w:pPr>
        <w:pStyle w:val="Indenta"/>
        <w:rPr>
          <w:snapToGrid w:val="0"/>
        </w:rPr>
      </w:pPr>
      <w:r>
        <w:rPr>
          <w:snapToGrid w:val="0"/>
        </w:rPr>
        <w:tab/>
        <w:t>(a)</w:t>
      </w:r>
      <w:r>
        <w:rPr>
          <w:snapToGrid w:val="0"/>
        </w:rPr>
        <w:tab/>
        <w:t>has made a request under section 49(6); and</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paid that balance or entered into an agreement under section 109 in respect of that balance,</w:t>
      </w:r>
    </w:p>
    <w:p>
      <w:pPr>
        <w:pStyle w:val="Subsection"/>
        <w:rPr>
          <w:snapToGrid w:val="0"/>
        </w:rPr>
      </w:pPr>
      <w:r>
        <w:rPr>
          <w:snapToGrid w:val="0"/>
        </w:rPr>
        <w:tab/>
      </w:r>
      <w:r>
        <w:rPr>
          <w:snapToGrid w:val="0"/>
        </w:rPr>
        <w:tab/>
        <w:t>within the period applicable under section 49(6), the Minister shall grant to him a production licence for petroleum in respect of the block specified in the instrument.</w:t>
      </w:r>
    </w:p>
    <w:p>
      <w:pPr>
        <w:pStyle w:val="Footnotesection"/>
      </w:pPr>
      <w:r>
        <w:tab/>
        <w:t xml:space="preserve">[Section 50 amended by No. 28 of 1994 s.97.] </w:t>
      </w:r>
    </w:p>
    <w:p>
      <w:pPr>
        <w:pStyle w:val="Heading5"/>
        <w:rPr>
          <w:snapToGrid w:val="0"/>
        </w:rPr>
      </w:pPr>
      <w:bookmarkStart w:id="397" w:name="_Toc501861736"/>
      <w:bookmarkStart w:id="398" w:name="_Toc113772492"/>
      <w:bookmarkStart w:id="399" w:name="_Toc170190587"/>
      <w:bookmarkStart w:id="400" w:name="_Toc157933561"/>
      <w:r>
        <w:rPr>
          <w:rStyle w:val="CharSectno"/>
        </w:rPr>
        <w:t>51</w:t>
      </w:r>
      <w:r>
        <w:rPr>
          <w:snapToGrid w:val="0"/>
        </w:rPr>
        <w:t>.</w:t>
      </w:r>
      <w:r>
        <w:rPr>
          <w:snapToGrid w:val="0"/>
        </w:rPr>
        <w:tab/>
        <w:t>Grant of licences in respect of individual blocks</w:t>
      </w:r>
      <w:bookmarkEnd w:id="397"/>
      <w:bookmarkEnd w:id="398"/>
      <w:bookmarkEnd w:id="399"/>
      <w:bookmarkEnd w:id="400"/>
      <w:r>
        <w:rPr>
          <w:snapToGrid w:val="0"/>
        </w:rPr>
        <w:t xml:space="preserve"> </w:t>
      </w:r>
    </w:p>
    <w:p>
      <w:pPr>
        <w:pStyle w:val="Subsection"/>
        <w:rPr>
          <w:snapToGrid w:val="0"/>
        </w:rPr>
      </w:pPr>
      <w:r>
        <w:rPr>
          <w:snapToGrid w:val="0"/>
        </w:rPr>
        <w:tab/>
        <w:t>(1)</w:t>
      </w:r>
      <w:r>
        <w:rPr>
          <w:snapToGrid w:val="0"/>
        </w:rPr>
        <w:tab/>
        <w:t xml:space="preserve">Where a licence (in this section called </w:t>
      </w:r>
      <w:r>
        <w:rPr>
          <w:b/>
          <w:snapToGrid w:val="0"/>
        </w:rPr>
        <w:t>“</w:t>
      </w:r>
      <w:r>
        <w:rPr>
          <w:rStyle w:val="CharDefText"/>
        </w:rPr>
        <w:t>the original licence</w:t>
      </w:r>
      <w:r>
        <w:rPr>
          <w:b/>
          <w:snapToGrid w:val="0"/>
        </w:rPr>
        <w:t>”</w:t>
      </w:r>
      <w:r>
        <w:rPr>
          <w:snapToGrid w:val="0"/>
        </w:rPr>
        <w:t>) is in force in respect of 2 or more blocks (not being blocks that form, or form part of, a location), the licensee may make an application to the Minister for the grant to him of 2 or more licences 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licences required;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repealed]</w:t>
      </w:r>
    </w:p>
    <w:p>
      <w:pPr>
        <w:pStyle w:val="Subsection"/>
        <w:rPr>
          <w:snapToGrid w:val="0"/>
        </w:rPr>
      </w:pPr>
      <w:r>
        <w:rPr>
          <w:snapToGrid w:val="0"/>
        </w:rPr>
        <w:tab/>
        <w:t>(4)</w:t>
      </w:r>
      <w:r>
        <w:rPr>
          <w:snapToGrid w:val="0"/>
        </w:rPr>
        <w:tab/>
        <w:t>Where a licensee has made an application under this section, the Minister shall grant to the licensee production licences for petroleum in accordance with the application.</w:t>
      </w:r>
    </w:p>
    <w:p>
      <w:pPr>
        <w:pStyle w:val="Subsection"/>
        <w:rPr>
          <w:snapToGrid w:val="0"/>
        </w:rPr>
      </w:pPr>
      <w:r>
        <w:rPr>
          <w:snapToGrid w:val="0"/>
        </w:rPr>
        <w:tab/>
        <w:t>(5)</w:t>
      </w:r>
      <w:r>
        <w:rPr>
          <w:snapToGrid w:val="0"/>
        </w:rPr>
        <w:tab/>
        <w:t>A licence granted on an application under this section — </w:t>
      </w:r>
    </w:p>
    <w:p>
      <w:pPr>
        <w:pStyle w:val="Indenta"/>
        <w:rPr>
          <w:snapToGrid w:val="0"/>
        </w:rPr>
      </w:pPr>
      <w:r>
        <w:rPr>
          <w:snapToGrid w:val="0"/>
        </w:rPr>
        <w:tab/>
        <w:t>(a)</w:t>
      </w:r>
      <w:r>
        <w:rPr>
          <w:snapToGrid w:val="0"/>
        </w:rPr>
        <w:tab/>
        <w:t>remains in force, subject to this Part, but notwithstanding section 53, for the remainder of the term of the original licence; and</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Subsection"/>
        <w:rPr>
          <w:snapToGrid w:val="0"/>
        </w:rPr>
      </w:pPr>
      <w:r>
        <w:rPr>
          <w:snapToGrid w:val="0"/>
        </w:rPr>
        <w:tab/>
        <w:t>(6)</w:t>
      </w:r>
      <w:r>
        <w:rPr>
          <w:snapToGrid w:val="0"/>
        </w:rPr>
        <w:tab/>
        <w:t>Where licences are granted on an application under this section — </w:t>
      </w:r>
    </w:p>
    <w:p>
      <w:pPr>
        <w:pStyle w:val="Indenta"/>
        <w:rPr>
          <w:snapToGrid w:val="0"/>
        </w:rPr>
      </w:pPr>
      <w:r>
        <w:rPr>
          <w:snapToGrid w:val="0"/>
        </w:rPr>
        <w:tab/>
        <w:t>(a)</w:t>
      </w:r>
      <w:r>
        <w:rPr>
          <w:snapToGrid w:val="0"/>
        </w:rPr>
        <w:tab/>
        <w:t>the original licence is, by force of this subsection, determined; and</w:t>
      </w:r>
    </w:p>
    <w:p>
      <w:pPr>
        <w:pStyle w:val="Indenta"/>
        <w:rPr>
          <w:snapToGrid w:val="0"/>
        </w:rPr>
      </w:pPr>
      <w:r>
        <w:rPr>
          <w:snapToGrid w:val="0"/>
        </w:rPr>
        <w:tab/>
        <w:t>(b)</w:t>
      </w:r>
      <w:r>
        <w:rPr>
          <w:snapToGrid w:val="0"/>
        </w:rPr>
        <w:tab/>
        <w:t>the determination has effect on and from the day on which those licences come into force.</w:t>
      </w:r>
    </w:p>
    <w:p>
      <w:pPr>
        <w:pStyle w:val="Footnotesection"/>
      </w:pPr>
      <w:r>
        <w:tab/>
        <w:t xml:space="preserve">[Section 51 amended by No. 12 of 1990 s.185; No. 28 of 1994 s.98.] </w:t>
      </w:r>
    </w:p>
    <w:p>
      <w:pPr>
        <w:pStyle w:val="Heading5"/>
        <w:rPr>
          <w:snapToGrid w:val="0"/>
        </w:rPr>
      </w:pPr>
      <w:bookmarkStart w:id="401" w:name="_Toc501861737"/>
      <w:bookmarkStart w:id="402" w:name="_Toc113772493"/>
      <w:bookmarkStart w:id="403" w:name="_Toc170190588"/>
      <w:bookmarkStart w:id="404" w:name="_Toc157933562"/>
      <w:r>
        <w:rPr>
          <w:rStyle w:val="CharSectno"/>
        </w:rPr>
        <w:t>52</w:t>
      </w:r>
      <w:r>
        <w:rPr>
          <w:snapToGrid w:val="0"/>
        </w:rPr>
        <w:t>.</w:t>
      </w:r>
      <w:r>
        <w:rPr>
          <w:snapToGrid w:val="0"/>
        </w:rPr>
        <w:tab/>
        <w:t>Rights conferred by licence</w:t>
      </w:r>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 xml:space="preserve">A licence, while it remains in force, authorizes the licensee, subject to this Act and </w:t>
      </w:r>
      <w:del w:id="405" w:author="svcMRProcess" w:date="2020-02-19T21:14:00Z">
        <w:r>
          <w:rPr>
            <w:snapToGrid w:val="0"/>
          </w:rPr>
          <w:delText xml:space="preserve">the regulations and </w:delText>
        </w:r>
      </w:del>
      <w:r>
        <w:rPr>
          <w:snapToGrid w:val="0"/>
        </w:rPr>
        <w:t>in accordance with the conditions to which the licence is subject — </w:t>
      </w:r>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Footnotesection"/>
        <w:rPr>
          <w:ins w:id="406" w:author="svcMRProcess" w:date="2020-02-19T21:14:00Z"/>
        </w:rPr>
      </w:pPr>
      <w:ins w:id="407" w:author="svcMRProcess" w:date="2020-02-19T21:14:00Z">
        <w:r>
          <w:tab/>
          <w:t>[Section 52 amended by No. 13 of 2005 s. 46(1).]</w:t>
        </w:r>
      </w:ins>
    </w:p>
    <w:p>
      <w:pPr>
        <w:pStyle w:val="Ednotesection"/>
      </w:pPr>
      <w:r>
        <w:t>[</w:t>
      </w:r>
      <w:r>
        <w:rPr>
          <w:b/>
        </w:rPr>
        <w:t>52A</w:t>
      </w:r>
      <w:r>
        <w:t>.</w:t>
      </w:r>
      <w:r>
        <w:tab/>
        <w:t xml:space="preserve">Repealed by No. 52 of 1995 s.39.] </w:t>
      </w:r>
    </w:p>
    <w:p>
      <w:pPr>
        <w:pStyle w:val="Heading5"/>
        <w:rPr>
          <w:snapToGrid w:val="0"/>
        </w:rPr>
      </w:pPr>
      <w:bookmarkStart w:id="408" w:name="_Toc501861738"/>
      <w:bookmarkStart w:id="409" w:name="_Toc113772494"/>
      <w:bookmarkStart w:id="410" w:name="_Toc170190589"/>
      <w:bookmarkStart w:id="411" w:name="_Toc157933563"/>
      <w:r>
        <w:rPr>
          <w:rStyle w:val="CharSectno"/>
        </w:rPr>
        <w:t>53</w:t>
      </w:r>
      <w:r>
        <w:rPr>
          <w:snapToGrid w:val="0"/>
        </w:rPr>
        <w:t>.</w:t>
      </w:r>
      <w:r>
        <w:rPr>
          <w:snapToGrid w:val="0"/>
        </w:rPr>
        <w:tab/>
        <w:t>Term of licence</w:t>
      </w:r>
      <w:bookmarkEnd w:id="408"/>
      <w:bookmarkEnd w:id="409"/>
      <w:bookmarkEnd w:id="410"/>
      <w:bookmarkEnd w:id="411"/>
      <w:r>
        <w:rPr>
          <w:snapToGrid w:val="0"/>
        </w:rPr>
        <w:t xml:space="preserve"> </w:t>
      </w:r>
    </w:p>
    <w:p>
      <w:pPr>
        <w:pStyle w:val="Subsection"/>
        <w:rPr>
          <w:snapToGrid w:val="0"/>
        </w:rPr>
      </w:pPr>
      <w:r>
        <w:rPr>
          <w:snapToGrid w:val="0"/>
        </w:rPr>
        <w:tab/>
      </w:r>
      <w:r>
        <w:rPr>
          <w:snapToGrid w:val="0"/>
        </w:rPr>
        <w:tab/>
        <w:t>Subject to this Part, a licence remains in force — </w:t>
      </w:r>
    </w:p>
    <w:p>
      <w:pPr>
        <w:pStyle w:val="Indenta"/>
        <w:rPr>
          <w:snapToGrid w:val="0"/>
        </w:rPr>
      </w:pPr>
      <w:r>
        <w:rPr>
          <w:snapToGrid w:val="0"/>
        </w:rPr>
        <w:tab/>
        <w:t>(a)</w:t>
      </w:r>
      <w:r>
        <w:rPr>
          <w:snapToGrid w:val="0"/>
        </w:rPr>
        <w:tab/>
        <w:t>in the case of a licence granted otherwise than by way of renewal of a licence, for the period of 21 years commencing on the day on which the licence is granted or, if a later day is specified in the licence as being the day on which the licence is to come into force, on the later day;</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date is specified in the licence as being the day on which the licence is to come into force, on that later day; and</w:t>
      </w:r>
    </w:p>
    <w:p>
      <w:pPr>
        <w:pStyle w:val="Indenta"/>
        <w:rPr>
          <w:snapToGrid w:val="0"/>
        </w:rPr>
      </w:pPr>
      <w:r>
        <w:rPr>
          <w:snapToGrid w:val="0"/>
        </w:rPr>
        <w:tab/>
        <w:t>(c)</w:t>
      </w:r>
      <w:r>
        <w:rPr>
          <w:snapToGrid w:val="0"/>
        </w:rPr>
        <w:tab/>
        <w:t>in the case of a licence granted by way of the renewal, other than the first renewal, of a licence, for such period, commencing on the day on which the licence is granted, or, if a later day is specified in the licence as being the day on which the licence is to come into force, on that later day, as the Minister determines and specifies in the licence, being a period not exceeding 21 years.</w:t>
      </w:r>
    </w:p>
    <w:p>
      <w:pPr>
        <w:pStyle w:val="Footnotesection"/>
      </w:pPr>
      <w:r>
        <w:tab/>
        <w:t xml:space="preserve">[Section 53 amended by No. 12 of 1990 s.186.] </w:t>
      </w:r>
    </w:p>
    <w:p>
      <w:pPr>
        <w:pStyle w:val="Heading5"/>
        <w:rPr>
          <w:snapToGrid w:val="0"/>
        </w:rPr>
      </w:pPr>
      <w:bookmarkStart w:id="412" w:name="_Toc501861739"/>
      <w:bookmarkStart w:id="413" w:name="_Toc113772495"/>
      <w:bookmarkStart w:id="414" w:name="_Toc170190590"/>
      <w:bookmarkStart w:id="415" w:name="_Toc157933564"/>
      <w:r>
        <w:rPr>
          <w:rStyle w:val="CharSectno"/>
        </w:rPr>
        <w:t>54</w:t>
      </w:r>
      <w:r>
        <w:rPr>
          <w:snapToGrid w:val="0"/>
        </w:rPr>
        <w:t>.</w:t>
      </w:r>
      <w:r>
        <w:rPr>
          <w:snapToGrid w:val="0"/>
        </w:rPr>
        <w:tab/>
        <w:t>Application for renewal of licence</w:t>
      </w:r>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A licensee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 xml:space="preserve">[Section 54 amended by No. 12 of 1990 s.187.] </w:t>
      </w:r>
    </w:p>
    <w:p>
      <w:pPr>
        <w:pStyle w:val="Heading5"/>
        <w:rPr>
          <w:snapToGrid w:val="0"/>
        </w:rPr>
      </w:pPr>
      <w:bookmarkStart w:id="416" w:name="_Toc501861740"/>
      <w:bookmarkStart w:id="417" w:name="_Toc113772496"/>
      <w:bookmarkStart w:id="418" w:name="_Toc170190591"/>
      <w:bookmarkStart w:id="419" w:name="_Toc157933565"/>
      <w:r>
        <w:rPr>
          <w:rStyle w:val="CharSectno"/>
        </w:rPr>
        <w:t>55</w:t>
      </w:r>
      <w:r>
        <w:rPr>
          <w:snapToGrid w:val="0"/>
        </w:rPr>
        <w:t>.</w:t>
      </w:r>
      <w:r>
        <w:rPr>
          <w:snapToGrid w:val="0"/>
        </w:rPr>
        <w:tab/>
        <w:t>Grant or refusal of renewal of licence</w:t>
      </w:r>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rPr>
          <w:snapToGrid w:val="0"/>
        </w:rPr>
      </w:pPr>
      <w:r>
        <w:rPr>
          <w:snapToGrid w:val="0"/>
        </w:rPr>
        <w:tab/>
      </w:r>
      <w:r>
        <w:rPr>
          <w:snapToGrid w:val="0"/>
        </w:rPr>
        <w:tab/>
        <w:t>the Minister — </w:t>
      </w:r>
    </w:p>
    <w:p>
      <w:pPr>
        <w:pStyle w:val="Indenta"/>
        <w:rPr>
          <w:snapToGrid w:val="0"/>
        </w:rPr>
      </w:pPr>
      <w:r>
        <w:rPr>
          <w:snapToGrid w:val="0"/>
        </w:rPr>
        <w:tab/>
        <w:t>(c)</w:t>
      </w:r>
      <w:r>
        <w:rPr>
          <w:snapToGrid w:val="0"/>
        </w:rPr>
        <w:tab/>
        <w:t>shall, if the application is in respect of the first renewal of the licence; or</w:t>
      </w:r>
    </w:p>
    <w:p>
      <w:pPr>
        <w:pStyle w:val="Indenta"/>
        <w:rPr>
          <w:snapToGrid w:val="0"/>
        </w:rPr>
      </w:pPr>
      <w:r>
        <w:rPr>
          <w:snapToGrid w:val="0"/>
        </w:rPr>
        <w:tab/>
        <w:t>(d)</w:t>
      </w:r>
      <w:r>
        <w:rPr>
          <w:snapToGrid w:val="0"/>
        </w:rPr>
        <w:tab/>
        <w:t>may, if the application is in respect of a renewal other than the first renewal of the licence,</w:t>
      </w:r>
    </w:p>
    <w:p>
      <w:pPr>
        <w:pStyle w:val="Subsection"/>
        <w:rPr>
          <w:snapToGrid w:val="0"/>
        </w:rPr>
      </w:pPr>
      <w:r>
        <w:rPr>
          <w:snapToGrid w:val="0"/>
        </w:rPr>
        <w:tab/>
      </w:r>
      <w:r>
        <w:rPr>
          <w:snapToGrid w:val="0"/>
        </w:rPr>
        <w:tab/>
        <w:t>by instrument in writing served on the person who is then the licensee, inform that person that the Minister is prepared to grant to that person the renewal of the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spacing w:before="120"/>
        <w:rPr>
          <w:snapToGrid w:val="0"/>
        </w:rPr>
      </w:pPr>
      <w:r>
        <w:rPr>
          <w:snapToGrid w:val="0"/>
        </w:rPr>
        <w:tab/>
      </w:r>
      <w:r>
        <w:rPr>
          <w:snapToGrid w:val="0"/>
        </w:rPr>
        <w:tab/>
        <w:t>the Minister may, by instrument in writing served on the person who is then the licensee, inform the person that the Minister is prepared to grant to that person the renewal of the licence.</w:t>
      </w:r>
    </w:p>
    <w:p>
      <w:pPr>
        <w:pStyle w:val="Subsection"/>
        <w:spacing w:before="120"/>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 xml:space="preserve">specified a date on or before which the licensee or a person on whom a copy of the instrument is served may, by instrument in writing served on the Minister, submit any matters that he wishes the Minister to consider;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54 in respect of a renewal other than the first renewal of the licence, the Minister may, by instrument in writing served on the person who is then the licensee, refuse to grant the renewal of the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shall contain —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 </w:t>
      </w:r>
    </w:p>
    <w:p>
      <w:pPr>
        <w:pStyle w:val="Indenta"/>
        <w:rPr>
          <w:snapToGrid w:val="0"/>
        </w:rPr>
      </w:pPr>
      <w:r>
        <w:rPr>
          <w:snapToGrid w:val="0"/>
        </w:rPr>
        <w:tab/>
        <w:t>(a)</w:t>
      </w:r>
      <w:r>
        <w:rPr>
          <w:snapToGrid w:val="0"/>
        </w:rPr>
        <w:tab/>
        <w:t>an application for the renewal of a licence is made under section 54; and</w:t>
      </w:r>
    </w:p>
    <w:p>
      <w:pPr>
        <w:pStyle w:val="Indenta"/>
        <w:rPr>
          <w:snapToGrid w:val="0"/>
        </w:rPr>
      </w:pPr>
      <w:r>
        <w:rPr>
          <w:snapToGrid w:val="0"/>
        </w:rPr>
        <w:tab/>
        <w:t>(b)</w:t>
      </w:r>
      <w:r>
        <w:rPr>
          <w:snapToGrid w:val="0"/>
        </w:rPr>
        <w:tab/>
        <w:t>the licence expires —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 xml:space="preserve">[Section 55 amended by No. 28 of 1994 s.99.] </w:t>
      </w:r>
    </w:p>
    <w:p>
      <w:pPr>
        <w:pStyle w:val="Heading5"/>
        <w:rPr>
          <w:snapToGrid w:val="0"/>
        </w:rPr>
      </w:pPr>
      <w:bookmarkStart w:id="420" w:name="_Toc501861741"/>
      <w:bookmarkStart w:id="421" w:name="_Toc113772497"/>
      <w:bookmarkStart w:id="422" w:name="_Toc170190592"/>
      <w:bookmarkStart w:id="423" w:name="_Toc157933566"/>
      <w:r>
        <w:rPr>
          <w:rStyle w:val="CharSectno"/>
        </w:rPr>
        <w:t>56</w:t>
      </w:r>
      <w:r>
        <w:rPr>
          <w:snapToGrid w:val="0"/>
        </w:rPr>
        <w:t>.</w:t>
      </w:r>
      <w:r>
        <w:rPr>
          <w:snapToGrid w:val="0"/>
        </w:rPr>
        <w:tab/>
        <w:t>Conditions of licence</w:t>
      </w:r>
      <w:bookmarkEnd w:id="420"/>
      <w:bookmarkEnd w:id="421"/>
      <w:bookmarkEnd w:id="422"/>
      <w:bookmarkEnd w:id="423"/>
      <w:r>
        <w:rPr>
          <w:snapToGrid w:val="0"/>
        </w:rPr>
        <w:t xml:space="preserve"> </w:t>
      </w:r>
    </w:p>
    <w:p>
      <w:pPr>
        <w:pStyle w:val="Subsection"/>
        <w:rPr>
          <w:snapToGrid w:val="0"/>
        </w:rPr>
      </w:pPr>
      <w:r>
        <w:rPr>
          <w:snapToGrid w:val="0"/>
        </w:rPr>
        <w:tab/>
      </w:r>
      <w:r>
        <w:rPr>
          <w:snapToGrid w:val="0"/>
        </w:rPr>
        <w:tab/>
        <w:t>A licence may be granted subject to such conditions as the Minister thinks fit and specifies in the licence.</w:t>
      </w:r>
    </w:p>
    <w:p>
      <w:pPr>
        <w:pStyle w:val="Ednotesection"/>
      </w:pPr>
      <w:r>
        <w:t>[</w:t>
      </w:r>
      <w:r>
        <w:rPr>
          <w:b/>
        </w:rPr>
        <w:t>57.</w:t>
      </w:r>
      <w:r>
        <w:tab/>
        <w:t>Repealed by No. 12 of 1990 s.188(1)</w:t>
      </w:r>
      <w:r>
        <w:rPr>
          <w:vertAlign w:val="superscript"/>
        </w:rPr>
        <w:t xml:space="preserve"> 5</w:t>
      </w:r>
      <w:r>
        <w:t>.]</w:t>
      </w:r>
    </w:p>
    <w:p>
      <w:pPr>
        <w:pStyle w:val="Heading5"/>
        <w:rPr>
          <w:snapToGrid w:val="0"/>
        </w:rPr>
      </w:pPr>
      <w:bookmarkStart w:id="424" w:name="_Toc501861742"/>
      <w:bookmarkStart w:id="425" w:name="_Toc113772498"/>
      <w:bookmarkStart w:id="426" w:name="_Toc170190593"/>
      <w:bookmarkStart w:id="427" w:name="_Toc157933567"/>
      <w:r>
        <w:rPr>
          <w:rStyle w:val="CharSectno"/>
        </w:rPr>
        <w:t>58</w:t>
      </w:r>
      <w:r>
        <w:rPr>
          <w:snapToGrid w:val="0"/>
        </w:rPr>
        <w:t>.</w:t>
      </w:r>
      <w:r>
        <w:rPr>
          <w:snapToGrid w:val="0"/>
        </w:rPr>
        <w:tab/>
        <w:t>Directions as to recovery of petroleum</w:t>
      </w:r>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spacing w:val="2"/>
        </w:rPr>
      </w:pPr>
      <w:r>
        <w:rPr>
          <w:snapToGrid w:val="0"/>
          <w:spacing w:val="2"/>
        </w:rPr>
        <w:tab/>
        <w:t>(4)</w:t>
      </w:r>
      <w:r>
        <w:rPr>
          <w:snapToGrid w:val="0"/>
          <w:spacing w:val="2"/>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spacing w:before="180"/>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spacing w:before="140"/>
        <w:ind w:left="890" w:hanging="890"/>
      </w:pPr>
      <w:r>
        <w:tab/>
        <w:t xml:space="preserve">[Section 58 amended by No. 12 of 1990 s.189.] </w:t>
      </w:r>
    </w:p>
    <w:p>
      <w:pPr>
        <w:pStyle w:val="Heading5"/>
        <w:spacing w:before="240"/>
        <w:rPr>
          <w:snapToGrid w:val="0"/>
        </w:rPr>
      </w:pPr>
      <w:bookmarkStart w:id="428" w:name="_Toc501861743"/>
      <w:bookmarkStart w:id="429" w:name="_Toc113772499"/>
      <w:bookmarkStart w:id="430" w:name="_Toc170190594"/>
      <w:bookmarkStart w:id="431" w:name="_Toc157933568"/>
      <w:r>
        <w:rPr>
          <w:rStyle w:val="CharSectno"/>
        </w:rPr>
        <w:t>59</w:t>
      </w:r>
      <w:r>
        <w:rPr>
          <w:snapToGrid w:val="0"/>
        </w:rPr>
        <w:t>.</w:t>
      </w:r>
      <w:r>
        <w:rPr>
          <w:snapToGrid w:val="0"/>
        </w:rPr>
        <w:tab/>
        <w:t>“Unit development”</w:t>
      </w:r>
      <w:bookmarkEnd w:id="428"/>
      <w:bookmarkEnd w:id="429"/>
      <w:bookmarkEnd w:id="430"/>
      <w:bookmarkEnd w:id="431"/>
      <w:r>
        <w:rPr>
          <w:snapToGrid w:val="0"/>
        </w:rPr>
        <w:t xml:space="preserve"> </w:t>
      </w:r>
    </w:p>
    <w:p>
      <w:pPr>
        <w:pStyle w:val="Subsection"/>
        <w:spacing w:before="180"/>
        <w:rPr>
          <w:snapToGrid w:val="0"/>
        </w:rPr>
      </w:pPr>
      <w:r>
        <w:rPr>
          <w:snapToGrid w:val="0"/>
        </w:rPr>
        <w:tab/>
        <w:t>(1)</w:t>
      </w:r>
      <w:r>
        <w:rPr>
          <w:snapToGrid w:val="0"/>
        </w:rPr>
        <w:tab/>
        <w:t xml:space="preserve">In this section, the expression </w:t>
      </w:r>
      <w:r>
        <w:rPr>
          <w:b/>
          <w:snapToGrid w:val="0"/>
        </w:rPr>
        <w:t>“</w:t>
      </w:r>
      <w:r>
        <w:rPr>
          <w:rStyle w:val="CharDefText"/>
        </w:rPr>
        <w:t>unit development</w:t>
      </w:r>
      <w:r>
        <w:rPr>
          <w:b/>
          <w:snapToGrid w:val="0"/>
        </w:rPr>
        <w:t>”</w:t>
      </w:r>
      <w:r>
        <w:rPr>
          <w:snapToGrid w:val="0"/>
        </w:rPr>
        <w:t>— </w:t>
      </w:r>
    </w:p>
    <w:p>
      <w:pPr>
        <w:pStyle w:val="Indenta"/>
        <w:spacing w:before="100"/>
        <w:rPr>
          <w:snapToGrid w:val="0"/>
        </w:rPr>
      </w:pPr>
      <w:r>
        <w:rPr>
          <w:snapToGrid w:val="0"/>
        </w:rPr>
        <w:tab/>
        <w:t>(a)</w:t>
      </w:r>
      <w:r>
        <w:rPr>
          <w:snapToGrid w:val="0"/>
        </w:rPr>
        <w:tab/>
        <w:t>applies in relation to a petroleum pool that is partly in a particular licence area of a licensee and partly in a licence area of another licensee or in an area that is not within the adjacent area but in which a person other than the first</w:t>
      </w:r>
      <w:r>
        <w:rPr>
          <w:snapToGrid w:val="0"/>
        </w:rPr>
        <w:noBreakHyphen/>
        <w:t>mentioned licensee is lawfully entitled to carry on operations for the recovery of petroleum from the pool; and</w:t>
      </w:r>
    </w:p>
    <w:p>
      <w:pPr>
        <w:pStyle w:val="Indenta"/>
        <w:spacing w:before="100"/>
        <w:rPr>
          <w:snapToGrid w:val="0"/>
        </w:rPr>
      </w:pPr>
      <w:r>
        <w:rPr>
          <w:snapToGrid w:val="0"/>
        </w:rPr>
        <w:tab/>
        <w:t>(b)</w:t>
      </w:r>
      <w:r>
        <w:rPr>
          <w:snapToGrid w:val="0"/>
        </w:rPr>
        <w:tab/>
        <w:t>means the carrying on of operations for the recovery of petroleum from that pool under cooperative arrangements between the persons entitled to carry on such operations in each of those areas.</w:t>
      </w:r>
    </w:p>
    <w:p>
      <w:pPr>
        <w:pStyle w:val="Subsection"/>
        <w:spacing w:before="180"/>
        <w:rPr>
          <w:snapToGrid w:val="0"/>
        </w:rPr>
      </w:pPr>
      <w:r>
        <w:rPr>
          <w:snapToGrid w:val="0"/>
        </w:rPr>
        <w:tab/>
        <w:t>(2)</w:t>
      </w:r>
      <w:r>
        <w:rPr>
          <w:snapToGrid w:val="0"/>
        </w:rPr>
        <w:tab/>
        <w:t>A licensee may from time to time enter into an agreement in writing for or in relation to the unit development of a petroleum pool, but nothing in this subsection derogates from the operation of section 81(2).</w:t>
      </w:r>
    </w:p>
    <w:p>
      <w:pPr>
        <w:pStyle w:val="Subsection"/>
        <w:spacing w:before="180"/>
        <w:rPr>
          <w:snapToGrid w:val="0"/>
        </w:rPr>
      </w:pPr>
      <w:r>
        <w:rPr>
          <w:snapToGrid w:val="0"/>
        </w:rPr>
        <w:tab/>
        <w:t>(3)</w:t>
      </w:r>
      <w:r>
        <w:rPr>
          <w:snapToGrid w:val="0"/>
        </w:rPr>
        <w:tab/>
        <w:t>The Minister of his own motion or on application made to him in writing by — </w:t>
      </w:r>
    </w:p>
    <w:p>
      <w:pPr>
        <w:pStyle w:val="Indenta"/>
        <w:spacing w:before="100"/>
        <w:rPr>
          <w:snapToGrid w:val="0"/>
        </w:rPr>
      </w:pPr>
      <w:r>
        <w:rPr>
          <w:snapToGrid w:val="0"/>
        </w:rPr>
        <w:tab/>
        <w:t>(a)</w:t>
      </w:r>
      <w:r>
        <w:rPr>
          <w:snapToGrid w:val="0"/>
        </w:rPr>
        <w:tab/>
        <w:t>a licensee in whose licence area there is a part of a particular petroleum pool; or</w:t>
      </w:r>
    </w:p>
    <w:p>
      <w:pPr>
        <w:pStyle w:val="Indenta"/>
        <w:spacing w:before="100"/>
        <w:rPr>
          <w:snapToGrid w:val="0"/>
        </w:rPr>
      </w:pPr>
      <w:r>
        <w:rPr>
          <w:snapToGrid w:val="0"/>
        </w:rPr>
        <w:tab/>
        <w:t>(b)</w:t>
      </w:r>
      <w:r>
        <w:rPr>
          <w:snapToGrid w:val="0"/>
        </w:rPr>
        <w:tab/>
        <w:t>a person who is lawfully entitled to carry on operations for the recovery of petroleum in an area outside the adjacent area that includes part of a particular petroleum pool that extends into the adjacent area,</w:t>
      </w:r>
    </w:p>
    <w:p>
      <w:pPr>
        <w:pStyle w:val="Subsection"/>
        <w:spacing w:before="120"/>
        <w:rPr>
          <w:snapToGrid w:val="0"/>
        </w:rPr>
      </w:pPr>
      <w:r>
        <w:rPr>
          <w:snapToGrid w:val="0"/>
        </w:rPr>
        <w:tab/>
      </w:r>
      <w:r>
        <w:rPr>
          <w:snapToGrid w:val="0"/>
        </w:rPr>
        <w:tab/>
        <w:t>may, for the purpose of securing the more effective recovery of petroleum, from the petroleum pool, direct any licensee whose licence area includes part of the petroleum pool, by instrument in writing served on the licensee, to enter into an agreement in writing, within the period specified in the instrument, for or in relation to the unit development of the petroleum pool and to lodge an application in accordance with section 81 for approval of any dealing to which the agreement relates.</w:t>
      </w:r>
    </w:p>
    <w:p>
      <w:pPr>
        <w:pStyle w:val="Subsection"/>
        <w:spacing w:before="120"/>
        <w:rPr>
          <w:snapToGrid w:val="0"/>
        </w:rPr>
      </w:pPr>
      <w:r>
        <w:rPr>
          <w:snapToGrid w:val="0"/>
        </w:rPr>
        <w:tab/>
        <w:t>(4)</w:t>
      </w:r>
      <w:r>
        <w:rPr>
          <w:snapToGrid w:val="0"/>
        </w:rPr>
        <w:tab/>
        <w:t>Where — </w:t>
      </w:r>
    </w:p>
    <w:p>
      <w:pPr>
        <w:pStyle w:val="Indenta"/>
        <w:rPr>
          <w:snapToGrid w:val="0"/>
        </w:rPr>
      </w:pPr>
      <w:r>
        <w:rPr>
          <w:snapToGrid w:val="0"/>
        </w:rPr>
        <w:tab/>
        <w:t>(a)</w:t>
      </w:r>
      <w:r>
        <w:rPr>
          <w:snapToGrid w:val="0"/>
        </w:rPr>
        <w:tab/>
        <w:t>a licensee who is directed, under subsection (3), to enter into an agreement for or in relation to the unit development of a petroleum pool does not enter into such an agreement within the specified period; or</w:t>
      </w:r>
    </w:p>
    <w:p>
      <w:pPr>
        <w:pStyle w:val="Indenta"/>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81,</w:t>
      </w:r>
    </w:p>
    <w:p>
      <w:pPr>
        <w:pStyle w:val="Subsection"/>
        <w:spacing w:before="120"/>
        <w:rPr>
          <w:snapToGrid w:val="0"/>
        </w:rPr>
      </w:pPr>
      <w:r>
        <w:rPr>
          <w:snapToGrid w:val="0"/>
        </w:rPr>
        <w:tab/>
      </w:r>
      <w:r>
        <w:rPr>
          <w:snapToGrid w:val="0"/>
        </w:rPr>
        <w:tab/>
        <w:t>the Minister may, by instrument in writing served on the licensee, direct the licensee to submit to him, within the period specified in the instrument, a scheme for or in relation to the unit development of the petroleum pool.</w:t>
      </w:r>
    </w:p>
    <w:p>
      <w:pPr>
        <w:pStyle w:val="Subsection"/>
        <w:spacing w:before="120"/>
        <w:rPr>
          <w:snapToGrid w:val="0"/>
        </w:rPr>
      </w:pPr>
      <w:r>
        <w:rPr>
          <w:snapToGrid w:val="0"/>
        </w:rPr>
        <w:tab/>
        <w:t>(5)</w:t>
      </w:r>
      <w:r>
        <w:rPr>
          <w:snapToGrid w:val="0"/>
        </w:rPr>
        <w:tab/>
        <w:t>At any time after the expiration of the period within which a scheme for or in relation to the unit development of a petroleum pool is to be submitted by a licensee under subsection (4), the Minister may, by instrument in writing served on the licensee, give to the licensee such directions as the Minister thinks necessary for the purpose of securing the more effective recovery of petroleum from the petroleum pool.</w:t>
      </w:r>
    </w:p>
    <w:p>
      <w:pPr>
        <w:pStyle w:val="Subsection"/>
        <w:spacing w:before="120"/>
        <w:rPr>
          <w:snapToGrid w:val="0"/>
        </w:rPr>
      </w:pPr>
      <w:r>
        <w:rPr>
          <w:snapToGrid w:val="0"/>
        </w:rPr>
        <w:tab/>
        <w:t>(6)</w:t>
      </w:r>
      <w:r>
        <w:rPr>
          <w:snapToGrid w:val="0"/>
        </w:rPr>
        <w:tab/>
        <w:t>Where a person is the licensee in respect of 2 or more licence areas in each of which there is part of a particular petroleum pool, the Minister may, by instrument in writing served on the licensee, give to the licensee such directions as the Minister thinks necessary for the purpose of securing the more effective recovery of petroleum from the petroleum pool.</w:t>
      </w:r>
    </w:p>
    <w:p>
      <w:pPr>
        <w:pStyle w:val="Subsection"/>
        <w:spacing w:before="140"/>
        <w:rPr>
          <w:snapToGrid w:val="0"/>
        </w:rPr>
      </w:pPr>
      <w:r>
        <w:rPr>
          <w:snapToGrid w:val="0"/>
        </w:rPr>
        <w:tab/>
        <w:t>(7)</w:t>
      </w:r>
      <w:r>
        <w:rPr>
          <w:snapToGrid w:val="0"/>
        </w:rPr>
        <w:tab/>
        <w:t>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pool.</w:t>
      </w:r>
    </w:p>
    <w:p>
      <w:pPr>
        <w:pStyle w:val="Subsection"/>
        <w:spacing w:before="140"/>
        <w:rPr>
          <w:snapToGrid w:val="0"/>
        </w:rPr>
      </w:pPr>
      <w:r>
        <w:rPr>
          <w:snapToGrid w:val="0"/>
        </w:rPr>
        <w:tab/>
        <w:t>(8)</w:t>
      </w:r>
      <w:r>
        <w:rPr>
          <w:snapToGrid w:val="0"/>
        </w:rPr>
        <w:tab/>
        <w:t>The Minister shall not give a direction under subsection (6) or (7) unless he has given to the licensee or licensees concerned an opportunity to confer with him concerning the proposed direction.</w:t>
      </w:r>
    </w:p>
    <w:p>
      <w:pPr>
        <w:pStyle w:val="Subsection"/>
        <w:spacing w:before="140"/>
        <w:rPr>
          <w:snapToGrid w:val="0"/>
        </w:rPr>
      </w:pPr>
      <w:r>
        <w:rPr>
          <w:snapToGrid w:val="0"/>
        </w:rPr>
        <w:tab/>
        <w:t>(9)</w:t>
      </w:r>
      <w:r>
        <w:rPr>
          <w:snapToGrid w:val="0"/>
        </w:rPr>
        <w:tab/>
        <w:t>Directions under subsection (5), (6) or (7) may include directions as to the rate at which petroleum is to be recovered.</w:t>
      </w:r>
    </w:p>
    <w:p>
      <w:pPr>
        <w:pStyle w:val="Subsection"/>
        <w:spacing w:before="140"/>
        <w:rPr>
          <w:snapToGrid w:val="0"/>
        </w:rPr>
      </w:pPr>
      <w:r>
        <w:rPr>
          <w:snapToGrid w:val="0"/>
        </w:rPr>
        <w:tab/>
        <w:t>(10)</w:t>
      </w:r>
      <w:r>
        <w:rPr>
          <w:snapToGrid w:val="0"/>
        </w:rPr>
        <w:tab/>
        <w:t xml:space="preserve">In this section, </w:t>
      </w:r>
      <w:r>
        <w:rPr>
          <w:b/>
          <w:snapToGrid w:val="0"/>
        </w:rPr>
        <w:t>“</w:t>
      </w:r>
      <w:r>
        <w:rPr>
          <w:rStyle w:val="CharDefText"/>
        </w:rPr>
        <w:t>dealing</w:t>
      </w:r>
      <w:r>
        <w:rPr>
          <w:b/>
          <w:snapToGrid w:val="0"/>
        </w:rPr>
        <w:t>”</w:t>
      </w:r>
      <w:r>
        <w:rPr>
          <w:snapToGrid w:val="0"/>
        </w:rPr>
        <w:t xml:space="preserve"> means a dealing to which section 81 applies.</w:t>
      </w:r>
    </w:p>
    <w:p>
      <w:pPr>
        <w:pStyle w:val="Subsection"/>
        <w:spacing w:before="140"/>
        <w:rPr>
          <w:snapToGrid w:val="0"/>
        </w:rPr>
      </w:pPr>
      <w:r>
        <w:rPr>
          <w:snapToGrid w:val="0"/>
        </w:rPr>
        <w:tab/>
        <w:t>(11)</w:t>
      </w:r>
      <w:r>
        <w:rPr>
          <w:snapToGrid w:val="0"/>
        </w:rPr>
        <w:tab/>
        <w:t>The Minister shall — </w:t>
      </w:r>
    </w:p>
    <w:p>
      <w:pPr>
        <w:pStyle w:val="Indenta"/>
        <w:spacing w:before="60"/>
        <w:rPr>
          <w:snapToGrid w:val="0"/>
        </w:rPr>
      </w:pPr>
      <w:r>
        <w:rPr>
          <w:snapToGrid w:val="0"/>
        </w:rPr>
        <w:tab/>
        <w:t>(a)</w:t>
      </w:r>
      <w:r>
        <w:rPr>
          <w:snapToGrid w:val="0"/>
        </w:rPr>
        <w:tab/>
        <w:t>if a petroleum pool extends, or is reasonably believed by him to extend, from the adjacent area into lands to which the laws of another State or the Northern Territory relating to the exploitation of petroleum resources apply, consult with the appropriate authority of that State or the Northern Territory concerning the exploitation of the petroleum pool;</w:t>
      </w:r>
    </w:p>
    <w:p>
      <w:pPr>
        <w:pStyle w:val="Indenta"/>
        <w:spacing w:before="60"/>
        <w:rPr>
          <w:snapToGrid w:val="0"/>
        </w:rPr>
      </w:pPr>
      <w:r>
        <w:rPr>
          <w:snapToGrid w:val="0"/>
        </w:rPr>
        <w:tab/>
        <w:t>(b)</w:t>
      </w:r>
      <w:r>
        <w:rPr>
          <w:snapToGrid w:val="0"/>
        </w:rPr>
        <w:tab/>
        <w:t>if a petroleum pool extends, or is reasonably believed by him to extend, from the adjacent area into the adjacent area in respect of a State (other than Western Australia) within the meaning of the Commonwealth Act, or the adjacent area in respect of the Northern Territory, within the meaning of that Act, consult with the Designated Authority under the Commonwealth Act in respect of that State or the Northern Territory concerning the exploitation of the petroleum pool; or</w:t>
      </w:r>
    </w:p>
    <w:p>
      <w:pPr>
        <w:pStyle w:val="Indenta"/>
        <w:rPr>
          <w:snapToGrid w:val="0"/>
        </w:rPr>
      </w:pPr>
      <w:r>
        <w:rPr>
          <w:snapToGrid w:val="0"/>
        </w:rPr>
        <w:tab/>
        <w:t>(c)</w:t>
      </w:r>
      <w:r>
        <w:rPr>
          <w:snapToGrid w:val="0"/>
        </w:rPr>
        <w:tab/>
        <w:t>if both paragraph (a) and paragraph (b) apply, comply with both of those paragraphs.</w:t>
      </w:r>
    </w:p>
    <w:p>
      <w:pPr>
        <w:pStyle w:val="Subsection"/>
        <w:rPr>
          <w:snapToGrid w:val="0"/>
        </w:rPr>
      </w:pPr>
      <w:r>
        <w:rPr>
          <w:snapToGrid w:val="0"/>
        </w:rPr>
        <w:tab/>
        <w:t>(12)</w:t>
      </w:r>
      <w:r>
        <w:rPr>
          <w:snapToGrid w:val="0"/>
        </w:rPr>
        <w:tab/>
        <w:t>Where subsection (11) applies in relation to a petroleum pool, the Minister shall not approve an agreement under this section, or give a direction under this section, in relation to that petroleum pool except with the approval of any other authority or Designated Authority required by that subsection to be consulted.</w:t>
      </w:r>
    </w:p>
    <w:p>
      <w:pPr>
        <w:pStyle w:val="Footnotesection"/>
      </w:pPr>
      <w:r>
        <w:tab/>
        <w:t xml:space="preserve">[Section 59 amended by No. 12 of 1990 s.190.] </w:t>
      </w:r>
    </w:p>
    <w:p>
      <w:pPr>
        <w:pStyle w:val="Heading3"/>
        <w:rPr>
          <w:snapToGrid w:val="0"/>
        </w:rPr>
      </w:pPr>
      <w:bookmarkStart w:id="432" w:name="_Toc72913780"/>
      <w:bookmarkStart w:id="433" w:name="_Toc91304260"/>
      <w:bookmarkStart w:id="434" w:name="_Toc92688503"/>
      <w:bookmarkStart w:id="435" w:name="_Toc113772500"/>
      <w:bookmarkStart w:id="436" w:name="_Toc156976985"/>
      <w:bookmarkStart w:id="437" w:name="_Toc157933569"/>
      <w:bookmarkStart w:id="438" w:name="_Toc162761203"/>
      <w:bookmarkStart w:id="439" w:name="_Toc170190595"/>
      <w:r>
        <w:rPr>
          <w:rStyle w:val="CharDivNo"/>
        </w:rPr>
        <w:t>Division 4</w:t>
      </w:r>
      <w:r>
        <w:rPr>
          <w:snapToGrid w:val="0"/>
        </w:rPr>
        <w:t> — </w:t>
      </w:r>
      <w:r>
        <w:rPr>
          <w:rStyle w:val="CharDivText"/>
        </w:rPr>
        <w:t>Pipeline licences</w:t>
      </w:r>
      <w:bookmarkEnd w:id="432"/>
      <w:bookmarkEnd w:id="433"/>
      <w:bookmarkEnd w:id="434"/>
      <w:bookmarkEnd w:id="435"/>
      <w:bookmarkEnd w:id="436"/>
      <w:bookmarkEnd w:id="437"/>
      <w:bookmarkEnd w:id="438"/>
      <w:bookmarkEnd w:id="439"/>
      <w:r>
        <w:rPr>
          <w:rStyle w:val="CharDivText"/>
        </w:rPr>
        <w:t xml:space="preserve"> </w:t>
      </w:r>
    </w:p>
    <w:p>
      <w:pPr>
        <w:pStyle w:val="Heading5"/>
        <w:rPr>
          <w:snapToGrid w:val="0"/>
        </w:rPr>
      </w:pPr>
      <w:bookmarkStart w:id="440" w:name="_Toc501861744"/>
      <w:bookmarkStart w:id="441" w:name="_Toc113772501"/>
      <w:bookmarkStart w:id="442" w:name="_Toc170190596"/>
      <w:bookmarkStart w:id="443" w:name="_Toc157933570"/>
      <w:r>
        <w:rPr>
          <w:rStyle w:val="CharSectno"/>
        </w:rPr>
        <w:t>59A</w:t>
      </w:r>
      <w:r>
        <w:rPr>
          <w:snapToGrid w:val="0"/>
        </w:rPr>
        <w:t>.</w:t>
      </w:r>
      <w:r>
        <w:rPr>
          <w:snapToGrid w:val="0"/>
        </w:rPr>
        <w:tab/>
        <w:t>Interpretation in Division 4</w:t>
      </w:r>
      <w:bookmarkEnd w:id="440"/>
      <w:bookmarkEnd w:id="441"/>
      <w:bookmarkEnd w:id="442"/>
      <w:bookmarkEnd w:id="443"/>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the 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an area which is — </w:t>
      </w:r>
    </w:p>
    <w:p>
      <w:pPr>
        <w:pStyle w:val="Defpara"/>
      </w:pPr>
      <w:r>
        <w:tab/>
        <w:t>(a)</w:t>
      </w:r>
      <w:r>
        <w:tab/>
        <w:t>within the area the boundary of which is described in Schedule 2; and</w:t>
      </w:r>
    </w:p>
    <w:p>
      <w:pPr>
        <w:pStyle w:val="Defpara"/>
      </w:pPr>
      <w:r>
        <w:tab/>
        <w:t>(b)</w:t>
      </w:r>
      <w:r>
        <w:tab/>
        <w:t>seaward of the coastline of Western Australia at mean low water and landward of the inner limit of the territorial sea of Australia.</w:t>
      </w:r>
    </w:p>
    <w:p>
      <w:pPr>
        <w:pStyle w:val="Footnotesection"/>
      </w:pPr>
      <w:r>
        <w:tab/>
        <w:t xml:space="preserve">[Section 59A inserted by No. 12 of 1990 s.191.] </w:t>
      </w:r>
    </w:p>
    <w:p>
      <w:pPr>
        <w:pStyle w:val="Heading5"/>
        <w:rPr>
          <w:snapToGrid w:val="0"/>
        </w:rPr>
      </w:pPr>
      <w:bookmarkStart w:id="444" w:name="_Toc501861745"/>
      <w:bookmarkStart w:id="445" w:name="_Toc113772502"/>
      <w:bookmarkStart w:id="446" w:name="_Toc170190597"/>
      <w:bookmarkStart w:id="447" w:name="_Toc157933571"/>
      <w:r>
        <w:rPr>
          <w:rStyle w:val="CharSectno"/>
        </w:rPr>
        <w:t>59B</w:t>
      </w:r>
      <w:r>
        <w:rPr>
          <w:snapToGrid w:val="0"/>
        </w:rPr>
        <w:t>.</w:t>
      </w:r>
      <w:r>
        <w:rPr>
          <w:snapToGrid w:val="0"/>
        </w:rPr>
        <w:tab/>
        <w:t>Deemed location of portion of North Rankin Platform A Pipeline</w:t>
      </w:r>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That portion of the North Rankin Platform A Pipeline that is — </w:t>
      </w:r>
    </w:p>
    <w:p>
      <w:pPr>
        <w:pStyle w:val="Indenta"/>
        <w:rPr>
          <w:snapToGrid w:val="0"/>
        </w:rPr>
      </w:pPr>
      <w:r>
        <w:rPr>
          <w:snapToGrid w:val="0"/>
        </w:rPr>
        <w:tab/>
        <w:t>(a)</w:t>
      </w:r>
      <w:r>
        <w:rPr>
          <w:snapToGrid w:val="0"/>
        </w:rPr>
        <w:tab/>
        <w:t>within the area the boundary of which is described in Schedule 2; and</w:t>
      </w:r>
    </w:p>
    <w:p>
      <w:pPr>
        <w:pStyle w:val="Indenta"/>
        <w:rPr>
          <w:snapToGrid w:val="0"/>
        </w:rPr>
      </w:pPr>
      <w:r>
        <w:rPr>
          <w:snapToGrid w:val="0"/>
        </w:rPr>
        <w:tab/>
        <w:t>(b)</w:t>
      </w:r>
      <w:r>
        <w:rPr>
          <w:snapToGrid w:val="0"/>
        </w:rPr>
        <w:tab/>
        <w:t>seaward of the coastline of Western Australia at mean low water and landward of the inner limit of the territorial sea of Australia,</w:t>
      </w:r>
    </w:p>
    <w:p>
      <w:pPr>
        <w:pStyle w:val="Subsection"/>
        <w:rPr>
          <w:snapToGrid w:val="0"/>
        </w:rPr>
      </w:pPr>
      <w:r>
        <w:rPr>
          <w:snapToGrid w:val="0"/>
        </w:rPr>
        <w:tab/>
      </w:r>
      <w:r>
        <w:rPr>
          <w:snapToGrid w:val="0"/>
        </w:rPr>
        <w:tab/>
        <w:t>shall be deemed to be, and since the commencing day to have been, within the State jurisdiction of the State of Western Australia for the purposes of Schedule 3.</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commencing day</w:t>
      </w:r>
      <w:r>
        <w:rPr>
          <w:b/>
        </w:rPr>
        <w:t>”</w:t>
      </w:r>
      <w:r>
        <w:t xml:space="preserve"> has the meaning given by clause 1(1) of Schedule 3;</w:t>
      </w:r>
    </w:p>
    <w:p>
      <w:pPr>
        <w:pStyle w:val="Defstart"/>
      </w:pPr>
      <w:r>
        <w:rPr>
          <w:b/>
        </w:rPr>
        <w:tab/>
        <w:t>“</w:t>
      </w:r>
      <w:r>
        <w:rPr>
          <w:rStyle w:val="CharDefText"/>
        </w:rPr>
        <w:t>the North Rankin Platform A Pipeline</w:t>
      </w:r>
      <w:r>
        <w:rPr>
          <w:b/>
        </w:rPr>
        <w:t>”</w:t>
      </w:r>
      <w:r>
        <w:t xml:space="preserve"> means the pipeline which is the subject of pipeline licence WA</w:t>
      </w:r>
      <w:r>
        <w:noBreakHyphen/>
        <w:t>1</w:t>
      </w:r>
      <w:r>
        <w:noBreakHyphen/>
        <w:t>PL — </w:t>
      </w:r>
    </w:p>
    <w:p>
      <w:pPr>
        <w:pStyle w:val="Defpara"/>
      </w:pPr>
      <w:r>
        <w:tab/>
        <w:t>(a)</w:t>
      </w:r>
      <w:r>
        <w:tab/>
        <w:t>granted under the Commonwealth Act; and</w:t>
      </w:r>
    </w:p>
    <w:p>
      <w:pPr>
        <w:pStyle w:val="Defpara"/>
      </w:pPr>
      <w:r>
        <w:tab/>
        <w:t>(b)</w:t>
      </w:r>
      <w:r>
        <w:tab/>
        <w:t>deemed by clause 4(1) of Schedule 3 to comprise 2 pipeline licences, being a pipeline licence under the Commonwealth Act and a pipeline licence under this Act.</w:t>
      </w:r>
    </w:p>
    <w:p>
      <w:pPr>
        <w:pStyle w:val="Footnotesection"/>
      </w:pPr>
      <w:r>
        <w:tab/>
        <w:t xml:space="preserve">[Section 59B inserted by No. 12 of 1990 s.191.] </w:t>
      </w:r>
    </w:p>
    <w:p>
      <w:pPr>
        <w:pStyle w:val="Heading5"/>
        <w:rPr>
          <w:snapToGrid w:val="0"/>
        </w:rPr>
      </w:pPr>
      <w:bookmarkStart w:id="448" w:name="_Toc501861746"/>
      <w:bookmarkStart w:id="449" w:name="_Toc113772503"/>
      <w:bookmarkStart w:id="450" w:name="_Toc170190598"/>
      <w:bookmarkStart w:id="451" w:name="_Toc157933572"/>
      <w:r>
        <w:rPr>
          <w:rStyle w:val="CharSectno"/>
        </w:rPr>
        <w:t>60</w:t>
      </w:r>
      <w:r>
        <w:rPr>
          <w:snapToGrid w:val="0"/>
        </w:rPr>
        <w:t>.</w:t>
      </w:r>
      <w:r>
        <w:rPr>
          <w:snapToGrid w:val="0"/>
        </w:rPr>
        <w:tab/>
        <w:t>Construction, etc., of pipeline, etc.</w:t>
      </w:r>
      <w:bookmarkEnd w:id="448"/>
      <w:bookmarkEnd w:id="449"/>
      <w:bookmarkEnd w:id="450"/>
      <w:bookmarkEnd w:id="451"/>
      <w:r>
        <w:rPr>
          <w:snapToGrid w:val="0"/>
        </w:rPr>
        <w:t xml:space="preserve"> </w:t>
      </w:r>
    </w:p>
    <w:p>
      <w:pPr>
        <w:pStyle w:val="Subsection"/>
        <w:rPr>
          <w:snapToGrid w:val="0"/>
        </w:rPr>
      </w:pPr>
      <w:r>
        <w:rPr>
          <w:snapToGrid w:val="0"/>
        </w:rPr>
        <w:tab/>
        <w:t>(1)</w:t>
      </w:r>
      <w:r>
        <w:rPr>
          <w:snapToGrid w:val="0"/>
        </w:rPr>
        <w:tab/>
        <w:t>A person shall not, in the adjacent area — </w:t>
      </w:r>
    </w:p>
    <w:p>
      <w:pPr>
        <w:pStyle w:val="Indenta"/>
        <w:rPr>
          <w:snapToGrid w:val="0"/>
        </w:rPr>
      </w:pPr>
      <w:r>
        <w:rPr>
          <w:snapToGrid w:val="0"/>
        </w:rPr>
        <w:tab/>
        <w:t>(a)</w:t>
      </w:r>
      <w:r>
        <w:rPr>
          <w:snapToGrid w:val="0"/>
        </w:rPr>
        <w:tab/>
        <w:t>commence or continue the construction, or the alteration or reconstruction, of a pipeline; or</w:t>
      </w:r>
    </w:p>
    <w:p>
      <w:pPr>
        <w:pStyle w:val="Indenta"/>
        <w:rPr>
          <w:snapToGrid w:val="0"/>
        </w:rPr>
      </w:pPr>
      <w:r>
        <w:rPr>
          <w:snapToGrid w:val="0"/>
        </w:rPr>
        <w:tab/>
        <w:t>(b)</w:t>
      </w:r>
      <w:r>
        <w:rPr>
          <w:snapToGrid w:val="0"/>
        </w:rPr>
        <w:tab/>
        <w:t>operate a pipeline,</w:t>
      </w:r>
    </w:p>
    <w:p>
      <w:pPr>
        <w:pStyle w:val="Subsection"/>
        <w:rPr>
          <w:snapToGrid w:val="0"/>
        </w:rPr>
      </w:pPr>
      <w:r>
        <w:rPr>
          <w:snapToGrid w:val="0"/>
        </w:rPr>
        <w:tab/>
      </w:r>
      <w:r>
        <w:rPr>
          <w:snapToGrid w:val="0"/>
        </w:rPr>
        <w:tab/>
        <w:t>except under and in accordance with a pipeline licence.</w:t>
      </w:r>
    </w:p>
    <w:p>
      <w:pPr>
        <w:pStyle w:val="Subsection"/>
        <w:rPr>
          <w:snapToGrid w:val="0"/>
        </w:rPr>
      </w:pPr>
      <w:r>
        <w:rPr>
          <w:snapToGrid w:val="0"/>
        </w:rPr>
        <w:tab/>
        <w:t>(2)</w:t>
      </w:r>
      <w:r>
        <w:rPr>
          <w:snapToGrid w:val="0"/>
        </w:rPr>
        <w:tab/>
        <w:t>A person shall not, in the adjacent area — </w:t>
      </w:r>
    </w:p>
    <w:p>
      <w:pPr>
        <w:pStyle w:val="Indenta"/>
        <w:rPr>
          <w:snapToGrid w:val="0"/>
        </w:rPr>
      </w:pPr>
      <w:r>
        <w:rPr>
          <w:snapToGrid w:val="0"/>
        </w:rPr>
        <w:tab/>
        <w:t>(a)</w:t>
      </w:r>
      <w:r>
        <w:rPr>
          <w:snapToGrid w:val="0"/>
        </w:rPr>
        <w:tab/>
        <w:t>commence or continue the construction, or the alteration or reconstruction, of a secondary line or water line; or</w:t>
      </w:r>
    </w:p>
    <w:p>
      <w:pPr>
        <w:pStyle w:val="Indenta"/>
        <w:rPr>
          <w:snapToGrid w:val="0"/>
        </w:rPr>
      </w:pPr>
      <w:r>
        <w:rPr>
          <w:snapToGrid w:val="0"/>
        </w:rPr>
        <w:tab/>
        <w:t>(b)</w:t>
      </w:r>
      <w:r>
        <w:rPr>
          <w:snapToGrid w:val="0"/>
        </w:rPr>
        <w:tab/>
        <w:t>operate a secondary line or water line,</w:t>
      </w:r>
    </w:p>
    <w:p>
      <w:pPr>
        <w:pStyle w:val="Subsection"/>
        <w:rPr>
          <w:snapToGrid w:val="0"/>
        </w:rPr>
      </w:pPr>
      <w:r>
        <w:rPr>
          <w:snapToGrid w:val="0"/>
        </w:rPr>
        <w:tab/>
      </w:r>
      <w:r>
        <w:rPr>
          <w:snapToGrid w:val="0"/>
        </w:rPr>
        <w:tab/>
        <w:t>except with, and in accordance with, a consent in writing of the Minister.</w:t>
      </w:r>
    </w:p>
    <w:p>
      <w:pPr>
        <w:pStyle w:val="Subsection"/>
        <w:rPr>
          <w:snapToGrid w:val="0"/>
        </w:rPr>
      </w:pPr>
      <w:r>
        <w:rPr>
          <w:snapToGrid w:val="0"/>
        </w:rPr>
        <w:tab/>
        <w:t>(3)</w:t>
      </w:r>
      <w:r>
        <w:rPr>
          <w:snapToGrid w:val="0"/>
        </w:rPr>
        <w:tab/>
        <w:t>A person shall not, in the adjacent area — </w:t>
      </w:r>
    </w:p>
    <w:p>
      <w:pPr>
        <w:pStyle w:val="Indenta"/>
        <w:rPr>
          <w:snapToGrid w:val="0"/>
        </w:rPr>
      </w:pPr>
      <w:r>
        <w:rPr>
          <w:snapToGrid w:val="0"/>
        </w:rPr>
        <w:tab/>
        <w:t>(a)</w:t>
      </w:r>
      <w:r>
        <w:rPr>
          <w:snapToGrid w:val="0"/>
        </w:rPr>
        <w:tab/>
        <w:t>commence or continue the construction, or the alteration or reconstruction, of a pumping station, tank station or valve station; or</w:t>
      </w:r>
    </w:p>
    <w:p>
      <w:pPr>
        <w:pStyle w:val="Indenta"/>
        <w:rPr>
          <w:snapToGrid w:val="0"/>
        </w:rPr>
      </w:pPr>
      <w:r>
        <w:rPr>
          <w:snapToGrid w:val="0"/>
        </w:rPr>
        <w:tab/>
        <w:t>(b)</w:t>
      </w:r>
      <w:r>
        <w:rPr>
          <w:snapToGrid w:val="0"/>
        </w:rPr>
        <w:tab/>
        <w:t>operate a pumping station, tank station or valve station,</w:t>
      </w:r>
    </w:p>
    <w:p>
      <w:pPr>
        <w:pStyle w:val="Subsection"/>
        <w:rPr>
          <w:snapToGrid w:val="0"/>
        </w:rPr>
      </w:pPr>
      <w:r>
        <w:rPr>
          <w:snapToGrid w:val="0"/>
        </w:rPr>
        <w:tab/>
      </w:r>
      <w:r>
        <w:rPr>
          <w:snapToGrid w:val="0"/>
        </w:rPr>
        <w:tab/>
        <w:t>except under and in accordance with a pipeline licence or with, and in accordance with, a consent in writing of the Minister.</w:t>
      </w:r>
    </w:p>
    <w:p>
      <w:pPr>
        <w:pStyle w:val="Subsection"/>
        <w:rPr>
          <w:snapToGrid w:val="0"/>
        </w:rPr>
      </w:pPr>
      <w:r>
        <w:rPr>
          <w:snapToGrid w:val="0"/>
        </w:rPr>
        <w:tab/>
        <w:t>(4)</w:t>
      </w:r>
      <w:r>
        <w:rPr>
          <w:snapToGrid w:val="0"/>
        </w:rPr>
        <w:tab/>
        <w:t>A person shall not, in the adjacent area, commence to operate a pipeline, a secondary line or a water line unless — </w:t>
      </w:r>
    </w:p>
    <w:p>
      <w:pPr>
        <w:pStyle w:val="Indenta"/>
        <w:rPr>
          <w:snapToGrid w:val="0"/>
        </w:rPr>
      </w:pPr>
      <w:r>
        <w:rPr>
          <w:snapToGrid w:val="0"/>
        </w:rPr>
        <w:tab/>
        <w:t>(a)</w:t>
      </w:r>
      <w:r>
        <w:rPr>
          <w:snapToGrid w:val="0"/>
        </w:rPr>
        <w:tab/>
        <w:t>in the case of a pipeline, it has been constructed and tested in accordance with the pipeline licence;</w:t>
      </w:r>
    </w:p>
    <w:p>
      <w:pPr>
        <w:pStyle w:val="Indenta"/>
        <w:rPr>
          <w:snapToGrid w:val="0"/>
        </w:rPr>
      </w:pPr>
      <w:r>
        <w:rPr>
          <w:snapToGrid w:val="0"/>
        </w:rPr>
        <w:tab/>
        <w:t>(b)</w:t>
      </w:r>
      <w:r>
        <w:rPr>
          <w:snapToGrid w:val="0"/>
        </w:rPr>
        <w:tab/>
        <w:t>in the case of a secondary line or water line it has been constructed and tested in accordance with a consent in writing of the Minister; and</w:t>
      </w:r>
    </w:p>
    <w:p>
      <w:pPr>
        <w:pStyle w:val="Indenta"/>
        <w:rPr>
          <w:snapToGrid w:val="0"/>
        </w:rPr>
      </w:pPr>
      <w:r>
        <w:rPr>
          <w:snapToGrid w:val="0"/>
        </w:rPr>
        <w:tab/>
        <w:t>(c)</w:t>
      </w:r>
      <w:r>
        <w:rPr>
          <w:snapToGrid w:val="0"/>
        </w:rPr>
        <w:tab/>
        <w:t>the Minister has certified in writing that he is satisfied that the pipeline, secondary line or water line, as the case may be, has been so constructed and tested and is fit to be operated.</w:t>
      </w:r>
    </w:p>
    <w:p>
      <w:pPr>
        <w:pStyle w:val="Subsection"/>
        <w:rPr>
          <w:snapToGrid w:val="0"/>
        </w:rPr>
      </w:pPr>
      <w:r>
        <w:rPr>
          <w:snapToGrid w:val="0"/>
        </w:rPr>
        <w:tab/>
        <w:t>(5)</w:t>
      </w:r>
      <w:r>
        <w:rPr>
          <w:snapToGrid w:val="0"/>
        </w:rPr>
        <w:tab/>
        <w:t>A person shall not, in the adjacent area, recommence to operate a pipeline, a secondary line or a water line, the previous operation of which was discontinued, except with, and in accordance with, a consent in writing of the Minister.</w:t>
      </w:r>
    </w:p>
    <w:p>
      <w:pPr>
        <w:pStyle w:val="Subsection"/>
        <w:rPr>
          <w:snapToGrid w:val="0"/>
        </w:rPr>
      </w:pPr>
      <w:r>
        <w:rPr>
          <w:snapToGrid w:val="0"/>
        </w:rPr>
        <w:tab/>
        <w:t>(6)</w:t>
      </w:r>
      <w:r>
        <w:rPr>
          <w:snapToGrid w:val="0"/>
        </w:rPr>
        <w:tab/>
        <w:t>The Minister may, for reasons that he thinks sufficient, refuse to give a consent or certificate for the purposes of this section and, where he gives a consent, may attach conditions to it.</w:t>
      </w:r>
    </w:p>
    <w:p>
      <w:pPr>
        <w:pStyle w:val="Penstart"/>
        <w:rPr>
          <w:snapToGrid w:val="0"/>
        </w:rPr>
      </w:pPr>
      <w:r>
        <w:rPr>
          <w:snapToGrid w:val="0"/>
        </w:rPr>
        <w:tab/>
        <w:t>Penalty: $50 000 or imprisonment for 5 years, or both.</w:t>
      </w:r>
    </w:p>
    <w:p>
      <w:pPr>
        <w:pStyle w:val="Heading5"/>
        <w:rPr>
          <w:snapToGrid w:val="0"/>
        </w:rPr>
      </w:pPr>
      <w:bookmarkStart w:id="452" w:name="_Toc501861747"/>
      <w:bookmarkStart w:id="453" w:name="_Toc113772504"/>
      <w:bookmarkStart w:id="454" w:name="_Toc170190599"/>
      <w:bookmarkStart w:id="455" w:name="_Toc157933573"/>
      <w:r>
        <w:rPr>
          <w:rStyle w:val="CharSectno"/>
        </w:rPr>
        <w:t>61</w:t>
      </w:r>
      <w:r>
        <w:rPr>
          <w:snapToGrid w:val="0"/>
        </w:rPr>
        <w:t>.</w:t>
      </w:r>
      <w:r>
        <w:rPr>
          <w:snapToGrid w:val="0"/>
        </w:rPr>
        <w:tab/>
        <w:t>Acts done in an emergency, etc.</w:t>
      </w:r>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It is not an offence against section 60 — </w:t>
      </w:r>
    </w:p>
    <w:p>
      <w:pPr>
        <w:pStyle w:val="Indenta"/>
        <w:rPr>
          <w:snapToGrid w:val="0"/>
        </w:rPr>
      </w:pPr>
      <w:r>
        <w:rPr>
          <w:snapToGrid w:val="0"/>
        </w:rPr>
        <w:tab/>
        <w:t>(a)</w:t>
      </w:r>
      <w:r>
        <w:rPr>
          <w:snapToGrid w:val="0"/>
        </w:rPr>
        <w:tab/>
        <w:t>if, in an emergency in which there is a likelihood of loss or injury, or for the purpose of maintaining a pipeline, water line, pumping station, tank station, valve station or secondary line in good order or repair, a person does an act to avoid the loss or injury or to maintain the pipeline, water line, pumping station, tank station, valve station or secondary line in good order and repair and — </w:t>
      </w:r>
    </w:p>
    <w:p>
      <w:pPr>
        <w:pStyle w:val="Indenti"/>
        <w:spacing w:before="100"/>
        <w:rPr>
          <w:snapToGrid w:val="0"/>
        </w:rPr>
      </w:pPr>
      <w:r>
        <w:rPr>
          <w:snapToGrid w:val="0"/>
        </w:rPr>
        <w:tab/>
        <w:t>(i)</w:t>
      </w:r>
      <w:r>
        <w:rPr>
          <w:snapToGrid w:val="0"/>
        </w:rPr>
        <w:tab/>
        <w:t>as soon as practicable notifies the Minister of the act done; and</w:t>
      </w:r>
    </w:p>
    <w:p>
      <w:pPr>
        <w:pStyle w:val="Indenti"/>
        <w:spacing w:before="100"/>
        <w:rPr>
          <w:snapToGrid w:val="0"/>
        </w:rPr>
      </w:pPr>
      <w:r>
        <w:rPr>
          <w:snapToGrid w:val="0"/>
        </w:rPr>
        <w:tab/>
        <w:t>(ii)</w:t>
      </w:r>
      <w:r>
        <w:rPr>
          <w:snapToGrid w:val="0"/>
        </w:rPr>
        <w:tab/>
        <w:t xml:space="preserve">complies with any directions given to him by the Minister; </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(b)</w:t>
      </w:r>
      <w:r>
        <w:rPr>
          <w:snapToGrid w:val="0"/>
        </w:rPr>
        <w:tab/>
        <w:t>if a person does an act in compliance with a direction under this Act</w:t>
      </w:r>
      <w:del w:id="456" w:author="svcMRProcess" w:date="2020-02-19T21:14:00Z">
        <w:r>
          <w:rPr>
            <w:snapToGrid w:val="0"/>
          </w:rPr>
          <w:delText xml:space="preserve"> or the regulations</w:delText>
        </w:r>
      </w:del>
      <w:r>
        <w:rPr>
          <w:snapToGrid w:val="0"/>
        </w:rPr>
        <w:t>.</w:t>
      </w:r>
    </w:p>
    <w:p>
      <w:pPr>
        <w:pStyle w:val="Footnotesection"/>
        <w:rPr>
          <w:ins w:id="457" w:author="svcMRProcess" w:date="2020-02-19T21:14:00Z"/>
        </w:rPr>
      </w:pPr>
      <w:ins w:id="458" w:author="svcMRProcess" w:date="2020-02-19T21:14:00Z">
        <w:r>
          <w:tab/>
          <w:t>[Section 61 amended by No. 13 of 2005 s. 46(2).]</w:t>
        </w:r>
      </w:ins>
    </w:p>
    <w:p>
      <w:pPr>
        <w:pStyle w:val="Heading5"/>
        <w:rPr>
          <w:snapToGrid w:val="0"/>
        </w:rPr>
      </w:pPr>
      <w:bookmarkStart w:id="459" w:name="_Toc501861748"/>
      <w:bookmarkStart w:id="460" w:name="_Toc113772505"/>
      <w:bookmarkStart w:id="461" w:name="_Toc170190600"/>
      <w:bookmarkStart w:id="462" w:name="_Toc157933574"/>
      <w:r>
        <w:rPr>
          <w:rStyle w:val="CharSectno"/>
        </w:rPr>
        <w:t>62</w:t>
      </w:r>
      <w:r>
        <w:rPr>
          <w:snapToGrid w:val="0"/>
        </w:rPr>
        <w:t>.</w:t>
      </w:r>
      <w:r>
        <w:rPr>
          <w:snapToGrid w:val="0"/>
        </w:rPr>
        <w:tab/>
        <w:t>Removal of pipeline, etc., constructed in contravention of Act</w:t>
      </w:r>
      <w:bookmarkEnd w:id="459"/>
      <w:bookmarkEnd w:id="460"/>
      <w:bookmarkEnd w:id="461"/>
      <w:bookmarkEnd w:id="462"/>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the construction of a pipeline, water line, pumping station, tank station, valve station or secondary line is commenced, continued or completed in contravention of this Act; or</w:t>
      </w:r>
    </w:p>
    <w:p>
      <w:pPr>
        <w:pStyle w:val="Indenta"/>
        <w:spacing w:before="100"/>
        <w:rPr>
          <w:snapToGrid w:val="0"/>
        </w:rPr>
      </w:pPr>
      <w:r>
        <w:rPr>
          <w:snapToGrid w:val="0"/>
        </w:rPr>
        <w:tab/>
        <w:t>(b)</w:t>
      </w:r>
      <w:r>
        <w:rPr>
          <w:snapToGrid w:val="0"/>
        </w:rPr>
        <w:tab/>
        <w:t>a pipeline, water line, pumping station, tank station, valve station or secondary line is altered or reconstructed in contravention of this Act,</w:t>
      </w:r>
    </w:p>
    <w:p>
      <w:pPr>
        <w:pStyle w:val="Subsection"/>
        <w:spacing w:before="180"/>
        <w:rPr>
          <w:snapToGrid w:val="0"/>
        </w:rPr>
      </w:pPr>
      <w:r>
        <w:rPr>
          <w:snapToGrid w:val="0"/>
        </w:rPr>
        <w:tab/>
      </w:r>
      <w:r>
        <w:rPr>
          <w:snapToGrid w:val="0"/>
        </w:rPr>
        <w:tab/>
        <w:t>the Minister may, by instrument in writing served on the appropriate person, direct him — </w:t>
      </w:r>
    </w:p>
    <w:p>
      <w:pPr>
        <w:pStyle w:val="Indenta"/>
        <w:spacing w:before="100"/>
        <w:rPr>
          <w:snapToGrid w:val="0"/>
        </w:rPr>
      </w:pPr>
      <w:r>
        <w:rPr>
          <w:snapToGrid w:val="0"/>
        </w:rPr>
        <w:tab/>
        <w:t>(c)</w:t>
      </w:r>
      <w:r>
        <w:rPr>
          <w:snapToGrid w:val="0"/>
        </w:rPr>
        <w:tab/>
        <w:t>to make such alterations to the pipeline, water line, pumping station, tank station, valve station or secondary line as are specified in the instrument; or</w:t>
      </w:r>
    </w:p>
    <w:p>
      <w:pPr>
        <w:pStyle w:val="Indenta"/>
        <w:spacing w:before="100"/>
        <w:rPr>
          <w:snapToGrid w:val="0"/>
        </w:rPr>
      </w:pPr>
      <w:r>
        <w:rPr>
          <w:snapToGrid w:val="0"/>
        </w:rPr>
        <w:tab/>
        <w:t>(d)</w:t>
      </w:r>
      <w:r>
        <w:rPr>
          <w:snapToGrid w:val="0"/>
        </w:rPr>
        <w:tab/>
        <w:t>to move the pipeline, water line, pumping station, tank station, valve station or secondary line to a specified place in, or to remove it from, the adjacent area,</w:t>
      </w:r>
    </w:p>
    <w:p>
      <w:pPr>
        <w:pStyle w:val="Subsection"/>
        <w:spacing w:before="180"/>
        <w:rPr>
          <w:snapToGrid w:val="0"/>
        </w:rPr>
      </w:pPr>
      <w:r>
        <w:rPr>
          <w:snapToGrid w:val="0"/>
        </w:rPr>
        <w:tab/>
      </w:r>
      <w:r>
        <w:rPr>
          <w:snapToGrid w:val="0"/>
        </w:rPr>
        <w:tab/>
        <w:t>within the period specified in the instrument.</w:t>
      </w:r>
    </w:p>
    <w:p>
      <w:pPr>
        <w:pStyle w:val="Subsection"/>
        <w:keepNext/>
        <w:spacing w:before="120"/>
        <w:rPr>
          <w:snapToGrid w:val="0"/>
        </w:rPr>
      </w:pPr>
      <w:r>
        <w:rPr>
          <w:snapToGrid w:val="0"/>
        </w:rPr>
        <w:tab/>
        <w:t>(2)</w:t>
      </w:r>
      <w:r>
        <w:rPr>
          <w:snapToGrid w:val="0"/>
        </w:rPr>
        <w:tab/>
        <w:t>For the purpose of subsection (1), the appropriate person is — </w:t>
      </w:r>
    </w:p>
    <w:p>
      <w:pPr>
        <w:pStyle w:val="Indenta"/>
        <w:spacing w:before="60"/>
        <w:rPr>
          <w:snapToGrid w:val="0"/>
        </w:rPr>
      </w:pPr>
      <w:r>
        <w:rPr>
          <w:snapToGrid w:val="0"/>
        </w:rPr>
        <w:tab/>
        <w:t>(a)</w:t>
      </w:r>
      <w:r>
        <w:rPr>
          <w:snapToGrid w:val="0"/>
        </w:rPr>
        <w:tab/>
        <w:t>if the construction of the pipeline, water line, pumping station, tank station, valve station or secondary line has been completed, the owner of the pipeline, water line, pumping station, tank station, valve station or secondary line; or</w:t>
      </w:r>
    </w:p>
    <w:p>
      <w:pPr>
        <w:pStyle w:val="Indenta"/>
        <w:spacing w:before="60"/>
        <w:rPr>
          <w:snapToGrid w:val="0"/>
        </w:rPr>
      </w:pPr>
      <w:r>
        <w:rPr>
          <w:snapToGrid w:val="0"/>
        </w:rPr>
        <w:tab/>
        <w:t>(b)</w:t>
      </w:r>
      <w:r>
        <w:rPr>
          <w:snapToGrid w:val="0"/>
        </w:rPr>
        <w:tab/>
        <w:t>if the construction of the pipeline, water line, pumping station, tank station, valve station or secondary line has not been completed, the person for whom the pipeline, water line, pumping station, tank station, valve station or secondary line is being constructed.</w:t>
      </w:r>
    </w:p>
    <w:p>
      <w:pPr>
        <w:pStyle w:val="Subsection"/>
        <w:spacing w:before="120"/>
        <w:rPr>
          <w:snapToGrid w:val="0"/>
        </w:rPr>
      </w:pPr>
      <w:r>
        <w:rPr>
          <w:snapToGrid w:val="0"/>
        </w:rPr>
        <w:tab/>
        <w:t>(3)</w:t>
      </w:r>
      <w:r>
        <w:rPr>
          <w:snapToGrid w:val="0"/>
        </w:rPr>
        <w:tab/>
        <w:t>Where a person on whom there has been served an instrument under subsection (1) does not, within the period specified in the instrument or within such further period, if any, as the Minister, on application in writing served on him before the expiration of the first</w:t>
      </w:r>
      <w:r>
        <w:rPr>
          <w:snapToGrid w:val="0"/>
        </w:rPr>
        <w:noBreakHyphen/>
        <w:t>mentioned period, allows, comply with the direction, the Minister may do all or any of the things required by the direction to be done.</w:t>
      </w:r>
    </w:p>
    <w:p>
      <w:pPr>
        <w:pStyle w:val="Subsection"/>
        <w:spacing w:before="120"/>
        <w:rPr>
          <w:snapToGrid w:val="0"/>
          <w:spacing w:val="-3"/>
        </w:rPr>
      </w:pPr>
      <w:r>
        <w:rPr>
          <w:snapToGrid w:val="0"/>
          <w:spacing w:val="-3"/>
        </w:rPr>
        <w:tab/>
        <w:t>(4)</w:t>
      </w:r>
      <w:r>
        <w:rPr>
          <w:snapToGrid w:val="0"/>
          <w:spacing w:val="-3"/>
        </w:rPr>
        <w:tab/>
        <w:t>Costs and expenses incurred by the Minister under subsection (3) are a debt due by the person referred to in that subsection to the State and are recoverable in a court of competent jurisdiction.</w:t>
      </w:r>
    </w:p>
    <w:p>
      <w:pPr>
        <w:pStyle w:val="Heading5"/>
        <w:spacing w:before="180"/>
        <w:rPr>
          <w:snapToGrid w:val="0"/>
        </w:rPr>
      </w:pPr>
      <w:bookmarkStart w:id="463" w:name="_Toc501861749"/>
      <w:bookmarkStart w:id="464" w:name="_Toc113772506"/>
      <w:bookmarkStart w:id="465" w:name="_Toc170190601"/>
      <w:bookmarkStart w:id="466" w:name="_Toc157933575"/>
      <w:r>
        <w:rPr>
          <w:rStyle w:val="CharSectno"/>
        </w:rPr>
        <w:t>63</w:t>
      </w:r>
      <w:r>
        <w:rPr>
          <w:snapToGrid w:val="0"/>
        </w:rPr>
        <w:t>.</w:t>
      </w:r>
      <w:r>
        <w:rPr>
          <w:snapToGrid w:val="0"/>
        </w:rPr>
        <w:tab/>
        <w:t>Terminal station</w:t>
      </w:r>
      <w:bookmarkEnd w:id="463"/>
      <w:bookmarkEnd w:id="464"/>
      <w:bookmarkEnd w:id="465"/>
      <w:bookmarkEnd w:id="466"/>
      <w:r>
        <w:rPr>
          <w:snapToGrid w:val="0"/>
        </w:rPr>
        <w:t xml:space="preserve"> </w:t>
      </w:r>
    </w:p>
    <w:p>
      <w:pPr>
        <w:pStyle w:val="Subsection"/>
        <w:spacing w:before="120"/>
        <w:rPr>
          <w:snapToGrid w:val="0"/>
        </w:rPr>
      </w:pPr>
      <w:r>
        <w:rPr>
          <w:snapToGrid w:val="0"/>
        </w:rPr>
        <w:tab/>
      </w:r>
      <w:r>
        <w:rPr>
          <w:snapToGrid w:val="0"/>
        </w:rPr>
        <w:tab/>
        <w:t xml:space="preserve">The Minister may, by instrument published in the </w:t>
      </w:r>
      <w:r>
        <w:rPr>
          <w:i/>
          <w:snapToGrid w:val="0"/>
        </w:rPr>
        <w:t>Gazette</w:t>
      </w:r>
      <w:r>
        <w:rPr>
          <w:snapToGrid w:val="0"/>
        </w:rPr>
        <w:t>, declare a pumping station, a tank station or a valve station in the adjacent area to be a terminal station.</w:t>
      </w:r>
    </w:p>
    <w:p>
      <w:pPr>
        <w:pStyle w:val="Heading5"/>
        <w:spacing w:before="180"/>
        <w:rPr>
          <w:snapToGrid w:val="0"/>
        </w:rPr>
      </w:pPr>
      <w:bookmarkStart w:id="467" w:name="_Toc501861750"/>
      <w:bookmarkStart w:id="468" w:name="_Toc113772507"/>
      <w:bookmarkStart w:id="469" w:name="_Toc170190602"/>
      <w:bookmarkStart w:id="470" w:name="_Toc157933576"/>
      <w:r>
        <w:rPr>
          <w:rStyle w:val="CharSectno"/>
        </w:rPr>
        <w:t>64</w:t>
      </w:r>
      <w:r>
        <w:rPr>
          <w:snapToGrid w:val="0"/>
        </w:rPr>
        <w:t>.</w:t>
      </w:r>
      <w:r>
        <w:rPr>
          <w:snapToGrid w:val="0"/>
        </w:rPr>
        <w:tab/>
        <w:t>Applications for pipeline licence</w:t>
      </w:r>
      <w:bookmarkEnd w:id="467"/>
      <w:bookmarkEnd w:id="468"/>
      <w:bookmarkEnd w:id="469"/>
      <w:bookmarkEnd w:id="470"/>
      <w:r>
        <w:rPr>
          <w:snapToGrid w:val="0"/>
        </w:rPr>
        <w:t xml:space="preserve"> </w:t>
      </w:r>
    </w:p>
    <w:p>
      <w:pPr>
        <w:pStyle w:val="Subsection"/>
        <w:spacing w:before="120"/>
        <w:rPr>
          <w:snapToGrid w:val="0"/>
        </w:rPr>
      </w:pPr>
      <w:r>
        <w:rPr>
          <w:snapToGrid w:val="0"/>
        </w:rPr>
        <w:tab/>
        <w:t>(1)</w:t>
      </w:r>
      <w:r>
        <w:rPr>
          <w:snapToGrid w:val="0"/>
        </w:rPr>
        <w:tab/>
        <w:t>An application for a pipeline licence —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 </w:t>
      </w:r>
    </w:p>
    <w:p>
      <w:pPr>
        <w:pStyle w:val="Indenti"/>
        <w:spacing w:before="60"/>
        <w:rPr>
          <w:snapToGrid w:val="0"/>
        </w:rPr>
      </w:pPr>
      <w:r>
        <w:rPr>
          <w:snapToGrid w:val="0"/>
        </w:rPr>
        <w:tab/>
        <w:t>(i)</w:t>
      </w:r>
      <w:r>
        <w:rPr>
          <w:snapToGrid w:val="0"/>
        </w:rPr>
        <w:tab/>
        <w:t>the proposed design and construction of the pipeline;</w:t>
      </w:r>
    </w:p>
    <w:p>
      <w:pPr>
        <w:pStyle w:val="Indenti"/>
        <w:rPr>
          <w:snapToGrid w:val="0"/>
        </w:rPr>
      </w:pPr>
      <w:r>
        <w:rPr>
          <w:snapToGrid w:val="0"/>
        </w:rPr>
        <w:tab/>
        <w:t>(ii)</w:t>
      </w:r>
      <w:r>
        <w:rPr>
          <w:snapToGrid w:val="0"/>
        </w:rPr>
        <w:tab/>
        <w:t>the proposed size and capacity of the pipeline;</w:t>
      </w:r>
    </w:p>
    <w:p>
      <w:pPr>
        <w:pStyle w:val="Indenti"/>
        <w:rPr>
          <w:snapToGrid w:val="0"/>
        </w:rPr>
      </w:pPr>
      <w:r>
        <w:rPr>
          <w:snapToGrid w:val="0"/>
        </w:rPr>
        <w:tab/>
        <w:t>(iii)</w:t>
      </w:r>
      <w:r>
        <w:rPr>
          <w:snapToGrid w:val="0"/>
        </w:rPr>
        <w:tab/>
        <w:t>the proposals of the applicant for work and expenditure in respect of the construction of the pipeline;</w:t>
      </w:r>
    </w:p>
    <w:p>
      <w:pPr>
        <w:pStyle w:val="Indenti"/>
        <w:rPr>
          <w:snapToGrid w:val="0"/>
        </w:rPr>
      </w:pPr>
      <w:r>
        <w:rPr>
          <w:snapToGrid w:val="0"/>
        </w:rPr>
        <w:tab/>
        <w:t>(iv)</w:t>
      </w:r>
      <w:r>
        <w:rPr>
          <w:snapToGrid w:val="0"/>
        </w:rPr>
        <w:tab/>
        <w:t>the technical qualifications of the applicant and of his employees;</w:t>
      </w:r>
    </w:p>
    <w:p>
      <w:pPr>
        <w:pStyle w:val="Indenti"/>
        <w:rPr>
          <w:snapToGrid w:val="0"/>
        </w:rPr>
      </w:pPr>
      <w:r>
        <w:rPr>
          <w:snapToGrid w:val="0"/>
        </w:rPr>
        <w:tab/>
        <w:t>(v)</w:t>
      </w:r>
      <w:r>
        <w:rPr>
          <w:snapToGrid w:val="0"/>
        </w:rPr>
        <w:tab/>
        <w:t>the technical advice available to the applicant;</w:t>
      </w:r>
    </w:p>
    <w:p>
      <w:pPr>
        <w:pStyle w:val="Indenti"/>
        <w:rPr>
          <w:snapToGrid w:val="0"/>
        </w:rPr>
      </w:pPr>
      <w:r>
        <w:rPr>
          <w:snapToGrid w:val="0"/>
        </w:rPr>
        <w:tab/>
        <w:t>(vi)</w:t>
      </w:r>
      <w:r>
        <w:rPr>
          <w:snapToGrid w:val="0"/>
        </w:rPr>
        <w:tab/>
        <w:t>the financial resources available to the applicant; and</w:t>
      </w:r>
    </w:p>
    <w:p>
      <w:pPr>
        <w:pStyle w:val="Indenti"/>
        <w:rPr>
          <w:snapToGrid w:val="0"/>
        </w:rPr>
      </w:pPr>
      <w:r>
        <w:rPr>
          <w:snapToGrid w:val="0"/>
        </w:rPr>
        <w:tab/>
        <w:t>(vii)</w:t>
      </w:r>
      <w:r>
        <w:rPr>
          <w:snapToGrid w:val="0"/>
        </w:rPr>
        <w:tab/>
        <w:t>any agreements entered into, or proposed to be entered into, by the applicant for or in relation to the supply or conveyance of petroleum by means of the pipeline;</w:t>
      </w:r>
    </w:p>
    <w:p>
      <w:pPr>
        <w:pStyle w:val="Indenta"/>
        <w:rPr>
          <w:snapToGrid w:val="0"/>
        </w:rPr>
      </w:pPr>
      <w:r>
        <w:rPr>
          <w:snapToGrid w:val="0"/>
        </w:rPr>
        <w:tab/>
        <w:t>(d)</w:t>
      </w:r>
      <w:r>
        <w:rPr>
          <w:snapToGrid w:val="0"/>
        </w:rPr>
        <w:tab/>
        <w:t>shall be accompanied by a plan, drawn to an approved scale, showing — </w:t>
      </w:r>
    </w:p>
    <w:p>
      <w:pPr>
        <w:pStyle w:val="Indenti"/>
        <w:rPr>
          <w:snapToGrid w:val="0"/>
        </w:rPr>
      </w:pPr>
      <w:r>
        <w:rPr>
          <w:snapToGrid w:val="0"/>
        </w:rPr>
        <w:tab/>
        <w:t>(i)</w:t>
      </w:r>
      <w:r>
        <w:rPr>
          <w:snapToGrid w:val="0"/>
        </w:rPr>
        <w:tab/>
        <w:t>the route to be followed by the pipeline;</w:t>
      </w:r>
    </w:p>
    <w:p>
      <w:pPr>
        <w:pStyle w:val="Indenti"/>
        <w:rPr>
          <w:snapToGrid w:val="0"/>
        </w:rPr>
      </w:pPr>
      <w:r>
        <w:rPr>
          <w:snapToGrid w:val="0"/>
        </w:rPr>
        <w:tab/>
        <w:t>(ii)</w:t>
      </w:r>
      <w:r>
        <w:rPr>
          <w:snapToGrid w:val="0"/>
        </w:rPr>
        <w:tab/>
        <w:t>the sites of pumping stations, tank stations and valve stations to be used in connection with the pipeline; and</w:t>
      </w:r>
    </w:p>
    <w:p>
      <w:pPr>
        <w:pStyle w:val="Indenti"/>
        <w:rPr>
          <w:snapToGrid w:val="0"/>
        </w:rPr>
      </w:pPr>
      <w:r>
        <w:rPr>
          <w:snapToGrid w:val="0"/>
        </w:rPr>
        <w:tab/>
        <w:t>(iii)</w:t>
      </w:r>
      <w:r>
        <w:rPr>
          <w:snapToGrid w:val="0"/>
        </w:rPr>
        <w:tab/>
        <w:t>the site of any pumping station, tank station or valve station that the applicant desires to be declared under section 63 to be a terminal station in connection with the pipeline;</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spacing w:before="180"/>
        <w:rPr>
          <w:snapToGrid w:val="0"/>
        </w:rPr>
      </w:pPr>
      <w:r>
        <w:rPr>
          <w:snapToGrid w:val="0"/>
        </w:rPr>
        <w:tab/>
        <w:t>(2)</w:t>
      </w:r>
      <w:r>
        <w:rPr>
          <w:snapToGrid w:val="0"/>
        </w:rPr>
        <w:tab/>
        <w:t xml:space="preserve">Where a notice is published in the </w:t>
      </w:r>
      <w:r>
        <w:rPr>
          <w:i/>
          <w:snapToGrid w:val="0"/>
        </w:rPr>
        <w:t>Gazette</w:t>
      </w:r>
      <w:r>
        <w:rPr>
          <w:snapToGrid w:val="0"/>
        </w:rPr>
        <w:t> — </w:t>
      </w:r>
    </w:p>
    <w:p>
      <w:pPr>
        <w:pStyle w:val="Indenta"/>
        <w:rPr>
          <w:snapToGrid w:val="0"/>
        </w:rPr>
      </w:pPr>
      <w:r>
        <w:rPr>
          <w:snapToGrid w:val="0"/>
        </w:rPr>
        <w:tab/>
        <w:t>(a)</w:t>
      </w:r>
      <w:r>
        <w:rPr>
          <w:snapToGrid w:val="0"/>
        </w:rPr>
        <w:tab/>
        <w:t>of an application by a person other than the licensee for a pipeline licence in respect of the construction of a pipeline for the conveyance of petroleum recovered in a licence area; or</w:t>
      </w:r>
    </w:p>
    <w:p>
      <w:pPr>
        <w:pStyle w:val="Indenta"/>
        <w:rPr>
          <w:snapToGrid w:val="0"/>
        </w:rPr>
      </w:pPr>
      <w:r>
        <w:rPr>
          <w:snapToGrid w:val="0"/>
        </w:rPr>
        <w:tab/>
        <w:t>(b)</w:t>
      </w:r>
      <w:r>
        <w:rPr>
          <w:snapToGrid w:val="0"/>
        </w:rPr>
        <w:tab/>
        <w:t>of an application by a person other than the pipeline operator under the Commonwealth Act or a corresponding law for a pipeline licence in respect of the construction of a pipeline for the conveyance of petroleum recovered in a licence area under the Commonwealth Act or a corresponding law,</w:t>
      </w:r>
    </w:p>
    <w:p>
      <w:pPr>
        <w:pStyle w:val="Subsection"/>
        <w:rPr>
          <w:snapToGrid w:val="0"/>
        </w:rPr>
      </w:pPr>
      <w:r>
        <w:rPr>
          <w:snapToGrid w:val="0"/>
        </w:rPr>
        <w:tab/>
      </w:r>
      <w:r>
        <w:rPr>
          <w:snapToGrid w:val="0"/>
        </w:rPr>
        <w:tab/>
        <w:t>the licensee or, as the case may be, the pipeline operator under the Commonwealth Act or a corresponding law may, within a period of 3 months after the date of publication of the notice, or within such further period, not exceeding 3 months, as the Minister, on application in writing served on him before the expiration of the first</w:t>
      </w:r>
      <w:r>
        <w:rPr>
          <w:snapToGrid w:val="0"/>
        </w:rPr>
        <w:noBreakHyphen/>
        <w:t>mentioned period of 3 months, allows, make an application for a pipeline licence referred to in paragraph (a) or (b), as the case requires, and in the application request that the application referred to in the notice be rejected.</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 xml:space="preserve">a notice referred to in subsection (2) is published in the </w:t>
      </w:r>
      <w:r>
        <w:rPr>
          <w:i/>
          <w:snapToGrid w:val="0"/>
        </w:rPr>
        <w:t>Gazette</w:t>
      </w:r>
      <w:r>
        <w:rPr>
          <w:snapToGrid w:val="0"/>
        </w:rPr>
        <w:t>; and</w:t>
      </w:r>
    </w:p>
    <w:p>
      <w:pPr>
        <w:pStyle w:val="Indenta"/>
        <w:rPr>
          <w:snapToGrid w:val="0"/>
        </w:rPr>
      </w:pPr>
      <w:r>
        <w:rPr>
          <w:snapToGrid w:val="0"/>
        </w:rPr>
        <w:tab/>
        <w:t>(b)</w:t>
      </w:r>
      <w:r>
        <w:rPr>
          <w:snapToGrid w:val="0"/>
        </w:rPr>
        <w:tab/>
        <w:t>a pipeline licence is granted to the licensee or to the pipeline operator under the Commonwealth Act or a corresponding law on an application under subsection (2),</w:t>
      </w:r>
    </w:p>
    <w:p>
      <w:pPr>
        <w:pStyle w:val="Subsection"/>
        <w:rPr>
          <w:snapToGrid w:val="0"/>
        </w:rPr>
      </w:pPr>
      <w:r>
        <w:rPr>
          <w:snapToGrid w:val="0"/>
        </w:rPr>
        <w:tab/>
      </w:r>
      <w:r>
        <w:rPr>
          <w:snapToGrid w:val="0"/>
        </w:rPr>
        <w:tab/>
        <w:t>the Minister shall, by instrument in writing served on the applicant, reject the application referred to in the notice.</w:t>
      </w:r>
    </w:p>
    <w:p>
      <w:pPr>
        <w:pStyle w:val="Subsection"/>
        <w:rPr>
          <w:snapToGrid w:val="0"/>
        </w:rPr>
      </w:pPr>
      <w:r>
        <w:rPr>
          <w:snapToGrid w:val="0"/>
        </w:rPr>
        <w:tab/>
        <w:t>(4)</w:t>
      </w:r>
      <w:r>
        <w:rPr>
          <w:snapToGrid w:val="0"/>
        </w:rPr>
        <w:tab/>
        <w:t>The Minister may, at any time, by instrument in writing served on a person who has made an application under this section, require him to furnish, within the time specified in the instrument, further information in writing in connection with his application.</w:t>
      </w:r>
    </w:p>
    <w:p>
      <w:pPr>
        <w:pStyle w:val="Subsection"/>
        <w:rPr>
          <w:snapToGrid w:val="0"/>
        </w:rPr>
      </w:pPr>
      <w:r>
        <w:rPr>
          <w:snapToGrid w:val="0"/>
        </w:rPr>
        <w:tab/>
        <w:t>(5)</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has the same meaning as in section 65.</w:t>
      </w:r>
    </w:p>
    <w:p>
      <w:pPr>
        <w:pStyle w:val="Footnotesection"/>
      </w:pPr>
      <w:r>
        <w:tab/>
        <w:t>[Section 64 amended by No. 12 of 1990 s.192</w:t>
      </w:r>
      <w:r>
        <w:rPr>
          <w:vertAlign w:val="superscript"/>
        </w:rPr>
        <w:t xml:space="preserve"> 2</w:t>
      </w:r>
      <w:r>
        <w:t xml:space="preserve">.] </w:t>
      </w:r>
    </w:p>
    <w:p>
      <w:pPr>
        <w:pStyle w:val="Heading5"/>
        <w:rPr>
          <w:snapToGrid w:val="0"/>
        </w:rPr>
      </w:pPr>
      <w:bookmarkStart w:id="471" w:name="_Toc501861751"/>
      <w:bookmarkStart w:id="472" w:name="_Toc113772508"/>
      <w:bookmarkStart w:id="473" w:name="_Toc170190603"/>
      <w:bookmarkStart w:id="474" w:name="_Toc157933577"/>
      <w:r>
        <w:rPr>
          <w:rStyle w:val="CharSectno"/>
        </w:rPr>
        <w:t>65</w:t>
      </w:r>
      <w:r>
        <w:rPr>
          <w:snapToGrid w:val="0"/>
        </w:rPr>
        <w:t>.</w:t>
      </w:r>
      <w:r>
        <w:rPr>
          <w:snapToGrid w:val="0"/>
        </w:rPr>
        <w:tab/>
        <w:t>Grant or refusal of pipeline licence</w:t>
      </w:r>
      <w:bookmarkEnd w:id="471"/>
      <w:bookmarkEnd w:id="472"/>
      <w:bookmarkEnd w:id="473"/>
      <w:bookmarkEnd w:id="474"/>
      <w:r>
        <w:rPr>
          <w:snapToGrid w:val="0"/>
        </w:rPr>
        <w:t xml:space="preserve"> </w:t>
      </w:r>
    </w:p>
    <w:p>
      <w:pPr>
        <w:pStyle w:val="Subsection"/>
        <w:rPr>
          <w:snapToGrid w:val="0"/>
        </w:rPr>
      </w:pPr>
      <w:r>
        <w:rPr>
          <w:snapToGrid w:val="0"/>
        </w:rPr>
        <w:tab/>
        <w:t>(1)</w:t>
      </w:r>
      <w:r>
        <w:rPr>
          <w:snapToGrid w:val="0"/>
        </w:rPr>
        <w:tab/>
        <w:t>Where a person makes an application in accordance with section 64, the Minister — </w:t>
      </w:r>
    </w:p>
    <w:p>
      <w:pPr>
        <w:pStyle w:val="Indenta"/>
        <w:rPr>
          <w:snapToGrid w:val="0"/>
        </w:rPr>
      </w:pPr>
      <w:r>
        <w:rPr>
          <w:snapToGrid w:val="0"/>
        </w:rPr>
        <w:tab/>
        <w:t>(a)</w:t>
      </w:r>
      <w:r>
        <w:rPr>
          <w:snapToGrid w:val="0"/>
        </w:rPr>
        <w:tab/>
        <w:t>may, if that person is not the licensee and the application has not been rejected under section 64(3); or</w:t>
      </w:r>
    </w:p>
    <w:p>
      <w:pPr>
        <w:pStyle w:val="Indenta"/>
        <w:rPr>
          <w:snapToGrid w:val="0"/>
        </w:rPr>
      </w:pPr>
      <w:r>
        <w:rPr>
          <w:snapToGrid w:val="0"/>
        </w:rPr>
        <w:tab/>
        <w:t>(b)</w:t>
      </w:r>
      <w:r>
        <w:rPr>
          <w:snapToGrid w:val="0"/>
        </w:rPr>
        <w:tab/>
        <w:t>shall, if the application is by a pipeline operator under the Commonwealth Act or a corresponding law,</w:t>
      </w:r>
    </w:p>
    <w:p>
      <w:pPr>
        <w:pStyle w:val="Subsection"/>
        <w:rPr>
          <w:snapToGrid w:val="0"/>
        </w:rPr>
      </w:pPr>
      <w:r>
        <w:rPr>
          <w:snapToGrid w:val="0"/>
        </w:rPr>
        <w:tab/>
      </w:r>
      <w:r>
        <w:rPr>
          <w:snapToGrid w:val="0"/>
        </w:rPr>
        <w:tab/>
        <w:t>inform the applicant, by instrument in writing served on the applicant, that the Minister is prepared to grant a pipeline licence to the applicant.</w:t>
      </w:r>
    </w:p>
    <w:p>
      <w:pPr>
        <w:pStyle w:val="Subsection"/>
        <w:rPr>
          <w:snapToGrid w:val="0"/>
        </w:rPr>
      </w:pPr>
      <w:r>
        <w:rPr>
          <w:snapToGrid w:val="0"/>
        </w:rPr>
        <w:tab/>
        <w:t>(2)</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 </w:t>
      </w:r>
    </w:p>
    <w:p>
      <w:pPr>
        <w:pStyle w:val="Indenta"/>
        <w:rPr>
          <w:snapToGrid w:val="0"/>
          <w:spacing w:val="-2"/>
        </w:rPr>
      </w:pPr>
      <w:r>
        <w:rPr>
          <w:snapToGrid w:val="0"/>
          <w:spacing w:val="-2"/>
        </w:rPr>
        <w:tab/>
        <w:t>(a)</w:t>
      </w:r>
      <w:r>
        <w:rPr>
          <w:snapToGrid w:val="0"/>
          <w:spacing w:val="-2"/>
        </w:rPr>
        <w:tab/>
        <w:t>shall, if the conditions to which the licence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 </w:t>
      </w:r>
    </w:p>
    <w:p>
      <w:pPr>
        <w:pStyle w:val="Indenti"/>
        <w:rPr>
          <w:snapToGrid w:val="0"/>
        </w:rPr>
      </w:pPr>
      <w:r>
        <w:rPr>
          <w:snapToGrid w:val="0"/>
        </w:rPr>
        <w:tab/>
        <w:t>(i)</w:t>
      </w:r>
      <w:r>
        <w:rPr>
          <w:snapToGrid w:val="0"/>
        </w:rPr>
        <w:tab/>
        <w:t>any of the conditions to which the licence is, or has from time to time been, subject of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a pipeline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a pipeline licence.</w:t>
      </w:r>
    </w:p>
    <w:p>
      <w:pPr>
        <w:pStyle w:val="Subsection"/>
        <w:rPr>
          <w:snapToGrid w:val="0"/>
        </w:rPr>
      </w:pPr>
      <w:r>
        <w:rPr>
          <w:snapToGrid w:val="0"/>
        </w:rPr>
        <w:tab/>
        <w:t>(3)</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shall, if — </w:t>
      </w:r>
    </w:p>
    <w:p>
      <w:pPr>
        <w:pStyle w:val="Indenta"/>
        <w:rPr>
          <w:snapToGrid w:val="0"/>
        </w:rPr>
      </w:pPr>
      <w:r>
        <w:rPr>
          <w:snapToGrid w:val="0"/>
        </w:rPr>
        <w:tab/>
        <w:t>(a)</w:t>
      </w:r>
      <w:r>
        <w:rPr>
          <w:snapToGrid w:val="0"/>
        </w:rPr>
        <w:tab/>
        <w:t>any of the conditions to which the pipeline licence is, or has from time to time been, subject or any of the provisions of this Part and the regulations has not been complied with; and</w:t>
      </w:r>
    </w:p>
    <w:p>
      <w:pPr>
        <w:pStyle w:val="Indenta"/>
        <w:rPr>
          <w:snapToGrid w:val="0"/>
        </w:rPr>
      </w:pPr>
      <w:r>
        <w:rPr>
          <w:snapToGrid w:val="0"/>
        </w:rPr>
        <w:tab/>
        <w:t>(b)</w:t>
      </w:r>
      <w:r>
        <w:rPr>
          <w:snapToGrid w:val="0"/>
        </w:rPr>
        <w:tab/>
        <w:t>the Minister is not satisfied that special circumstances exist that justify the granting of the pipeline licence,</w:t>
      </w:r>
    </w:p>
    <w:p>
      <w:pPr>
        <w:pStyle w:val="Subsection"/>
        <w:spacing w:before="120"/>
        <w:rPr>
          <w:snapToGrid w:val="0"/>
        </w:rPr>
      </w:pPr>
      <w:r>
        <w:rPr>
          <w:snapToGrid w:val="0"/>
        </w:rPr>
        <w:tab/>
      </w:r>
      <w:r>
        <w:rPr>
          <w:snapToGrid w:val="0"/>
        </w:rPr>
        <w:tab/>
        <w:t>by instrument in writing served on the person who is then the licensee, refuse to grant the pipeline licence.</w:t>
      </w:r>
    </w:p>
    <w:p>
      <w:pPr>
        <w:pStyle w:val="Subsection"/>
        <w:spacing w:before="120"/>
        <w:rPr>
          <w:snapToGrid w:val="0"/>
        </w:rPr>
      </w:pPr>
      <w:r>
        <w:rPr>
          <w:snapToGrid w:val="0"/>
        </w:rPr>
        <w:tab/>
        <w:t>(4)</w:t>
      </w:r>
      <w:r>
        <w:rPr>
          <w:snapToGrid w:val="0"/>
        </w:rPr>
        <w:tab/>
        <w:t>The Minister shall not, under subsection (3), refuse to grant a pipeline licence to a licensee unless —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pipeline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 xml:space="preserve">specified a date on or before which the licensee or a person on whom a copy of the instrument is served may, by instrument in writing served on the Minister, submit any matters that he wishes the Minister to consider;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spacing w:before="120"/>
        <w:rPr>
          <w:snapToGrid w:val="0"/>
        </w:rPr>
      </w:pPr>
      <w:r>
        <w:rPr>
          <w:snapToGrid w:val="0"/>
        </w:rPr>
        <w:tab/>
        <w:t>(5)</w:t>
      </w:r>
      <w:r>
        <w:rPr>
          <w:snapToGrid w:val="0"/>
        </w:rPr>
        <w:tab/>
        <w:t>Where a person other than the licensee or the pipeline operator under the Commonwealth Act or a corresponding law makes an application in accordance with section 64 for a pipeline licence in respect of the construction of a pipeline for the conveyance of petroleum recovered in a licence area or, as the case may be, a licence area under the Commonwealth Act or a corresponding law, the Minister may, by instrument in writing served on the applicant, refuse to grant a pipeline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 </w:t>
      </w:r>
    </w:p>
    <w:p>
      <w:pPr>
        <w:pStyle w:val="Indenta"/>
        <w:rPr>
          <w:snapToGrid w:val="0"/>
        </w:rPr>
      </w:pPr>
      <w:r>
        <w:rPr>
          <w:snapToGrid w:val="0"/>
        </w:rPr>
        <w:tab/>
        <w:t>(a)</w:t>
      </w:r>
      <w:r>
        <w:rPr>
          <w:snapToGrid w:val="0"/>
        </w:rPr>
        <w:tab/>
        <w:t>shall specify the route to be followed by the pipeline;</w:t>
      </w:r>
    </w:p>
    <w:p>
      <w:pPr>
        <w:pStyle w:val="Indenta"/>
        <w:rPr>
          <w:snapToGrid w:val="0"/>
        </w:rPr>
      </w:pPr>
      <w:r>
        <w:rPr>
          <w:snapToGrid w:val="0"/>
        </w:rPr>
        <w:tab/>
        <w:t>(b)</w:t>
      </w:r>
      <w:r>
        <w:rPr>
          <w:snapToGrid w:val="0"/>
        </w:rPr>
        <w:tab/>
        <w:t>shall contain a summary of the conditions subject to which the pipeline licence is to be granted; and</w:t>
      </w:r>
    </w:p>
    <w:p>
      <w:pPr>
        <w:pStyle w:val="Indenta"/>
        <w:rPr>
          <w:snapToGrid w:val="0"/>
        </w:rPr>
      </w:pPr>
      <w:r>
        <w:rPr>
          <w:snapToGrid w:val="0"/>
        </w:rPr>
        <w:tab/>
        <w:t>(c)</w:t>
      </w:r>
      <w:r>
        <w:rPr>
          <w:snapToGrid w:val="0"/>
        </w:rPr>
        <w:tab/>
        <w:t>shall contain a statement to the effect that the application will lapse if the applicant does not make a request under subsection (9).</w:t>
      </w:r>
    </w:p>
    <w:p>
      <w:pPr>
        <w:pStyle w:val="Subsection"/>
        <w:rPr>
          <w:snapToGrid w:val="0"/>
        </w:rPr>
      </w:pPr>
      <w:r>
        <w:rPr>
          <w:snapToGrid w:val="0"/>
        </w:rPr>
        <w:tab/>
        <w:t>(8)</w:t>
      </w:r>
      <w:r>
        <w:rPr>
          <w:snapToGrid w:val="0"/>
        </w:rPr>
        <w:tab/>
        <w:t>The route to be specified in an instrument under subsection (1) or (2) shall be — </w:t>
      </w:r>
    </w:p>
    <w:p>
      <w:pPr>
        <w:pStyle w:val="Indenta"/>
        <w:rPr>
          <w:snapToGrid w:val="0"/>
        </w:rPr>
      </w:pPr>
      <w:r>
        <w:rPr>
          <w:snapToGrid w:val="0"/>
        </w:rPr>
        <w:tab/>
        <w:t>(a)</w:t>
      </w:r>
      <w:r>
        <w:rPr>
          <w:snapToGrid w:val="0"/>
        </w:rPr>
        <w:tab/>
        <w:t>the route shown in the plan accompanying the application; or</w:t>
      </w:r>
    </w:p>
    <w:p>
      <w:pPr>
        <w:pStyle w:val="Indenta"/>
        <w:rPr>
          <w:snapToGrid w:val="0"/>
        </w:rPr>
      </w:pPr>
      <w:r>
        <w:rPr>
          <w:snapToGrid w:val="0"/>
        </w:rPr>
        <w:tab/>
        <w:t>(b)</w:t>
      </w:r>
      <w:r>
        <w:rPr>
          <w:snapToGrid w:val="0"/>
        </w:rPr>
        <w:tab/>
        <w:t>if the Minister is of the opinion that, for any reason, that route is not appropriate, a route that, in the opinion of the Minister, is appropriate.</w:t>
      </w:r>
    </w:p>
    <w:p>
      <w:pPr>
        <w:pStyle w:val="Subsection"/>
        <w:rPr>
          <w:snapToGrid w:val="0"/>
        </w:rPr>
      </w:pPr>
      <w:r>
        <w:rPr>
          <w:snapToGrid w:val="0"/>
        </w:rPr>
        <w:tab/>
        <w:t>(9)</w:t>
      </w:r>
      <w:r>
        <w:rPr>
          <w:snapToGrid w:val="0"/>
        </w:rPr>
        <w:tab/>
        <w:t>A person on whom there has been served an instrument under subsection (1) or (2)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pipeline licence.</w:t>
      </w:r>
    </w:p>
    <w:p>
      <w:pPr>
        <w:pStyle w:val="Subsection"/>
        <w:rPr>
          <w:snapToGrid w:val="0"/>
        </w:rPr>
      </w:pPr>
      <w:r>
        <w:rPr>
          <w:snapToGrid w:val="0"/>
        </w:rPr>
        <w:tab/>
        <w:t>(10)</w:t>
      </w:r>
      <w:r>
        <w:rPr>
          <w:snapToGrid w:val="0"/>
        </w:rPr>
        <w:tab/>
        <w:t>Where a person on whom there has been served an instrument under subsection (1) or (2) has made a request under subsection (9) within the period applicable under subsection (9), the Minister shall grant to that person a licence to construct and operate a pipeline in respect of the pipeline specified in the instrument.</w:t>
      </w:r>
    </w:p>
    <w:p>
      <w:pPr>
        <w:pStyle w:val="Subsection"/>
        <w:spacing w:before="180"/>
        <w:rPr>
          <w:snapToGrid w:val="0"/>
        </w:rPr>
      </w:pPr>
      <w:r>
        <w:rPr>
          <w:snapToGrid w:val="0"/>
        </w:rPr>
        <w:tab/>
        <w:t>(11)</w:t>
      </w:r>
      <w:r>
        <w:rPr>
          <w:snapToGrid w:val="0"/>
        </w:rPr>
        <w:tab/>
        <w:t>Where a person on whom there has been served an instrument under subsection (1) or (2) has not made a request under subsection (9) within the period applicable under subsection (9), the application lapses upon the expiration of that period.</w:t>
      </w:r>
    </w:p>
    <w:p>
      <w:pPr>
        <w:pStyle w:val="Ednotesubsection"/>
      </w:pPr>
      <w:r>
        <w:tab/>
        <w:t>[(12)</w:t>
      </w:r>
      <w:r>
        <w:tab/>
        <w:t>repealed]</w:t>
      </w:r>
    </w:p>
    <w:p>
      <w:pPr>
        <w:pStyle w:val="Subsection"/>
        <w:spacing w:before="180"/>
        <w:rPr>
          <w:snapToGrid w:val="0"/>
        </w:rPr>
      </w:pPr>
      <w:r>
        <w:rPr>
          <w:snapToGrid w:val="0"/>
        </w:rPr>
        <w:tab/>
        <w:t>(13)</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means a person who is entitled under the Commonwealth Act or a corresponding law to carry on operations for the recovery of petroleum in an area outside the adjacent area and who the Minister is satisfied is or will be entitled to construct a pipeline from the first</w:t>
      </w:r>
      <w:r>
        <w:rPr>
          <w:snapToGrid w:val="0"/>
        </w:rPr>
        <w:noBreakHyphen/>
        <w:t>mentioned area to the boundary of the adjacent area.</w:t>
      </w:r>
    </w:p>
    <w:p>
      <w:pPr>
        <w:pStyle w:val="Footnotesection"/>
      </w:pPr>
      <w:r>
        <w:tab/>
        <w:t>[Section 65 amended by No. 12 of 1990 s.193</w:t>
      </w:r>
      <w:r>
        <w:rPr>
          <w:vertAlign w:val="superscript"/>
        </w:rPr>
        <w:t xml:space="preserve"> 2</w:t>
      </w:r>
      <w:r>
        <w:t xml:space="preserve">; No. 28 of 1994 s.100.] </w:t>
      </w:r>
    </w:p>
    <w:p>
      <w:pPr>
        <w:pStyle w:val="Heading5"/>
        <w:spacing w:before="240"/>
        <w:rPr>
          <w:snapToGrid w:val="0"/>
        </w:rPr>
      </w:pPr>
      <w:bookmarkStart w:id="475" w:name="_Toc501861752"/>
      <w:bookmarkStart w:id="476" w:name="_Toc113772509"/>
      <w:bookmarkStart w:id="477" w:name="_Toc170190604"/>
      <w:bookmarkStart w:id="478" w:name="_Toc157933578"/>
      <w:r>
        <w:rPr>
          <w:rStyle w:val="CharSectno"/>
        </w:rPr>
        <w:t>66</w:t>
      </w:r>
      <w:r>
        <w:rPr>
          <w:snapToGrid w:val="0"/>
        </w:rPr>
        <w:t>.</w:t>
      </w:r>
      <w:r>
        <w:rPr>
          <w:snapToGrid w:val="0"/>
        </w:rPr>
        <w:tab/>
        <w:t>Rights conferred by pipeline licence</w:t>
      </w:r>
      <w:r>
        <w:rPr>
          <w:snapToGrid w:val="0"/>
          <w:vertAlign w:val="superscript"/>
        </w:rPr>
        <w:t xml:space="preserve"> 2</w:t>
      </w:r>
      <w:bookmarkEnd w:id="475"/>
      <w:bookmarkEnd w:id="476"/>
      <w:bookmarkEnd w:id="477"/>
      <w:bookmarkEnd w:id="478"/>
    </w:p>
    <w:p>
      <w:pPr>
        <w:pStyle w:val="Subsection"/>
        <w:spacing w:before="180"/>
        <w:rPr>
          <w:snapToGrid w:val="0"/>
        </w:rPr>
      </w:pPr>
      <w:r>
        <w:rPr>
          <w:snapToGrid w:val="0"/>
        </w:rPr>
        <w:tab/>
      </w:r>
      <w:r>
        <w:rPr>
          <w:snapToGrid w:val="0"/>
        </w:rPr>
        <w:tab/>
        <w:t xml:space="preserve">A pipeline licence, while it remains in force, authorizes the pipeline licensee, subject to this Act and </w:t>
      </w:r>
      <w:del w:id="479" w:author="svcMRProcess" w:date="2020-02-19T21:14:00Z">
        <w:r>
          <w:rPr>
            <w:snapToGrid w:val="0"/>
          </w:rPr>
          <w:delText xml:space="preserve">the regulations and </w:delText>
        </w:r>
      </w:del>
      <w:r>
        <w:rPr>
          <w:snapToGrid w:val="0"/>
        </w:rPr>
        <w:t>in accordance with the conditions to which the pipeline licence is subject — </w:t>
      </w:r>
    </w:p>
    <w:p>
      <w:pPr>
        <w:pStyle w:val="Indenta"/>
        <w:spacing w:before="100"/>
        <w:rPr>
          <w:snapToGrid w:val="0"/>
        </w:rPr>
      </w:pPr>
      <w:r>
        <w:rPr>
          <w:snapToGrid w:val="0"/>
        </w:rPr>
        <w:tab/>
        <w:t>(a)</w:t>
      </w:r>
      <w:r>
        <w:rPr>
          <w:snapToGrid w:val="0"/>
        </w:rPr>
        <w:tab/>
        <w:t>to construct in the adjacent area — </w:t>
      </w:r>
    </w:p>
    <w:p>
      <w:pPr>
        <w:pStyle w:val="Indenti"/>
        <w:spacing w:before="100"/>
        <w:rPr>
          <w:snapToGrid w:val="0"/>
        </w:rPr>
      </w:pPr>
      <w:r>
        <w:rPr>
          <w:snapToGrid w:val="0"/>
        </w:rPr>
        <w:tab/>
        <w:t>(i)</w:t>
      </w:r>
      <w:r>
        <w:rPr>
          <w:snapToGrid w:val="0"/>
        </w:rPr>
        <w:tab/>
        <w:t>a pipeline of the design, construction, size and capacity specified in the pipeline licence along the route, and in the position in relation to the seabed in the adjacent area, so specified; and</w:t>
      </w:r>
    </w:p>
    <w:p>
      <w:pPr>
        <w:pStyle w:val="Indenti"/>
        <w:spacing w:before="100"/>
        <w:rPr>
          <w:snapToGrid w:val="0"/>
        </w:rPr>
      </w:pPr>
      <w:r>
        <w:rPr>
          <w:snapToGrid w:val="0"/>
        </w:rPr>
        <w:tab/>
        <w:t>(ii)</w:t>
      </w:r>
      <w:r>
        <w:rPr>
          <w:snapToGrid w:val="0"/>
        </w:rPr>
        <w:tab/>
        <w:t>the pumping stations, tank stations and valve stations so specified in the positions so specified;</w:t>
      </w:r>
    </w:p>
    <w:p>
      <w:pPr>
        <w:pStyle w:val="Indenta"/>
        <w:spacing w:before="100"/>
        <w:rPr>
          <w:snapToGrid w:val="0"/>
        </w:rPr>
      </w:pPr>
      <w:r>
        <w:rPr>
          <w:snapToGrid w:val="0"/>
        </w:rPr>
        <w:tab/>
        <w:t>(b)</w:t>
      </w:r>
      <w:r>
        <w:rPr>
          <w:snapToGrid w:val="0"/>
        </w:rPr>
        <w:tab/>
        <w:t>to operate that pipeline and those pumping stations, tank stations and valve stations; and</w:t>
      </w:r>
    </w:p>
    <w:p>
      <w:pPr>
        <w:pStyle w:val="Indenta"/>
        <w:rPr>
          <w:snapToGrid w:val="0"/>
        </w:rPr>
      </w:pPr>
      <w:r>
        <w:rPr>
          <w:snapToGrid w:val="0"/>
        </w:rPr>
        <w:tab/>
        <w:t>(c)</w:t>
      </w:r>
      <w:r>
        <w:rPr>
          <w:snapToGrid w:val="0"/>
        </w:rPr>
        <w:tab/>
        <w:t>to carry on such operations, to execute such works and to do all such other things in the adjacent area as are necessary for or incidental to the construction and operation of that pipeline and of those pumping stations, tank stations and valve stations.</w:t>
      </w:r>
    </w:p>
    <w:p>
      <w:pPr>
        <w:pStyle w:val="Footnotesection"/>
        <w:rPr>
          <w:ins w:id="480" w:author="svcMRProcess" w:date="2020-02-19T21:14:00Z"/>
        </w:rPr>
      </w:pPr>
      <w:ins w:id="481" w:author="svcMRProcess" w:date="2020-02-19T21:14:00Z">
        <w:r>
          <w:tab/>
          <w:t>[Section 66 amended by No. 13 of 2005 s. 46(1).]</w:t>
        </w:r>
      </w:ins>
    </w:p>
    <w:p>
      <w:pPr>
        <w:pStyle w:val="Ednotesection"/>
      </w:pPr>
      <w:r>
        <w:t>[</w:t>
      </w:r>
      <w:r>
        <w:rPr>
          <w:b/>
        </w:rPr>
        <w:t>66A</w:t>
      </w:r>
      <w:r>
        <w:t>.</w:t>
      </w:r>
      <w:r>
        <w:tab/>
        <w:t xml:space="preserve">Repealed by No. 52 of 1995 s.40.] </w:t>
      </w:r>
    </w:p>
    <w:p>
      <w:pPr>
        <w:pStyle w:val="Heading5"/>
        <w:rPr>
          <w:snapToGrid w:val="0"/>
        </w:rPr>
      </w:pPr>
      <w:bookmarkStart w:id="482" w:name="_Toc501861753"/>
      <w:bookmarkStart w:id="483" w:name="_Toc113772510"/>
      <w:bookmarkStart w:id="484" w:name="_Toc170190605"/>
      <w:bookmarkStart w:id="485" w:name="_Toc157933579"/>
      <w:r>
        <w:rPr>
          <w:rStyle w:val="CharSectno"/>
        </w:rPr>
        <w:t>67</w:t>
      </w:r>
      <w:r>
        <w:rPr>
          <w:snapToGrid w:val="0"/>
        </w:rPr>
        <w:t>.</w:t>
      </w:r>
      <w:r>
        <w:rPr>
          <w:snapToGrid w:val="0"/>
        </w:rPr>
        <w:tab/>
        <w:t>Term of pipeline licence</w:t>
      </w:r>
      <w:bookmarkEnd w:id="482"/>
      <w:bookmarkEnd w:id="483"/>
      <w:bookmarkEnd w:id="484"/>
      <w:bookmarkEnd w:id="485"/>
      <w:r>
        <w:rPr>
          <w:snapToGrid w:val="0"/>
        </w:rPr>
        <w:t xml:space="preserve"> </w:t>
      </w:r>
    </w:p>
    <w:p>
      <w:pPr>
        <w:pStyle w:val="Subsection"/>
        <w:rPr>
          <w:snapToGrid w:val="0"/>
        </w:rPr>
      </w:pPr>
      <w:r>
        <w:rPr>
          <w:snapToGrid w:val="0"/>
        </w:rPr>
        <w:tab/>
        <w:t>(1)</w:t>
      </w:r>
      <w:r>
        <w:rPr>
          <w:snapToGrid w:val="0"/>
        </w:rPr>
        <w:tab/>
        <w:t>Subject to this Part, a pipeline licence remains in force — </w:t>
      </w:r>
    </w:p>
    <w:p>
      <w:pPr>
        <w:pStyle w:val="Indenta"/>
        <w:rPr>
          <w:snapToGrid w:val="0"/>
        </w:rPr>
      </w:pPr>
      <w:r>
        <w:rPr>
          <w:snapToGrid w:val="0"/>
        </w:rPr>
        <w:tab/>
        <w:t>(a)</w:t>
      </w:r>
      <w:r>
        <w:rPr>
          <w:snapToGrid w:val="0"/>
        </w:rPr>
        <w:tab/>
        <w:t>for a period of 21 years; or</w:t>
      </w:r>
    </w:p>
    <w:p>
      <w:pPr>
        <w:pStyle w:val="Indenta"/>
        <w:rPr>
          <w:snapToGrid w:val="0"/>
        </w:rPr>
      </w:pPr>
      <w:r>
        <w:rPr>
          <w:snapToGrid w:val="0"/>
        </w:rPr>
        <w:tab/>
        <w:t>(b)</w:t>
      </w:r>
      <w:r>
        <w:rPr>
          <w:snapToGrid w:val="0"/>
        </w:rPr>
        <w:tab/>
        <w:t>where the Minister is of the opinion that having regard to the dates of expiration of the licences that relate to the licence areas from which petroleum is, or is to be, conveyed by means of the pipeline, it is not necessary for the pipeline licence to remain in force for a period of 21 years, for such period less than 21 years as the Minister determines and specifies in the pipeline licence.</w:t>
      </w:r>
    </w:p>
    <w:p>
      <w:pPr>
        <w:pStyle w:val="Subsection"/>
        <w:rPr>
          <w:snapToGrid w:val="0"/>
        </w:rPr>
      </w:pPr>
      <w:r>
        <w:rPr>
          <w:snapToGrid w:val="0"/>
        </w:rPr>
        <w:tab/>
        <w:t>(2)</w:t>
      </w:r>
      <w:r>
        <w:rPr>
          <w:snapToGrid w:val="0"/>
        </w:rPr>
        <w:tab/>
        <w:t>A pipeline licence comes into force on the day on which the pipeline licence is granted or, if a later day is specified in the pipeline licence as being the day on which the pipeline licence is to come into force, on that later day.</w:t>
      </w:r>
    </w:p>
    <w:p>
      <w:pPr>
        <w:pStyle w:val="Footnotesection"/>
      </w:pPr>
      <w:r>
        <w:tab/>
        <w:t>[Section 67 amended by No. 12 of 1990 s.194</w:t>
      </w:r>
      <w:r>
        <w:rPr>
          <w:vertAlign w:val="superscript"/>
        </w:rPr>
        <w:t xml:space="preserve"> 2</w:t>
      </w:r>
      <w:r>
        <w:t xml:space="preserve">.] </w:t>
      </w:r>
    </w:p>
    <w:p>
      <w:pPr>
        <w:pStyle w:val="Heading5"/>
        <w:rPr>
          <w:snapToGrid w:val="0"/>
        </w:rPr>
      </w:pPr>
      <w:bookmarkStart w:id="486" w:name="_Toc501861754"/>
      <w:bookmarkStart w:id="487" w:name="_Toc113772511"/>
      <w:bookmarkStart w:id="488" w:name="_Toc170190606"/>
      <w:bookmarkStart w:id="489" w:name="_Toc157933580"/>
      <w:r>
        <w:rPr>
          <w:rStyle w:val="CharSectno"/>
        </w:rPr>
        <w:t>68</w:t>
      </w:r>
      <w:r>
        <w:rPr>
          <w:snapToGrid w:val="0"/>
        </w:rPr>
        <w:t>.</w:t>
      </w:r>
      <w:r>
        <w:rPr>
          <w:snapToGrid w:val="0"/>
        </w:rPr>
        <w:tab/>
        <w:t>Application of renewal for pipeline licence</w:t>
      </w:r>
      <w:bookmarkEnd w:id="486"/>
      <w:bookmarkEnd w:id="487"/>
      <w:bookmarkEnd w:id="488"/>
      <w:bookmarkEnd w:id="489"/>
      <w:r>
        <w:rPr>
          <w:snapToGrid w:val="0"/>
        </w:rPr>
        <w:t xml:space="preserve"> </w:t>
      </w:r>
    </w:p>
    <w:p>
      <w:pPr>
        <w:pStyle w:val="Subsection"/>
        <w:rPr>
          <w:snapToGrid w:val="0"/>
        </w:rPr>
      </w:pPr>
      <w:r>
        <w:rPr>
          <w:snapToGrid w:val="0"/>
        </w:rPr>
        <w:tab/>
        <w:t>(1)</w:t>
      </w:r>
      <w:r>
        <w:rPr>
          <w:snapToGrid w:val="0"/>
        </w:rPr>
        <w:tab/>
        <w:t>A pipeline licensee may, from time to time, make an application to the Minister for the renewal of the pipeline licence.</w:t>
      </w:r>
    </w:p>
    <w:p>
      <w:pPr>
        <w:pStyle w:val="Subsection"/>
        <w:rPr>
          <w:snapToGrid w:val="0"/>
        </w:rPr>
      </w:pPr>
      <w:r>
        <w:rPr>
          <w:snapToGrid w:val="0"/>
        </w:rPr>
        <w:tab/>
        <w:t>(2)</w:t>
      </w:r>
      <w:r>
        <w:rPr>
          <w:snapToGrid w:val="0"/>
        </w:rPr>
        <w:tab/>
        <w:t>An application for the renewal of the pipeline licence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pipeline licence ceases to be in force; and</w:t>
      </w:r>
    </w:p>
    <w:p>
      <w:pPr>
        <w:pStyle w:val="Indenta"/>
        <w:rPr>
          <w:snapToGrid w:val="0"/>
        </w:rPr>
      </w:pPr>
      <w:r>
        <w:rPr>
          <w:snapToGrid w:val="0"/>
        </w:rPr>
        <w:tab/>
        <w:t>(c)</w:t>
      </w:r>
      <w:r>
        <w:rPr>
          <w:snapToGrid w:val="0"/>
        </w:rPr>
        <w:tab/>
        <w:t>shall be accompanied by the prescribed fee.</w:t>
      </w:r>
    </w:p>
    <w:p>
      <w:pPr>
        <w:pStyle w:val="Subsection"/>
        <w:spacing w:before="180"/>
        <w:rPr>
          <w:snapToGrid w:val="0"/>
        </w:rPr>
      </w:pPr>
      <w:r>
        <w:rPr>
          <w:snapToGrid w:val="0"/>
        </w:rPr>
        <w:tab/>
        <w:t>(3)</w:t>
      </w:r>
      <w:r>
        <w:rPr>
          <w:snapToGrid w:val="0"/>
        </w:rPr>
        <w:tab/>
        <w:t>The Minister may, for reasons that he thinks sufficient, receive an application for the renewal of the pipeline licence less than 6 months before, but not in any case after, the day on which the pipeline licence ceases to be in force.</w:t>
      </w:r>
    </w:p>
    <w:p>
      <w:pPr>
        <w:pStyle w:val="Footnotesection"/>
        <w:spacing w:before="140"/>
        <w:ind w:left="890" w:hanging="890"/>
      </w:pPr>
      <w:r>
        <w:tab/>
        <w:t xml:space="preserve">[Section 68 amended by No. 12 of 1990 s.195.] </w:t>
      </w:r>
    </w:p>
    <w:p>
      <w:pPr>
        <w:pStyle w:val="Heading5"/>
        <w:spacing w:before="240"/>
        <w:rPr>
          <w:snapToGrid w:val="0"/>
        </w:rPr>
      </w:pPr>
      <w:bookmarkStart w:id="490" w:name="_Toc501861755"/>
      <w:bookmarkStart w:id="491" w:name="_Toc113772512"/>
      <w:bookmarkStart w:id="492" w:name="_Toc170190607"/>
      <w:bookmarkStart w:id="493" w:name="_Toc157933581"/>
      <w:r>
        <w:rPr>
          <w:rStyle w:val="CharSectno"/>
        </w:rPr>
        <w:t>69</w:t>
      </w:r>
      <w:r>
        <w:rPr>
          <w:snapToGrid w:val="0"/>
        </w:rPr>
        <w:t>.</w:t>
      </w:r>
      <w:r>
        <w:rPr>
          <w:snapToGrid w:val="0"/>
        </w:rPr>
        <w:tab/>
        <w:t>Grant or refusal of renewal of pipeline licence</w:t>
      </w:r>
      <w:bookmarkEnd w:id="490"/>
      <w:bookmarkEnd w:id="491"/>
      <w:bookmarkEnd w:id="492"/>
      <w:bookmarkEnd w:id="493"/>
      <w:r>
        <w:rPr>
          <w:snapToGrid w:val="0"/>
        </w:rPr>
        <w:t xml:space="preserve"> </w:t>
      </w:r>
    </w:p>
    <w:p>
      <w:pPr>
        <w:pStyle w:val="Subsection"/>
        <w:spacing w:before="180"/>
        <w:rPr>
          <w:snapToGrid w:val="0"/>
        </w:rPr>
      </w:pPr>
      <w:r>
        <w:rPr>
          <w:snapToGrid w:val="0"/>
        </w:rPr>
        <w:tab/>
        <w:t>(1)</w:t>
      </w:r>
      <w:r>
        <w:rPr>
          <w:snapToGrid w:val="0"/>
        </w:rPr>
        <w:tab/>
        <w:t>Where an application has been made under section 68 for the renewal of a pipeline licence, the Minister — </w:t>
      </w:r>
    </w:p>
    <w:p>
      <w:pPr>
        <w:pStyle w:val="Indenta"/>
        <w:spacing w:before="100"/>
        <w:rPr>
          <w:snapToGrid w:val="0"/>
        </w:rPr>
      </w:pPr>
      <w:r>
        <w:rPr>
          <w:snapToGrid w:val="0"/>
        </w:rPr>
        <w:tab/>
        <w:t>(a)</w:t>
      </w:r>
      <w:r>
        <w:rPr>
          <w:snapToGrid w:val="0"/>
        </w:rPr>
        <w:tab/>
        <w:t>shall, if the conditions to which the pipeline licence is, or has from time to time been, subject and the provisions of this Part and of the regulations have been complied with; or</w:t>
      </w:r>
    </w:p>
    <w:p>
      <w:pPr>
        <w:pStyle w:val="Indenta"/>
        <w:spacing w:before="100"/>
        <w:rPr>
          <w:snapToGrid w:val="0"/>
        </w:rPr>
      </w:pPr>
      <w:r>
        <w:rPr>
          <w:snapToGrid w:val="0"/>
        </w:rPr>
        <w:tab/>
        <w:t>(b)</w:t>
      </w:r>
      <w:r>
        <w:rPr>
          <w:snapToGrid w:val="0"/>
        </w:rPr>
        <w:tab/>
        <w:t>may, if — </w:t>
      </w:r>
    </w:p>
    <w:p>
      <w:pPr>
        <w:pStyle w:val="Indenti"/>
        <w:spacing w:before="100"/>
        <w:rPr>
          <w:snapToGrid w:val="0"/>
        </w:rPr>
      </w:pPr>
      <w:r>
        <w:rPr>
          <w:snapToGrid w:val="0"/>
        </w:rPr>
        <w:tab/>
        <w:t>(i)</w:t>
      </w:r>
      <w:r>
        <w:rPr>
          <w:snapToGrid w:val="0"/>
        </w:rPr>
        <w:tab/>
        <w:t>any of the conditions to which the pipeline licence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pipeline licence,</w:t>
      </w:r>
    </w:p>
    <w:p>
      <w:pPr>
        <w:pStyle w:val="Subsection"/>
        <w:spacing w:before="180"/>
        <w:rPr>
          <w:snapToGrid w:val="0"/>
        </w:rPr>
      </w:pPr>
      <w:r>
        <w:rPr>
          <w:snapToGrid w:val="0"/>
        </w:rPr>
        <w:tab/>
      </w:r>
      <w:r>
        <w:rPr>
          <w:snapToGrid w:val="0"/>
        </w:rPr>
        <w:tab/>
        <w:t>by instrument in writing served on the person who is then the pipeline licensee, inform that person that the Minister is prepared to grant to that person the renewal of the pipeline licence.</w:t>
      </w:r>
    </w:p>
    <w:p>
      <w:pPr>
        <w:pStyle w:val="Subsection"/>
        <w:spacing w:before="180"/>
        <w:rPr>
          <w:snapToGrid w:val="0"/>
        </w:rPr>
      </w:pPr>
      <w:r>
        <w:rPr>
          <w:snapToGrid w:val="0"/>
        </w:rPr>
        <w:tab/>
        <w:t>(2)</w:t>
      </w:r>
      <w:r>
        <w:rPr>
          <w:snapToGrid w:val="0"/>
        </w:rPr>
        <w:tab/>
        <w:t>Where an application has been made under section 68 for the renewal of a pipeline licence, the Minister shall, if — </w:t>
      </w:r>
    </w:p>
    <w:p>
      <w:pPr>
        <w:pStyle w:val="Indenta"/>
        <w:spacing w:before="100"/>
        <w:rPr>
          <w:snapToGrid w:val="0"/>
        </w:rPr>
      </w:pPr>
      <w:r>
        <w:rPr>
          <w:snapToGrid w:val="0"/>
        </w:rPr>
        <w:tab/>
        <w:t>(a)</w:t>
      </w:r>
      <w:r>
        <w:rPr>
          <w:snapToGrid w:val="0"/>
        </w:rPr>
        <w:tab/>
        <w:t>any of the conditions to which the pipeline licence is, or has from time to time been, subject or any of the provisions of this Part and of the regulations has not been complied with; and</w:t>
      </w:r>
    </w:p>
    <w:p>
      <w:pPr>
        <w:pStyle w:val="Indenta"/>
        <w:spacing w:before="60"/>
        <w:rPr>
          <w:snapToGrid w:val="0"/>
        </w:rPr>
      </w:pPr>
      <w:r>
        <w:rPr>
          <w:snapToGrid w:val="0"/>
        </w:rPr>
        <w:tab/>
        <w:t>(b)</w:t>
      </w:r>
      <w:r>
        <w:rPr>
          <w:snapToGrid w:val="0"/>
        </w:rPr>
        <w:tab/>
        <w:t>the Minister is not satisfied that special circumstances exist that justify the granting of the renewal of the pipeline licence,</w:t>
      </w:r>
    </w:p>
    <w:p>
      <w:pPr>
        <w:pStyle w:val="Subsection"/>
        <w:spacing w:before="80"/>
        <w:rPr>
          <w:snapToGrid w:val="0"/>
        </w:rPr>
      </w:pPr>
      <w:r>
        <w:rPr>
          <w:snapToGrid w:val="0"/>
        </w:rPr>
        <w:tab/>
      </w:r>
      <w:r>
        <w:rPr>
          <w:snapToGrid w:val="0"/>
        </w:rPr>
        <w:tab/>
        <w:t>by instrument in writing served on the person who is then the pipeline licensee, refuse to grant the renewal of the pipeline licence.</w:t>
      </w:r>
    </w:p>
    <w:p>
      <w:pPr>
        <w:pStyle w:val="Subsection"/>
        <w:spacing w:before="120"/>
        <w:rPr>
          <w:snapToGrid w:val="0"/>
        </w:rPr>
      </w:pPr>
      <w:r>
        <w:rPr>
          <w:snapToGrid w:val="0"/>
        </w:rPr>
        <w:tab/>
        <w:t>(3)</w:t>
      </w:r>
      <w:r>
        <w:rPr>
          <w:snapToGrid w:val="0"/>
        </w:rPr>
        <w:tab/>
        <w:t>The Minister shall not refuse to grant the renewal of the pipeline licence unless — </w:t>
      </w:r>
    </w:p>
    <w:p>
      <w:pPr>
        <w:pStyle w:val="Indenta"/>
        <w:spacing w:before="60"/>
        <w:rPr>
          <w:snapToGrid w:val="0"/>
        </w:rPr>
      </w:pPr>
      <w:r>
        <w:rPr>
          <w:snapToGrid w:val="0"/>
        </w:rPr>
        <w:tab/>
        <w:t>(a)</w:t>
      </w:r>
      <w:r>
        <w:rPr>
          <w:snapToGrid w:val="0"/>
        </w:rPr>
        <w:tab/>
        <w:t>he has, by instrument in writing served on the pipeline licensee, given not less than one month’s notice of his intention to refuse to grant the renewal of the pipeline licence;</w:t>
      </w:r>
    </w:p>
    <w:p>
      <w:pPr>
        <w:pStyle w:val="Indenta"/>
        <w:spacing w:before="60"/>
        <w:rPr>
          <w:snapToGrid w:val="0"/>
        </w:rPr>
      </w:pPr>
      <w:r>
        <w:rPr>
          <w:snapToGrid w:val="0"/>
        </w:rPr>
        <w:tab/>
        <w:t>(b)</w:t>
      </w:r>
      <w:r>
        <w:rPr>
          <w:snapToGrid w:val="0"/>
        </w:rPr>
        <w:tab/>
        <w:t>he has served a copy of the instrument on such other persons, if any, as he thinks fit;</w:t>
      </w:r>
    </w:p>
    <w:p>
      <w:pPr>
        <w:pStyle w:val="Indenta"/>
        <w:spacing w:before="60"/>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pipeline licensee or a person on whom a copy of the instrument is served may, by instrument in writing served on the Minister, submit any matters that he wishes the Minister to consider;</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(d)</w:t>
      </w:r>
      <w:r>
        <w:rPr>
          <w:snapToGrid w:val="0"/>
        </w:rPr>
        <w:tab/>
        <w:t>he has taken into account any matters so submitted to him on or before the specified date by the pipeline licensee or by a person on whom a copy of the first</w:t>
      </w:r>
      <w:r>
        <w:rPr>
          <w:snapToGrid w:val="0"/>
        </w:rPr>
        <w:noBreakHyphen/>
        <w:t>mentioned instrument has been served.</w:t>
      </w:r>
    </w:p>
    <w:p>
      <w:pPr>
        <w:pStyle w:val="Subsection"/>
        <w:spacing w:before="120"/>
        <w:rPr>
          <w:snapToGrid w:val="0"/>
        </w:rPr>
      </w:pPr>
      <w:r>
        <w:rPr>
          <w:snapToGrid w:val="0"/>
        </w:rPr>
        <w:tab/>
        <w:t>(4)</w:t>
      </w:r>
      <w:r>
        <w:rPr>
          <w:snapToGrid w:val="0"/>
        </w:rPr>
        <w:tab/>
        <w:t>An instrument under subsection (1) shall contain — </w:t>
      </w:r>
    </w:p>
    <w:p>
      <w:pPr>
        <w:pStyle w:val="Indenta"/>
        <w:rPr>
          <w:snapToGrid w:val="0"/>
        </w:rPr>
      </w:pPr>
      <w:r>
        <w:rPr>
          <w:snapToGrid w:val="0"/>
        </w:rPr>
        <w:tab/>
        <w:t>(a)</w:t>
      </w:r>
      <w:r>
        <w:rPr>
          <w:snapToGrid w:val="0"/>
        </w:rPr>
        <w:tab/>
        <w:t>a summary of the conditions to which the pipeline licence, on the grant of the renewal, is to be subject; and</w:t>
      </w:r>
    </w:p>
    <w:p>
      <w:pPr>
        <w:pStyle w:val="Indenta"/>
        <w:rPr>
          <w:snapToGrid w:val="0"/>
        </w:rPr>
      </w:pPr>
      <w:r>
        <w:rPr>
          <w:snapToGrid w:val="0"/>
        </w:rPr>
        <w:tab/>
        <w:t>(b)</w:t>
      </w:r>
      <w:r>
        <w:rPr>
          <w:snapToGrid w:val="0"/>
        </w:rPr>
        <w:tab/>
        <w:t>a statement to the effect that the application will lapse if the pipeline licensee does not make a request under subsection (5).</w:t>
      </w:r>
    </w:p>
    <w:p>
      <w:pPr>
        <w:pStyle w:val="Subsection"/>
        <w:rPr>
          <w:snapToGrid w:val="0"/>
        </w:rPr>
      </w:pPr>
      <w:r>
        <w:rPr>
          <w:snapToGrid w:val="0"/>
        </w:rPr>
        <w:tab/>
        <w:t>(5)</w:t>
      </w:r>
      <w:r>
        <w:rPr>
          <w:snapToGrid w:val="0"/>
        </w:rPr>
        <w:tab/>
        <w:t>A pipeline licensee on whom there has been served an instrument under subsection (1) may, within a period of one month after the date of service of the instrument on him, by instrument in writing served on the Minister, request the Minister to grant to him the renewal of the pipeline licence.</w:t>
      </w:r>
    </w:p>
    <w:p>
      <w:pPr>
        <w:pStyle w:val="Subsection"/>
        <w:rPr>
          <w:snapToGrid w:val="0"/>
        </w:rPr>
      </w:pPr>
      <w:r>
        <w:rPr>
          <w:snapToGrid w:val="0"/>
        </w:rPr>
        <w:tab/>
        <w:t>(6)</w:t>
      </w:r>
      <w:r>
        <w:rPr>
          <w:snapToGrid w:val="0"/>
        </w:rPr>
        <w:tab/>
        <w:t>Where a pipeline licensee on whom there has been served an instrument under subsection (1) has made a request under subsection (5), within the period referred to in subsection (5), the Minister shall grant to him the renewal of the pipeline licence.</w:t>
      </w:r>
    </w:p>
    <w:p>
      <w:pPr>
        <w:pStyle w:val="Subsection"/>
        <w:rPr>
          <w:snapToGrid w:val="0"/>
        </w:rPr>
      </w:pPr>
      <w:r>
        <w:rPr>
          <w:snapToGrid w:val="0"/>
        </w:rPr>
        <w:tab/>
        <w:t>(7)</w:t>
      </w:r>
      <w:r>
        <w:rPr>
          <w:snapToGrid w:val="0"/>
        </w:rPr>
        <w:tab/>
        <w:t>Where a pipeline licensee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an application for the renewal of a pipeline licence is made under section 68; and</w:t>
      </w:r>
    </w:p>
    <w:p>
      <w:pPr>
        <w:pStyle w:val="Indenta"/>
        <w:rPr>
          <w:snapToGrid w:val="0"/>
        </w:rPr>
      </w:pPr>
      <w:r>
        <w:rPr>
          <w:snapToGrid w:val="0"/>
        </w:rPr>
        <w:tab/>
        <w:t>(b)</w:t>
      </w:r>
      <w:r>
        <w:rPr>
          <w:snapToGrid w:val="0"/>
        </w:rPr>
        <w:tab/>
        <w:t>the pipeline licence expires — </w:t>
      </w:r>
    </w:p>
    <w:p>
      <w:pPr>
        <w:pStyle w:val="Indenti"/>
        <w:rPr>
          <w:snapToGrid w:val="0"/>
        </w:rPr>
      </w:pPr>
      <w:r>
        <w:rPr>
          <w:snapToGrid w:val="0"/>
        </w:rPr>
        <w:tab/>
        <w:t>(i)</w:t>
      </w:r>
      <w:r>
        <w:rPr>
          <w:snapToGrid w:val="0"/>
        </w:rPr>
        <w:tab/>
        <w:t>before the Minister grants, or refuses to grant, the renewal of the pipeline licence;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pipeline licence shall be deemed to continue in force in all respects — </w:t>
      </w:r>
    </w:p>
    <w:p>
      <w:pPr>
        <w:pStyle w:val="Indenta"/>
        <w:rPr>
          <w:snapToGrid w:val="0"/>
        </w:rPr>
      </w:pPr>
      <w:r>
        <w:rPr>
          <w:snapToGrid w:val="0"/>
        </w:rPr>
        <w:tab/>
        <w:t>(c)</w:t>
      </w:r>
      <w:r>
        <w:rPr>
          <w:snapToGrid w:val="0"/>
        </w:rPr>
        <w:tab/>
        <w:t>until the Minister grants, or refuses to grant, the renewal of the pipeline licence; or</w:t>
      </w:r>
    </w:p>
    <w:p>
      <w:pPr>
        <w:pStyle w:val="Indenta"/>
        <w:rPr>
          <w:snapToGrid w:val="0"/>
        </w:rPr>
      </w:pPr>
      <w:r>
        <w:rPr>
          <w:snapToGrid w:val="0"/>
        </w:rPr>
        <w:tab/>
        <w:t>(d)</w:t>
      </w:r>
      <w:r>
        <w:rPr>
          <w:snapToGrid w:val="0"/>
        </w:rPr>
        <w:tab/>
        <w:t>until the application so lapses, whichever first happens.</w:t>
      </w:r>
    </w:p>
    <w:p>
      <w:pPr>
        <w:pStyle w:val="Footnotesection"/>
      </w:pPr>
      <w:r>
        <w:tab/>
        <w:t xml:space="preserve">[Section 69 amended by No. 28 of 1994 s.101.] </w:t>
      </w:r>
    </w:p>
    <w:p>
      <w:pPr>
        <w:pStyle w:val="Heading5"/>
        <w:rPr>
          <w:snapToGrid w:val="0"/>
        </w:rPr>
      </w:pPr>
      <w:bookmarkStart w:id="494" w:name="_Toc501861756"/>
      <w:bookmarkStart w:id="495" w:name="_Toc113772513"/>
      <w:bookmarkStart w:id="496" w:name="_Toc170190608"/>
      <w:bookmarkStart w:id="497" w:name="_Toc157933582"/>
      <w:r>
        <w:rPr>
          <w:rStyle w:val="CharSectno"/>
        </w:rPr>
        <w:t>70</w:t>
      </w:r>
      <w:r>
        <w:rPr>
          <w:snapToGrid w:val="0"/>
        </w:rPr>
        <w:t>.</w:t>
      </w:r>
      <w:r>
        <w:rPr>
          <w:snapToGrid w:val="0"/>
        </w:rPr>
        <w:tab/>
        <w:t>Conditions of pipeline licence</w:t>
      </w:r>
      <w:bookmarkEnd w:id="494"/>
      <w:bookmarkEnd w:id="495"/>
      <w:bookmarkEnd w:id="496"/>
      <w:bookmarkEnd w:id="497"/>
      <w:r>
        <w:rPr>
          <w:snapToGrid w:val="0"/>
        </w:rPr>
        <w:t xml:space="preserve"> </w:t>
      </w:r>
    </w:p>
    <w:p>
      <w:pPr>
        <w:pStyle w:val="Subsection"/>
        <w:rPr>
          <w:snapToGrid w:val="0"/>
        </w:rPr>
      </w:pPr>
      <w:r>
        <w:rPr>
          <w:snapToGrid w:val="0"/>
        </w:rPr>
        <w:tab/>
        <w:t>(1)</w:t>
      </w:r>
      <w:r>
        <w:rPr>
          <w:snapToGrid w:val="0"/>
        </w:rPr>
        <w:tab/>
        <w:t>A pipeline licence may be granted subject to such conditions as the Minister thinks fit and specifies in the pipeline licence.</w:t>
      </w:r>
    </w:p>
    <w:p>
      <w:pPr>
        <w:pStyle w:val="Subsection"/>
        <w:rPr>
          <w:snapToGrid w:val="0"/>
        </w:rPr>
      </w:pPr>
      <w:r>
        <w:rPr>
          <w:snapToGrid w:val="0"/>
        </w:rPr>
        <w:tab/>
        <w:t>(2)</w:t>
      </w:r>
      <w:r>
        <w:rPr>
          <w:snapToGrid w:val="0"/>
        </w:rPr>
        <w:tab/>
        <w:t>The conditions referred to in subsection (1) may include a condition that the pipeline licensee shall complete the construction of the pipeline within the period specified in the pipeline licence.</w:t>
      </w:r>
    </w:p>
    <w:p>
      <w:pPr>
        <w:pStyle w:val="Subsection"/>
        <w:rPr>
          <w:snapToGrid w:val="0"/>
        </w:rPr>
      </w:pPr>
      <w:r>
        <w:rPr>
          <w:snapToGrid w:val="0"/>
        </w:rPr>
        <w:tab/>
        <w:t>(3)</w:t>
      </w:r>
      <w:r>
        <w:rPr>
          <w:snapToGrid w:val="0"/>
        </w:rPr>
        <w:tab/>
        <w:t>This section extends to a pipeline licence granted by way of the renewal of a pipeline licence and, in the case of a pipeline licence so granted, the conditions may include conditions varying or adding to the conditions of the previous licence and conditions requiring reconstruction or modification of the pipeline or of associated works.</w:t>
      </w:r>
    </w:p>
    <w:p>
      <w:pPr>
        <w:pStyle w:val="Heading5"/>
        <w:rPr>
          <w:snapToGrid w:val="0"/>
        </w:rPr>
      </w:pPr>
      <w:bookmarkStart w:id="498" w:name="_Toc501861757"/>
      <w:bookmarkStart w:id="499" w:name="_Toc113772514"/>
      <w:bookmarkStart w:id="500" w:name="_Toc170190609"/>
      <w:bookmarkStart w:id="501" w:name="_Toc157933583"/>
      <w:r>
        <w:rPr>
          <w:rStyle w:val="CharSectno"/>
        </w:rPr>
        <w:t>71</w:t>
      </w:r>
      <w:r>
        <w:rPr>
          <w:snapToGrid w:val="0"/>
        </w:rPr>
        <w:t>.</w:t>
      </w:r>
      <w:r>
        <w:rPr>
          <w:snapToGrid w:val="0"/>
        </w:rPr>
        <w:tab/>
        <w:t>Variation of pipeline licence on application by pipeline licensee</w:t>
      </w:r>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A pipeline licensee may, at any time, make an application to the Minister for the variation of the pipeline licence.</w:t>
      </w:r>
    </w:p>
    <w:p>
      <w:pPr>
        <w:pStyle w:val="Subsection"/>
        <w:rPr>
          <w:snapToGrid w:val="0"/>
        </w:rPr>
      </w:pPr>
      <w:r>
        <w:rPr>
          <w:snapToGrid w:val="0"/>
        </w:rPr>
        <w:tab/>
        <w:t>(2)</w:t>
      </w:r>
      <w:r>
        <w:rPr>
          <w:snapToGrid w:val="0"/>
        </w:rPr>
        <w:tab/>
        <w:t>An application under this section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proposed variation;</w:t>
      </w:r>
    </w:p>
    <w:p>
      <w:pPr>
        <w:pStyle w:val="Indenta"/>
        <w:rPr>
          <w:snapToGrid w:val="0"/>
        </w:rPr>
      </w:pPr>
      <w:r>
        <w:rPr>
          <w:snapToGrid w:val="0"/>
        </w:rPr>
        <w:tab/>
        <w:t>(d)</w:t>
      </w:r>
      <w:r>
        <w:rPr>
          <w:snapToGrid w:val="0"/>
        </w:rPr>
        <w:tab/>
        <w:t>shall specify the reasons for the proposed variation; and</w:t>
      </w:r>
    </w:p>
    <w:p>
      <w:pPr>
        <w:pStyle w:val="Indenta"/>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a person who has made an application under this section require him to furnish, within the period specified in the instrument, further information in writing in connection with his application.</w:t>
      </w:r>
    </w:p>
    <w:p>
      <w:pPr>
        <w:pStyle w:val="Subsection"/>
        <w:rPr>
          <w:snapToGrid w:val="0"/>
        </w:rPr>
      </w:pPr>
      <w:r>
        <w:rPr>
          <w:snapToGrid w:val="0"/>
        </w:rPr>
        <w:tab/>
        <w:t>(4)</w:t>
      </w:r>
      <w:r>
        <w:rPr>
          <w:snapToGrid w:val="0"/>
        </w:rPr>
        <w:tab/>
        <w:t xml:space="preserve">The Minister shall, in a notice published in the </w:t>
      </w:r>
      <w:r>
        <w:rPr>
          <w:i/>
          <w:snapToGrid w:val="0"/>
        </w:rPr>
        <w:t>Gazette</w:t>
      </w:r>
      <w:r>
        <w:rPr>
          <w:snapToGrid w:val="0"/>
        </w:rPr>
        <w:t xml:space="preserve"> of an application under this section, specify a period within which a person may submit to the Minister, in writing, any matters that he wishes the Minister to consider in connection with the application.</w:t>
      </w:r>
    </w:p>
    <w:p>
      <w:pPr>
        <w:pStyle w:val="Subsection"/>
        <w:spacing w:before="140"/>
        <w:rPr>
          <w:snapToGrid w:val="0"/>
        </w:rPr>
      </w:pPr>
      <w:r>
        <w:rPr>
          <w:snapToGrid w:val="0"/>
        </w:rPr>
        <w:tab/>
        <w:t>(5)</w:t>
      </w:r>
      <w:r>
        <w:rPr>
          <w:snapToGrid w:val="0"/>
        </w:rPr>
        <w:tab/>
        <w:t>After considering any matters submitted to him under subsection (4) the Minister may, by instrument in writing, vary the pipeline licence to such extent as he thinks necessary or may refuse to vary the pipeline licence.</w:t>
      </w:r>
    </w:p>
    <w:p>
      <w:pPr>
        <w:pStyle w:val="Footnotesection"/>
      </w:pPr>
      <w:r>
        <w:tab/>
        <w:t xml:space="preserve">[Section 71 amended by No. 12 of 1990 s.196.] </w:t>
      </w:r>
    </w:p>
    <w:p>
      <w:pPr>
        <w:pStyle w:val="Heading5"/>
        <w:rPr>
          <w:snapToGrid w:val="0"/>
        </w:rPr>
      </w:pPr>
      <w:bookmarkStart w:id="502" w:name="_Toc501861758"/>
      <w:bookmarkStart w:id="503" w:name="_Toc113772515"/>
      <w:bookmarkStart w:id="504" w:name="_Toc170190610"/>
      <w:bookmarkStart w:id="505" w:name="_Toc157933584"/>
      <w:r>
        <w:rPr>
          <w:rStyle w:val="CharSectno"/>
        </w:rPr>
        <w:t>72</w:t>
      </w:r>
      <w:r>
        <w:rPr>
          <w:snapToGrid w:val="0"/>
        </w:rPr>
        <w:t>.</w:t>
      </w:r>
      <w:r>
        <w:rPr>
          <w:snapToGrid w:val="0"/>
        </w:rPr>
        <w:tab/>
        <w:t>Variation of pipeline licence by Minister</w:t>
      </w:r>
      <w:bookmarkEnd w:id="502"/>
      <w:bookmarkEnd w:id="503"/>
      <w:bookmarkEnd w:id="504"/>
      <w:bookmarkEnd w:id="505"/>
      <w:r>
        <w:rPr>
          <w:snapToGrid w:val="0"/>
        </w:rPr>
        <w:t xml:space="preserve"> </w:t>
      </w:r>
    </w:p>
    <w:p>
      <w:pPr>
        <w:pStyle w:val="Subsection"/>
        <w:spacing w:before="14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at the request of — </w:t>
      </w:r>
    </w:p>
    <w:p>
      <w:pPr>
        <w:pStyle w:val="Indenti"/>
        <w:rPr>
          <w:snapToGrid w:val="0"/>
        </w:rPr>
      </w:pPr>
      <w:r>
        <w:rPr>
          <w:snapToGrid w:val="0"/>
        </w:rPr>
        <w:tab/>
        <w:t>(i)</w:t>
      </w:r>
      <w:r>
        <w:rPr>
          <w:snapToGrid w:val="0"/>
        </w:rPr>
        <w:tab/>
        <w:t>a Minister of the Crown of the State or a Minister of State of the Commonwealth; or</w:t>
      </w:r>
    </w:p>
    <w:p>
      <w:pPr>
        <w:pStyle w:val="Indenti"/>
        <w:rPr>
          <w:snapToGrid w:val="0"/>
        </w:rPr>
      </w:pPr>
      <w:r>
        <w:rPr>
          <w:snapToGrid w:val="0"/>
        </w:rPr>
        <w:tab/>
        <w:t>(ii)</w:t>
      </w:r>
      <w:r>
        <w:rPr>
          <w:snapToGrid w:val="0"/>
        </w:rPr>
        <w:tab/>
        <w:t xml:space="preserve">a body established by a law of the Commonwealth or of the State;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in his opinion, it is in the public interest so to do,</w:t>
      </w:r>
    </w:p>
    <w:p>
      <w:pPr>
        <w:pStyle w:val="Subsection"/>
        <w:spacing w:before="140"/>
        <w:rPr>
          <w:snapToGrid w:val="0"/>
        </w:rPr>
      </w:pPr>
      <w:r>
        <w:rPr>
          <w:snapToGrid w:val="0"/>
        </w:rPr>
        <w:tab/>
      </w:r>
      <w:r>
        <w:rPr>
          <w:snapToGrid w:val="0"/>
        </w:rPr>
        <w:tab/>
        <w:t>by instrument in writing served on a person who is a pipeline licensee or the holder of an instrument of consent under section 60, direct that person to make such changes in the design, construction, route or position of the pipeline, or of a water line, pumping station, tank station, valve station or secondary line to which the pipeline licence or instrument of consent relates, as are specified in the first</w:t>
      </w:r>
      <w:r>
        <w:rPr>
          <w:snapToGrid w:val="0"/>
        </w:rPr>
        <w:noBreakHyphen/>
        <w:t>mentioned instrument, within the period specified in the first</w:t>
      </w:r>
      <w:r>
        <w:rPr>
          <w:snapToGrid w:val="0"/>
        </w:rPr>
        <w:noBreakHyphen/>
        <w:t>mentioned instrument, and, if the person so directed is a pipeline licensee, shall vary the pipeline licence accordingly.</w:t>
      </w:r>
    </w:p>
    <w:p>
      <w:pPr>
        <w:pStyle w:val="Subsection"/>
        <w:spacing w:before="140"/>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$50 000 or imprisonment for 5 years, or both.</w:t>
      </w:r>
    </w:p>
    <w:p>
      <w:pPr>
        <w:pStyle w:val="Subsection"/>
        <w:spacing w:before="140"/>
        <w:rPr>
          <w:snapToGrid w:val="0"/>
        </w:rPr>
      </w:pPr>
      <w:r>
        <w:rPr>
          <w:snapToGrid w:val="0"/>
        </w:rPr>
        <w:tab/>
        <w:t>(3)</w:t>
      </w:r>
      <w:r>
        <w:rPr>
          <w:snapToGrid w:val="0"/>
        </w:rPr>
        <w:tab/>
        <w:t>Where the Minister gives a direction under subsection (1), and the person to whom the direction was given has complied with the direction, that person may bring an action in the Supreme Court against the Minister, Minister of State of the Commonwealth or body making the request.</w:t>
      </w:r>
    </w:p>
    <w:p>
      <w:pPr>
        <w:pStyle w:val="Subsection"/>
        <w:rPr>
          <w:snapToGrid w:val="0"/>
        </w:rPr>
      </w:pPr>
      <w:r>
        <w:rPr>
          <w:snapToGrid w:val="0"/>
        </w:rPr>
        <w:tab/>
        <w:t>(4)</w:t>
      </w:r>
      <w:r>
        <w:rPr>
          <w:snapToGrid w:val="0"/>
        </w:rPr>
        <w:tab/>
        <w:t>The Supreme Court shall hear the action, without a jury, and shall determine whether it is just that the whole or a portion of the reasonable cost of complying with the direction ought to be paid to the plaintiff by the defendant.</w:t>
      </w:r>
    </w:p>
    <w:p>
      <w:pPr>
        <w:pStyle w:val="Subsection"/>
        <w:spacing w:before="140"/>
        <w:rPr>
          <w:snapToGrid w:val="0"/>
        </w:rPr>
      </w:pPr>
      <w:r>
        <w:rPr>
          <w:snapToGrid w:val="0"/>
        </w:rPr>
        <w:tab/>
        <w:t>(5)</w:t>
      </w:r>
      <w:r>
        <w:rPr>
          <w:snapToGrid w:val="0"/>
        </w:rPr>
        <w:tab/>
        <w:t>If the Supreme Court determines that it is just that such a payment ought to be made, the Supreme Court shall determine the amount of the payment and give judgment accordingly.</w:t>
      </w:r>
    </w:p>
    <w:p>
      <w:pPr>
        <w:pStyle w:val="Heading5"/>
        <w:rPr>
          <w:snapToGrid w:val="0"/>
        </w:rPr>
      </w:pPr>
      <w:bookmarkStart w:id="506" w:name="_Toc501861759"/>
      <w:bookmarkStart w:id="507" w:name="_Toc113772516"/>
      <w:bookmarkStart w:id="508" w:name="_Toc170190611"/>
      <w:bookmarkStart w:id="509" w:name="_Toc157933585"/>
      <w:r>
        <w:rPr>
          <w:rStyle w:val="CharSectno"/>
        </w:rPr>
        <w:t>73</w:t>
      </w:r>
      <w:r>
        <w:rPr>
          <w:snapToGrid w:val="0"/>
        </w:rPr>
        <w:t>.</w:t>
      </w:r>
      <w:r>
        <w:rPr>
          <w:snapToGrid w:val="0"/>
        </w:rPr>
        <w:tab/>
        <w:t>Common carrier</w:t>
      </w:r>
      <w:bookmarkEnd w:id="506"/>
      <w:bookmarkEnd w:id="507"/>
      <w:bookmarkEnd w:id="508"/>
      <w:bookmarkEnd w:id="509"/>
      <w:r>
        <w:rPr>
          <w:snapToGrid w:val="0"/>
        </w:rPr>
        <w:t xml:space="preserve"> </w:t>
      </w:r>
    </w:p>
    <w:p>
      <w:pPr>
        <w:pStyle w:val="Subsection"/>
        <w:spacing w:before="140"/>
        <w:rPr>
          <w:snapToGrid w:val="0"/>
        </w:rPr>
      </w:pPr>
      <w:r>
        <w:rPr>
          <w:snapToGrid w:val="0"/>
        </w:rPr>
        <w:tab/>
        <w:t>(1)</w:t>
      </w:r>
      <w:r>
        <w:rPr>
          <w:snapToGrid w:val="0"/>
        </w:rPr>
        <w:tab/>
        <w:t>The Minister may, by instrument in writing served on a pipeline licensee, direct the pipeline licensee to be a common carrier of petroleum in respect of the pipeline and thereupon the pipeline licensee is a common carrier of petroleum in respect of the pipeline.</w:t>
      </w:r>
    </w:p>
    <w:p>
      <w:pPr>
        <w:pStyle w:val="Subsection"/>
        <w:spacing w:before="140"/>
        <w:rPr>
          <w:snapToGrid w:val="0"/>
        </w:rPr>
      </w:pPr>
      <w:r>
        <w:rPr>
          <w:snapToGrid w:val="0"/>
        </w:rPr>
        <w:tab/>
        <w:t>(2)</w:t>
      </w:r>
      <w:r>
        <w:rPr>
          <w:snapToGrid w:val="0"/>
        </w:rPr>
        <w:tab/>
        <w:t>The Minister cannot give a direction under subsection (1) in respect of a pipeline if it is a Code pipeline as defined in the Gas Pipelines Access (Western Australia) Law</w:t>
      </w:r>
      <w:r>
        <w:rPr>
          <w:snapToGrid w:val="0"/>
          <w:vertAlign w:val="superscript"/>
        </w:rPr>
        <w:t xml:space="preserve"> 6</w:t>
      </w:r>
      <w:r>
        <w:rPr>
          <w:snapToGrid w:val="0"/>
        </w:rPr>
        <w:t>.</w:t>
      </w:r>
    </w:p>
    <w:p>
      <w:pPr>
        <w:pStyle w:val="Subsection"/>
        <w:spacing w:before="140"/>
        <w:rPr>
          <w:snapToGrid w:val="0"/>
        </w:rPr>
      </w:pPr>
      <w:r>
        <w:rPr>
          <w:snapToGrid w:val="0"/>
        </w:rPr>
        <w:tab/>
        <w:t>(3)</w:t>
      </w:r>
      <w:r>
        <w:rPr>
          <w:snapToGrid w:val="0"/>
        </w:rPr>
        <w:tab/>
        <w:t>While a direction is in force under subsection (1) in respect of a pipeline it cannot become a Code pipeline for the purposes of the Gas Pipelines Access (Western Australia) Law</w:t>
      </w:r>
      <w:r>
        <w:rPr>
          <w:snapToGrid w:val="0"/>
          <w:vertAlign w:val="superscript"/>
        </w:rPr>
        <w:t xml:space="preserve"> 6</w:t>
      </w:r>
      <w:r>
        <w:rPr>
          <w:snapToGrid w:val="0"/>
        </w:rPr>
        <w:t>.</w:t>
      </w:r>
    </w:p>
    <w:p>
      <w:pPr>
        <w:pStyle w:val="Footnotesection"/>
      </w:pPr>
      <w:r>
        <w:tab/>
        <w:t>[Section 73 amended by No. 65 of 1998 s.89.]</w:t>
      </w:r>
    </w:p>
    <w:p>
      <w:pPr>
        <w:pStyle w:val="Heading5"/>
        <w:rPr>
          <w:snapToGrid w:val="0"/>
        </w:rPr>
      </w:pPr>
      <w:bookmarkStart w:id="510" w:name="_Toc501861760"/>
      <w:bookmarkStart w:id="511" w:name="_Toc113772517"/>
      <w:bookmarkStart w:id="512" w:name="_Toc170190612"/>
      <w:bookmarkStart w:id="513" w:name="_Toc157933586"/>
      <w:r>
        <w:rPr>
          <w:rStyle w:val="CharSectno"/>
        </w:rPr>
        <w:t>74</w:t>
      </w:r>
      <w:r>
        <w:rPr>
          <w:snapToGrid w:val="0"/>
        </w:rPr>
        <w:t>.</w:t>
      </w:r>
      <w:r>
        <w:rPr>
          <w:snapToGrid w:val="0"/>
        </w:rPr>
        <w:tab/>
        <w:t>Ceasing to operate pipeline</w:t>
      </w:r>
      <w:bookmarkEnd w:id="510"/>
      <w:bookmarkEnd w:id="511"/>
      <w:bookmarkEnd w:id="512"/>
      <w:bookmarkEnd w:id="513"/>
      <w:r>
        <w:rPr>
          <w:snapToGrid w:val="0"/>
        </w:rPr>
        <w:t xml:space="preserve"> </w:t>
      </w:r>
    </w:p>
    <w:p>
      <w:pPr>
        <w:pStyle w:val="Subsection"/>
        <w:spacing w:before="140"/>
        <w:rPr>
          <w:snapToGrid w:val="0"/>
        </w:rPr>
      </w:pPr>
      <w:r>
        <w:rPr>
          <w:snapToGrid w:val="0"/>
        </w:rPr>
        <w:tab/>
        <w:t>(1)</w:t>
      </w:r>
      <w:r>
        <w:rPr>
          <w:snapToGrid w:val="0"/>
        </w:rPr>
        <w:tab/>
        <w:t>Except with the consent in writing of the Minister and subject to compliance with such conditions, if any, as are specified in the instrument of consent, a pipeline licensee shall not cease to operate the pipeline.</w:t>
      </w:r>
    </w:p>
    <w:p>
      <w:pPr>
        <w:pStyle w:val="Penstart"/>
        <w:rPr>
          <w:snapToGrid w:val="0"/>
        </w:rPr>
      </w:pPr>
      <w:r>
        <w:rPr>
          <w:snapToGrid w:val="0"/>
        </w:rPr>
        <w:tab/>
        <w:t>Penalty: $50 000 or imprisonment for 5 years, or both.</w:t>
      </w:r>
    </w:p>
    <w:p>
      <w:pPr>
        <w:pStyle w:val="Subsection"/>
        <w:spacing w:before="140"/>
        <w:rPr>
          <w:snapToGrid w:val="0"/>
        </w:rPr>
      </w:pPr>
      <w:r>
        <w:rPr>
          <w:snapToGrid w:val="0"/>
        </w:rPr>
        <w:tab/>
        <w:t>(2)</w:t>
      </w:r>
      <w:r>
        <w:rPr>
          <w:snapToGrid w:val="0"/>
        </w:rPr>
        <w:tab/>
        <w:t>It is not an offence against subsection (1) if the failure of the pipeline licensee to operate the pipeline — </w:t>
      </w:r>
    </w:p>
    <w:p>
      <w:pPr>
        <w:pStyle w:val="Indenta"/>
        <w:rPr>
          <w:snapToGrid w:val="0"/>
        </w:rPr>
      </w:pPr>
      <w:r>
        <w:rPr>
          <w:snapToGrid w:val="0"/>
        </w:rPr>
        <w:tab/>
        <w:t>(a)</w:t>
      </w:r>
      <w:r>
        <w:rPr>
          <w:snapToGrid w:val="0"/>
        </w:rPr>
        <w:tab/>
        <w:t>was in the ordinary course of operating the pipeline;</w:t>
      </w:r>
    </w:p>
    <w:p>
      <w:pPr>
        <w:pStyle w:val="Indenta"/>
        <w:rPr>
          <w:snapToGrid w:val="0"/>
        </w:rPr>
      </w:pPr>
      <w:r>
        <w:rPr>
          <w:snapToGrid w:val="0"/>
        </w:rPr>
        <w:tab/>
        <w:t>(b)</w:t>
      </w:r>
      <w:r>
        <w:rPr>
          <w:snapToGrid w:val="0"/>
        </w:rPr>
        <w:tab/>
        <w:t>was for the purpose of repairing or maintaining the pipeline; or</w:t>
      </w:r>
    </w:p>
    <w:p>
      <w:pPr>
        <w:pStyle w:val="Indenta"/>
        <w:rPr>
          <w:snapToGrid w:val="0"/>
        </w:rPr>
      </w:pPr>
      <w:r>
        <w:rPr>
          <w:snapToGrid w:val="0"/>
        </w:rPr>
        <w:tab/>
        <w:t>(c)</w:t>
      </w:r>
      <w:r>
        <w:rPr>
          <w:snapToGrid w:val="0"/>
        </w:rPr>
        <w:tab/>
        <w:t>was in an emergency in which there was a likelihood of loss or injury.</w:t>
      </w:r>
    </w:p>
    <w:p>
      <w:pPr>
        <w:pStyle w:val="Ednotedivision"/>
      </w:pPr>
      <w:r>
        <w:t>[</w:t>
      </w:r>
      <w:r>
        <w:rPr>
          <w:b/>
        </w:rPr>
        <w:t>Division 4A (section 74A to 74I.)</w:t>
      </w:r>
      <w:r>
        <w:t xml:space="preserve"> Repealed by No. 52 of 1995 s.41.]</w:t>
      </w:r>
    </w:p>
    <w:p>
      <w:pPr>
        <w:pStyle w:val="Heading3"/>
        <w:keepLines/>
        <w:rPr>
          <w:snapToGrid w:val="0"/>
        </w:rPr>
      </w:pPr>
      <w:bookmarkStart w:id="514" w:name="_Toc72913798"/>
      <w:bookmarkStart w:id="515" w:name="_Toc91304278"/>
      <w:bookmarkStart w:id="516" w:name="_Toc92688521"/>
      <w:bookmarkStart w:id="517" w:name="_Toc113772518"/>
      <w:bookmarkStart w:id="518" w:name="_Toc156977003"/>
      <w:bookmarkStart w:id="519" w:name="_Toc157933587"/>
      <w:bookmarkStart w:id="520" w:name="_Toc162761221"/>
      <w:bookmarkStart w:id="521" w:name="_Toc170190613"/>
      <w:r>
        <w:rPr>
          <w:rStyle w:val="CharDivNo"/>
        </w:rPr>
        <w:t>Division 5</w:t>
      </w:r>
      <w:r>
        <w:rPr>
          <w:snapToGrid w:val="0"/>
        </w:rPr>
        <w:t> — </w:t>
      </w:r>
      <w:r>
        <w:rPr>
          <w:rStyle w:val="CharDivText"/>
        </w:rPr>
        <w:t>Registration of instruments</w:t>
      </w:r>
      <w:bookmarkEnd w:id="514"/>
      <w:bookmarkEnd w:id="515"/>
      <w:bookmarkEnd w:id="516"/>
      <w:bookmarkEnd w:id="517"/>
      <w:bookmarkEnd w:id="518"/>
      <w:bookmarkEnd w:id="519"/>
      <w:bookmarkEnd w:id="520"/>
      <w:bookmarkEnd w:id="521"/>
      <w:r>
        <w:rPr>
          <w:rStyle w:val="CharDivText"/>
        </w:rPr>
        <w:t xml:space="preserve"> </w:t>
      </w:r>
    </w:p>
    <w:p>
      <w:pPr>
        <w:pStyle w:val="Heading5"/>
        <w:rPr>
          <w:snapToGrid w:val="0"/>
        </w:rPr>
      </w:pPr>
      <w:bookmarkStart w:id="522" w:name="_Toc501861761"/>
      <w:bookmarkStart w:id="523" w:name="_Toc113772519"/>
      <w:bookmarkStart w:id="524" w:name="_Toc170190614"/>
      <w:bookmarkStart w:id="525" w:name="_Toc157933588"/>
      <w:r>
        <w:rPr>
          <w:rStyle w:val="CharSectno"/>
        </w:rPr>
        <w:t>74J</w:t>
      </w:r>
      <w:r>
        <w:rPr>
          <w:snapToGrid w:val="0"/>
        </w:rPr>
        <w:t>.</w:t>
      </w:r>
      <w:r>
        <w:rPr>
          <w:snapToGrid w:val="0"/>
        </w:rPr>
        <w:tab/>
        <w:t>Interpretation in Division 5</w:t>
      </w:r>
      <w:bookmarkEnd w:id="522"/>
      <w:bookmarkEnd w:id="523"/>
      <w:bookmarkEnd w:id="524"/>
      <w:bookmarkEnd w:id="525"/>
      <w:r>
        <w:rPr>
          <w:snapToGrid w:val="0"/>
        </w:rPr>
        <w:t xml:space="preserve"> </w:t>
      </w:r>
    </w:p>
    <w:p>
      <w:pPr>
        <w:pStyle w:val="Subsection"/>
        <w:keepNext/>
        <w:keepLines/>
        <w:rPr>
          <w:snapToGrid w:val="0"/>
        </w:rPr>
      </w:pPr>
      <w:r>
        <w:rPr>
          <w:snapToGrid w:val="0"/>
        </w:rPr>
        <w:tab/>
      </w:r>
      <w:r>
        <w:rPr>
          <w:snapToGrid w:val="0"/>
        </w:rPr>
        <w:tab/>
        <w:t xml:space="preserve">In this Division, </w:t>
      </w:r>
      <w:r>
        <w:rPr>
          <w:b/>
          <w:snapToGrid w:val="0"/>
        </w:rPr>
        <w:t>“</w:t>
      </w:r>
      <w:r>
        <w:rPr>
          <w:rStyle w:val="CharDefText"/>
        </w:rPr>
        <w:t>title</w:t>
      </w:r>
      <w:r>
        <w:rPr>
          <w:b/>
          <w:snapToGrid w:val="0"/>
        </w:rPr>
        <w:t>”</w:t>
      </w:r>
      <w:r>
        <w:rPr>
          <w:snapToGrid w:val="0"/>
        </w:rPr>
        <w:t xml:space="preserve"> means a permit, lease, licence, pipeline licence or access authority.</w:t>
      </w:r>
    </w:p>
    <w:p>
      <w:pPr>
        <w:pStyle w:val="Footnotesection"/>
        <w:keepNext/>
      </w:pPr>
      <w:r>
        <w:tab/>
        <w:t xml:space="preserve">[Section 74J: formerly 74A inserted by No. 12 of 1990 s.197 redesignated by No. 21 of 1993 s.45.] </w:t>
      </w:r>
    </w:p>
    <w:p>
      <w:pPr>
        <w:pStyle w:val="Heading5"/>
        <w:rPr>
          <w:snapToGrid w:val="0"/>
        </w:rPr>
      </w:pPr>
      <w:bookmarkStart w:id="526" w:name="_Toc501861762"/>
      <w:bookmarkStart w:id="527" w:name="_Toc113772520"/>
      <w:bookmarkStart w:id="528" w:name="_Toc170190615"/>
      <w:bookmarkStart w:id="529" w:name="_Toc157933589"/>
      <w:r>
        <w:rPr>
          <w:rStyle w:val="CharSectno"/>
        </w:rPr>
        <w:t>75</w:t>
      </w:r>
      <w:r>
        <w:rPr>
          <w:snapToGrid w:val="0"/>
        </w:rPr>
        <w:t>.</w:t>
      </w:r>
      <w:r>
        <w:rPr>
          <w:snapToGrid w:val="0"/>
        </w:rPr>
        <w:tab/>
        <w:t>Register of certain instruments to be kept</w:t>
      </w:r>
      <w:bookmarkEnd w:id="526"/>
      <w:bookmarkEnd w:id="527"/>
      <w:bookmarkEnd w:id="528"/>
      <w:bookmarkEnd w:id="529"/>
      <w:r>
        <w:rPr>
          <w:snapToGrid w:val="0"/>
        </w:rPr>
        <w:t xml:space="preserve"> </w:t>
      </w:r>
    </w:p>
    <w:p>
      <w:pPr>
        <w:pStyle w:val="Subsection"/>
        <w:rPr>
          <w:snapToGrid w:val="0"/>
        </w:rPr>
      </w:pPr>
      <w:r>
        <w:rPr>
          <w:snapToGrid w:val="0"/>
        </w:rPr>
        <w:tab/>
      </w:r>
      <w:r>
        <w:rPr>
          <w:snapToGrid w:val="0"/>
        </w:rPr>
        <w:tab/>
        <w:t>For the purposes of this Part, the Minister shall keep a register of titles and special prospecting authorities granted by him.</w:t>
      </w:r>
    </w:p>
    <w:p>
      <w:pPr>
        <w:pStyle w:val="Footnotesection"/>
      </w:pPr>
      <w:r>
        <w:tab/>
        <w:t xml:space="preserve">[Section 75 amended by No. 12 of 1990 s.198.] </w:t>
      </w:r>
    </w:p>
    <w:p>
      <w:pPr>
        <w:pStyle w:val="Heading5"/>
        <w:rPr>
          <w:snapToGrid w:val="0"/>
        </w:rPr>
      </w:pPr>
      <w:bookmarkStart w:id="530" w:name="_Toc501861763"/>
      <w:bookmarkStart w:id="531" w:name="_Toc113772521"/>
      <w:bookmarkStart w:id="532" w:name="_Toc170190616"/>
      <w:bookmarkStart w:id="533" w:name="_Toc157933590"/>
      <w:r>
        <w:rPr>
          <w:rStyle w:val="CharSectno"/>
        </w:rPr>
        <w:t>76</w:t>
      </w:r>
      <w:r>
        <w:rPr>
          <w:snapToGrid w:val="0"/>
        </w:rPr>
        <w:t>.</w:t>
      </w:r>
      <w:r>
        <w:rPr>
          <w:snapToGrid w:val="0"/>
        </w:rPr>
        <w:tab/>
        <w:t>Particulars to be entered in register</w:t>
      </w:r>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The Minister shall enter in the register a memorial in respect of each title or special prospecting authority — </w:t>
      </w:r>
    </w:p>
    <w:p>
      <w:pPr>
        <w:pStyle w:val="Indenta"/>
        <w:rPr>
          <w:snapToGrid w:val="0"/>
        </w:rPr>
      </w:pPr>
      <w:r>
        <w:rPr>
          <w:snapToGrid w:val="0"/>
        </w:rPr>
        <w:tab/>
        <w:t>(a)</w:t>
      </w:r>
      <w:r>
        <w:rPr>
          <w:snapToGrid w:val="0"/>
        </w:rPr>
        <w:tab/>
        <w:t>specifying the name of the holder of the title or special prospecting authority;</w:t>
      </w:r>
    </w:p>
    <w:p>
      <w:pPr>
        <w:pStyle w:val="Indenta"/>
        <w:rPr>
          <w:snapToGrid w:val="0"/>
        </w:rPr>
      </w:pPr>
      <w:r>
        <w:rPr>
          <w:snapToGrid w:val="0"/>
        </w:rPr>
        <w:tab/>
        <w:t>(b)</w:t>
      </w:r>
      <w:r>
        <w:rPr>
          <w:snapToGrid w:val="0"/>
        </w:rPr>
        <w:tab/>
        <w:t>in the case of a permit, lease or licence, setting out an accurate description (including, where convenient, a map) of the permit area, lease area or licence area;</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p>
    <w:p>
      <w:pPr>
        <w:pStyle w:val="Indenta"/>
        <w:rPr>
          <w:snapToGrid w:val="0"/>
        </w:rPr>
      </w:pPr>
      <w:r>
        <w:rPr>
          <w:snapToGrid w:val="0"/>
        </w:rPr>
        <w:tab/>
        <w:t>(d)</w:t>
      </w:r>
      <w:r>
        <w:rPr>
          <w:snapToGrid w:val="0"/>
        </w:rPr>
        <w:tab/>
        <w:t>in the case of a pipeline licence, setting out a description of the route of the pipeline;</w:t>
      </w:r>
    </w:p>
    <w:p>
      <w:pPr>
        <w:pStyle w:val="Indenta"/>
        <w:spacing w:before="60"/>
        <w:rPr>
          <w:snapToGrid w:val="0"/>
        </w:rPr>
      </w:pPr>
      <w:r>
        <w:rPr>
          <w:snapToGrid w:val="0"/>
        </w:rPr>
        <w:tab/>
        <w:t>(e)</w:t>
      </w:r>
      <w:r>
        <w:rPr>
          <w:snapToGrid w:val="0"/>
        </w:rPr>
        <w:tab/>
        <w:t>specifying the term of the title or special prospecting authority;</w:t>
      </w:r>
    </w:p>
    <w:p>
      <w:pPr>
        <w:pStyle w:val="Indenta"/>
        <w:spacing w:before="60"/>
        <w:rPr>
          <w:snapToGrid w:val="0"/>
        </w:rPr>
      </w:pPr>
      <w:r>
        <w:rPr>
          <w:snapToGrid w:val="0"/>
        </w:rPr>
        <w:tab/>
        <w:t>(f)</w:t>
      </w:r>
      <w:r>
        <w:rPr>
          <w:snapToGrid w:val="0"/>
        </w:rPr>
        <w:tab/>
        <w:t>setting out such other matters and things as are required by this Part to be entered in the register; and</w:t>
      </w:r>
    </w:p>
    <w:p>
      <w:pPr>
        <w:pStyle w:val="Indenta"/>
        <w:spacing w:before="60"/>
        <w:rPr>
          <w:snapToGrid w:val="0"/>
        </w:rPr>
      </w:pPr>
      <w:r>
        <w:rPr>
          <w:snapToGrid w:val="0"/>
        </w:rPr>
        <w:tab/>
        <w:t>(g)</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spacing w:before="140"/>
        <w:rPr>
          <w:snapToGrid w:val="0"/>
        </w:rPr>
      </w:pPr>
      <w:r>
        <w:rPr>
          <w:snapToGrid w:val="0"/>
        </w:rPr>
        <w:tab/>
        <w:t>(2)</w:t>
      </w:r>
      <w:r>
        <w:rPr>
          <w:snapToGrid w:val="0"/>
        </w:rPr>
        <w:tab/>
        <w:t>The Minister shall enter in the register a memorial of — </w:t>
      </w:r>
    </w:p>
    <w:p>
      <w:pPr>
        <w:pStyle w:val="Indenta"/>
        <w:spacing w:before="60"/>
        <w:rPr>
          <w:snapToGrid w:val="0"/>
        </w:rPr>
      </w:pPr>
      <w:r>
        <w:rPr>
          <w:snapToGrid w:val="0"/>
        </w:rPr>
        <w:tab/>
        <w:t>(a)</w:t>
      </w:r>
      <w:r>
        <w:rPr>
          <w:snapToGrid w:val="0"/>
        </w:rPr>
        <w:tab/>
        <w:t>any instrument varying, cancelling, surrendering or otherwise affecting a title or special prospecting authority;</w:t>
      </w:r>
    </w:p>
    <w:p>
      <w:pPr>
        <w:pStyle w:val="Indenta"/>
        <w:spacing w:before="60"/>
        <w:rPr>
          <w:snapToGrid w:val="0"/>
        </w:rPr>
      </w:pPr>
      <w:r>
        <w:rPr>
          <w:snapToGrid w:val="0"/>
        </w:rPr>
        <w:tab/>
        <w:t>(b)</w:t>
      </w:r>
      <w:r>
        <w:rPr>
          <w:snapToGrid w:val="0"/>
        </w:rPr>
        <w:tab/>
        <w:t>any instrument under section 59(5), (6) or (7);</w:t>
      </w:r>
    </w:p>
    <w:p>
      <w:pPr>
        <w:pStyle w:val="Indenta"/>
        <w:spacing w:before="60"/>
        <w:rPr>
          <w:snapToGrid w:val="0"/>
        </w:rPr>
      </w:pPr>
      <w:r>
        <w:rPr>
          <w:snapToGrid w:val="0"/>
        </w:rPr>
        <w:tab/>
        <w:t>(c)</w:t>
      </w:r>
      <w:r>
        <w:rPr>
          <w:snapToGrid w:val="0"/>
        </w:rPr>
        <w:tab/>
        <w:t>any agreement under section 109; and</w:t>
      </w:r>
    </w:p>
    <w:p>
      <w:pPr>
        <w:pStyle w:val="Indenta"/>
        <w:spacing w:before="60"/>
        <w:rPr>
          <w:snapToGrid w:val="0"/>
        </w:rPr>
      </w:pPr>
      <w:r>
        <w:rPr>
          <w:snapToGrid w:val="0"/>
        </w:rPr>
        <w:tab/>
        <w:t>(d)</w:t>
      </w:r>
      <w:r>
        <w:rPr>
          <w:snapToGrid w:val="0"/>
        </w:rPr>
        <w:tab/>
        <w:t>any instrument varying or revoking an instrument referred to in paragraph (a) or (b).</w:t>
      </w:r>
    </w:p>
    <w:p>
      <w:pPr>
        <w:pStyle w:val="Subsection"/>
        <w:spacing w:before="140"/>
        <w:rPr>
          <w:snapToGrid w:val="0"/>
        </w:rPr>
      </w:pPr>
      <w:r>
        <w:rPr>
          <w:snapToGrid w:val="0"/>
        </w:rPr>
        <w:tab/>
        <w:t>(3)</w:t>
      </w:r>
      <w:r>
        <w:rPr>
          <w:snapToGrid w:val="0"/>
        </w:rPr>
        <w:tab/>
        <w:t>It is a sufficient compliance with the requirements of subsection (1) or (2) if the Minister enters a copy of the title, special prospecting authority or instrument in the register.</w:t>
      </w:r>
    </w:p>
    <w:p>
      <w:pPr>
        <w:pStyle w:val="Ednotesubsection"/>
      </w:pPr>
      <w:r>
        <w:tab/>
        <w:t>[(4)</w:t>
      </w:r>
      <w:r>
        <w:tab/>
        <w:t>repealed]</w:t>
      </w:r>
    </w:p>
    <w:p>
      <w:pPr>
        <w:pStyle w:val="Subsection"/>
        <w:spacing w:before="140"/>
        <w:rPr>
          <w:snapToGrid w:val="0"/>
        </w:rPr>
      </w:pPr>
      <w:r>
        <w:rPr>
          <w:snapToGrid w:val="0"/>
        </w:rPr>
        <w:tab/>
        <w:t>(5)</w:t>
      </w:r>
      <w:r>
        <w:rPr>
          <w:snapToGrid w:val="0"/>
        </w:rPr>
        <w:tab/>
        <w:t>The Minister shall endorse on the memorial or copy of the title, special prospecting authority or instrument a memorandum of the date upon which the memorial or copy was entered in the register.</w:t>
      </w:r>
    </w:p>
    <w:p>
      <w:pPr>
        <w:pStyle w:val="Footnotesection"/>
      </w:pPr>
      <w:r>
        <w:tab/>
        <w:t xml:space="preserve">[Section 76 amended by No. 12 of 1990 s.199.] </w:t>
      </w:r>
    </w:p>
    <w:p>
      <w:pPr>
        <w:pStyle w:val="Heading5"/>
        <w:spacing w:before="180"/>
        <w:rPr>
          <w:snapToGrid w:val="0"/>
        </w:rPr>
      </w:pPr>
      <w:bookmarkStart w:id="534" w:name="_Toc501861764"/>
      <w:bookmarkStart w:id="535" w:name="_Toc113772522"/>
      <w:bookmarkStart w:id="536" w:name="_Toc170190617"/>
      <w:bookmarkStart w:id="537" w:name="_Toc157933591"/>
      <w:r>
        <w:rPr>
          <w:rStyle w:val="CharSectno"/>
        </w:rPr>
        <w:t>77</w:t>
      </w:r>
      <w:r>
        <w:rPr>
          <w:snapToGrid w:val="0"/>
        </w:rPr>
        <w:t>.</w:t>
      </w:r>
      <w:r>
        <w:rPr>
          <w:snapToGrid w:val="0"/>
        </w:rPr>
        <w:tab/>
        <w:t>Memorials to be entered of permits, etc. determined, etc.</w:t>
      </w:r>
      <w:bookmarkEnd w:id="534"/>
      <w:bookmarkEnd w:id="535"/>
      <w:bookmarkEnd w:id="536"/>
      <w:bookmarkEnd w:id="537"/>
      <w:r>
        <w:rPr>
          <w:snapToGrid w:val="0"/>
        </w:rPr>
        <w:t xml:space="preserve"> </w:t>
      </w:r>
    </w:p>
    <w:p>
      <w:pPr>
        <w:pStyle w:val="Subsection"/>
        <w:spacing w:before="140"/>
        <w:rPr>
          <w:snapToGrid w:val="0"/>
        </w:rPr>
      </w:pPr>
      <w:r>
        <w:rPr>
          <w:snapToGrid w:val="0"/>
        </w:rPr>
        <w:tab/>
      </w:r>
      <w:r>
        <w:rPr>
          <w:snapToGrid w:val="0"/>
        </w:rPr>
        <w:tab/>
        <w:t>Where — </w:t>
      </w:r>
    </w:p>
    <w:p>
      <w:pPr>
        <w:pStyle w:val="Indenta"/>
        <w:spacing w:before="60"/>
        <w:rPr>
          <w:snapToGrid w:val="0"/>
        </w:rPr>
      </w:pPr>
      <w:r>
        <w:rPr>
          <w:snapToGrid w:val="0"/>
        </w:rPr>
        <w:tab/>
        <w:t>(a)</w:t>
      </w:r>
      <w:r>
        <w:rPr>
          <w:snapToGrid w:val="0"/>
        </w:rPr>
        <w:tab/>
        <w:t>a permit or lease ceases to be in force in respect of a block in respect of which a licence is granted;</w:t>
      </w:r>
    </w:p>
    <w:p>
      <w:pPr>
        <w:pStyle w:val="Indenta"/>
        <w:spacing w:before="60"/>
        <w:rPr>
          <w:snapToGrid w:val="0"/>
        </w:rPr>
      </w:pPr>
      <w:r>
        <w:rPr>
          <w:snapToGrid w:val="0"/>
        </w:rPr>
        <w:tab/>
        <w:t>(aa)</w:t>
      </w:r>
      <w:r>
        <w:rPr>
          <w:snapToGrid w:val="0"/>
        </w:rPr>
        <w:tab/>
        <w:t>a permit ceases to be in force in respect of a block in respect of which a lease is granted;</w:t>
      </w:r>
    </w:p>
    <w:p>
      <w:pPr>
        <w:pStyle w:val="Indenta"/>
        <w:rPr>
          <w:snapToGrid w:val="0"/>
        </w:rPr>
      </w:pPr>
      <w:r>
        <w:rPr>
          <w:snapToGrid w:val="0"/>
        </w:rPr>
        <w:tab/>
        <w:t>(b)</w:t>
      </w:r>
      <w:r>
        <w:rPr>
          <w:snapToGrid w:val="0"/>
        </w:rPr>
        <w:tab/>
        <w:t>a permit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 xml:space="preserve">[Section 77 amended by No. 12 of 1990 s.200.] </w:t>
      </w:r>
    </w:p>
    <w:p>
      <w:pPr>
        <w:pStyle w:val="Heading5"/>
        <w:rPr>
          <w:snapToGrid w:val="0"/>
        </w:rPr>
      </w:pPr>
      <w:bookmarkStart w:id="538" w:name="_Toc501861765"/>
      <w:bookmarkStart w:id="539" w:name="_Toc113772523"/>
      <w:bookmarkStart w:id="540" w:name="_Toc170190618"/>
      <w:bookmarkStart w:id="541" w:name="_Toc157933592"/>
      <w:r>
        <w:rPr>
          <w:rStyle w:val="CharSectno"/>
        </w:rPr>
        <w:t>78</w:t>
      </w:r>
      <w:r>
        <w:rPr>
          <w:snapToGrid w:val="0"/>
        </w:rPr>
        <w:t>.</w:t>
      </w:r>
      <w:r>
        <w:rPr>
          <w:snapToGrid w:val="0"/>
        </w:rPr>
        <w:tab/>
        <w:t>Approval and registration of transfers</w:t>
      </w:r>
      <w:bookmarkEnd w:id="538"/>
      <w:bookmarkEnd w:id="539"/>
      <w:bookmarkEnd w:id="540"/>
      <w:bookmarkEnd w:id="541"/>
      <w:r>
        <w:rPr>
          <w:snapToGrid w:val="0"/>
        </w:rPr>
        <w:t xml:space="preserve"> </w:t>
      </w:r>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 </w:t>
      </w:r>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rPr>
          <w:snapToGrid w:val="0"/>
        </w:rPr>
      </w:pPr>
      <w:r>
        <w:rPr>
          <w:snapToGrid w:val="0"/>
        </w:rPr>
        <w:tab/>
        <w:t>(b)</w:t>
      </w:r>
      <w:r>
        <w:rPr>
          <w:snapToGrid w:val="0"/>
        </w:rPr>
        <w:tab/>
        <w:t>in a case where the transferee or one or more of the transferees is not a registered holder or are not registered holders of the title, an instrument setting out — </w:t>
      </w:r>
    </w:p>
    <w:p>
      <w:pPr>
        <w:pStyle w:val="Indenti"/>
        <w:rPr>
          <w:snapToGrid w:val="0"/>
        </w:rPr>
      </w:pPr>
      <w:r>
        <w:rPr>
          <w:snapToGrid w:val="0"/>
        </w:rPr>
        <w:tab/>
        <w:t>(i)</w:t>
      </w:r>
      <w:r>
        <w:rPr>
          <w:snapToGrid w:val="0"/>
        </w:rPr>
        <w:tab/>
        <w:t>the technical qualifications of that transferee or those transferees;</w:t>
      </w:r>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spacing w:before="120"/>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spacing w:before="120"/>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spacing w:before="120"/>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spacing w:before="120"/>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spacing w:before="120"/>
        <w:rPr>
          <w:snapToGrid w:val="0"/>
        </w:rPr>
      </w:pPr>
      <w:r>
        <w:rPr>
          <w:snapToGrid w:val="0"/>
        </w:rPr>
        <w:tab/>
        <w:t>(9)</w:t>
      </w:r>
      <w:r>
        <w:rPr>
          <w:snapToGrid w:val="0"/>
        </w:rPr>
        <w:tab/>
        <w:t>Where the Minister approves the transfer of a title, the Minister shall forthwith endorse on the instrument of transfer and on one copy of the instrument a memorandum of approval and shall, on payment of the fee provided by the Registration Fees Act, enter in the register a memorandum of the transfer and the name of the transferee or of each transferee.</w:t>
      </w:r>
    </w:p>
    <w:p>
      <w:pPr>
        <w:pStyle w:val="Subsection"/>
        <w:spacing w:before="120"/>
        <w:rPr>
          <w:snapToGrid w:val="0"/>
        </w:rPr>
      </w:pPr>
      <w:r>
        <w:rPr>
          <w:snapToGrid w:val="0"/>
        </w:rPr>
        <w:tab/>
        <w:t>(10)</w:t>
      </w:r>
      <w:r>
        <w:rPr>
          <w:snapToGrid w:val="0"/>
        </w:rPr>
        <w:tab/>
        <w:t>Upon the entry in the register of a memorandum of the transfer of a title and of the name of the transferee or each transferee in accordance with subsection (9) — </w:t>
      </w:r>
    </w:p>
    <w:p>
      <w:pPr>
        <w:pStyle w:val="Indenta"/>
        <w:spacing w:before="60"/>
        <w:rPr>
          <w:snapToGrid w:val="0"/>
        </w:rPr>
      </w:pPr>
      <w:r>
        <w:rPr>
          <w:snapToGrid w:val="0"/>
        </w:rPr>
        <w:tab/>
        <w:t>(a)</w:t>
      </w:r>
      <w:r>
        <w:rPr>
          <w:snapToGrid w:val="0"/>
        </w:rPr>
        <w:tab/>
        <w:t>the transfer shall be deemed to be registered; and</w:t>
      </w:r>
    </w:p>
    <w:p>
      <w:pPr>
        <w:pStyle w:val="Indenta"/>
        <w:spacing w:before="60"/>
        <w:rPr>
          <w:snapToGrid w:val="0"/>
        </w:rPr>
      </w:pPr>
      <w:r>
        <w:rPr>
          <w:snapToGrid w:val="0"/>
        </w:rPr>
        <w:tab/>
        <w:t>(b)</w:t>
      </w:r>
      <w:r>
        <w:rPr>
          <w:snapToGrid w:val="0"/>
        </w:rPr>
        <w:tab/>
        <w:t>the transferee becomes the registered holder, or the transferees become the registered holders, of the title.</w:t>
      </w:r>
    </w:p>
    <w:p>
      <w:pPr>
        <w:pStyle w:val="Subsection"/>
        <w:spacing w:before="120"/>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spacing w:before="120"/>
        <w:rPr>
          <w:snapToGrid w:val="0"/>
        </w:rPr>
      </w:pPr>
      <w:r>
        <w:rPr>
          <w:snapToGrid w:val="0"/>
        </w:rPr>
        <w:tab/>
        <w:t>(12)</w:t>
      </w:r>
      <w:r>
        <w:rPr>
          <w:snapToGrid w:val="0"/>
        </w:rPr>
        <w:tab/>
        <w:t>Where a transfer is registered — </w:t>
      </w:r>
    </w:p>
    <w:p>
      <w:pPr>
        <w:pStyle w:val="Indenta"/>
        <w:spacing w:before="60"/>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spacing w:before="60"/>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spacing w:before="140"/>
        <w:rPr>
          <w:snapToGrid w:val="0"/>
        </w:rPr>
      </w:pPr>
      <w:r>
        <w:rPr>
          <w:snapToGrid w:val="0"/>
        </w:rPr>
        <w:tab/>
        <w:t>(13)</w:t>
      </w:r>
      <w:r>
        <w:rPr>
          <w:snapToGrid w:val="0"/>
        </w:rPr>
        <w:tab/>
        <w:t>The mere execution of an instrument of transfer of a title creates no interest in the title.</w:t>
      </w:r>
    </w:p>
    <w:p>
      <w:pPr>
        <w:pStyle w:val="Footnotesection"/>
      </w:pPr>
      <w:r>
        <w:tab/>
        <w:t>[Section 78 inserted by No. 12 of 1990 s.201</w:t>
      </w:r>
      <w:r>
        <w:rPr>
          <w:vertAlign w:val="superscript"/>
        </w:rPr>
        <w:t xml:space="preserve"> 7</w:t>
      </w:r>
      <w:r>
        <w:t xml:space="preserve">; amended by No. 28 of 1994 s.102.] </w:t>
      </w:r>
    </w:p>
    <w:p>
      <w:pPr>
        <w:pStyle w:val="Heading5"/>
        <w:spacing w:before="200"/>
        <w:rPr>
          <w:snapToGrid w:val="0"/>
        </w:rPr>
      </w:pPr>
      <w:bookmarkStart w:id="542" w:name="_Toc501861766"/>
      <w:bookmarkStart w:id="543" w:name="_Toc113772524"/>
      <w:bookmarkStart w:id="544" w:name="_Toc170190619"/>
      <w:bookmarkStart w:id="545" w:name="_Toc157933593"/>
      <w:r>
        <w:rPr>
          <w:rStyle w:val="CharSectno"/>
        </w:rPr>
        <w:t>79</w:t>
      </w:r>
      <w:r>
        <w:rPr>
          <w:snapToGrid w:val="0"/>
        </w:rPr>
        <w:t>.</w:t>
      </w:r>
      <w:r>
        <w:rPr>
          <w:snapToGrid w:val="0"/>
        </w:rPr>
        <w:tab/>
        <w:t>Entries in register on devolution of title</w:t>
      </w:r>
      <w:bookmarkEnd w:id="542"/>
      <w:bookmarkEnd w:id="543"/>
      <w:bookmarkEnd w:id="544"/>
      <w:bookmarkEnd w:id="545"/>
      <w:r>
        <w:rPr>
          <w:snapToGrid w:val="0"/>
        </w:rPr>
        <w:t xml:space="preserve"> </w:t>
      </w:r>
    </w:p>
    <w:p>
      <w:pPr>
        <w:pStyle w:val="Subsection"/>
        <w:spacing w:before="140"/>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spacing w:before="140"/>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the holder of the title and, upon that entry being so made, the applicant becomes the registered holder of the title.</w:t>
      </w:r>
    </w:p>
    <w:p>
      <w:pPr>
        <w:pStyle w:val="Subsection"/>
        <w:spacing w:before="140"/>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 </w:t>
      </w:r>
    </w:p>
    <w:p>
      <w:pPr>
        <w:pStyle w:val="Indenta"/>
        <w:spacing w:before="60"/>
        <w:rPr>
          <w:snapToGrid w:val="0"/>
        </w:rPr>
      </w:pPr>
      <w:r>
        <w:rPr>
          <w:snapToGrid w:val="0"/>
        </w:rPr>
        <w:tab/>
        <w:t>(a)</w:t>
      </w:r>
      <w:r>
        <w:rPr>
          <w:snapToGrid w:val="0"/>
        </w:rPr>
        <w:tab/>
        <w:t>the Minister is satisfied that the company has so changed its name; and</w:t>
      </w:r>
    </w:p>
    <w:p>
      <w:pPr>
        <w:pStyle w:val="Indenta"/>
        <w:spacing w:before="60"/>
        <w:rPr>
          <w:snapToGrid w:val="0"/>
        </w:rPr>
      </w:pPr>
      <w:r>
        <w:rPr>
          <w:snapToGrid w:val="0"/>
        </w:rPr>
        <w:tab/>
        <w:t>(b)</w:t>
      </w:r>
      <w:r>
        <w:rPr>
          <w:snapToGrid w:val="0"/>
        </w:rPr>
        <w:tab/>
        <w:t>the company has paid the prescribed fee,</w:t>
      </w:r>
    </w:p>
    <w:p>
      <w:pPr>
        <w:pStyle w:val="Subsection"/>
        <w:spacing w:before="140"/>
        <w:rPr>
          <w:snapToGrid w:val="0"/>
        </w:rPr>
      </w:pPr>
      <w:r>
        <w:rPr>
          <w:snapToGrid w:val="0"/>
        </w:rPr>
        <w:tab/>
      </w:r>
      <w:r>
        <w:rPr>
          <w:snapToGrid w:val="0"/>
        </w:rPr>
        <w:tab/>
        <w:t>the Minister shall make the necessary alterations in the register.</w:t>
      </w:r>
    </w:p>
    <w:p>
      <w:pPr>
        <w:pStyle w:val="Footnotesection"/>
      </w:pPr>
      <w:r>
        <w:tab/>
        <w:t xml:space="preserve">[Section 79 amended by No. 12 of 1990 s.202.] </w:t>
      </w:r>
    </w:p>
    <w:p>
      <w:pPr>
        <w:pStyle w:val="Ednotesection"/>
      </w:pPr>
      <w:r>
        <w:t>[</w:t>
      </w:r>
      <w:r>
        <w:rPr>
          <w:b/>
        </w:rPr>
        <w:t>80.</w:t>
      </w:r>
      <w:r>
        <w:tab/>
        <w:t xml:space="preserve">Repealed by No. 12 of 1990 s.203.] </w:t>
      </w:r>
    </w:p>
    <w:p>
      <w:pPr>
        <w:pStyle w:val="Heading5"/>
        <w:rPr>
          <w:snapToGrid w:val="0"/>
        </w:rPr>
      </w:pPr>
      <w:bookmarkStart w:id="546" w:name="_Toc501861767"/>
      <w:bookmarkStart w:id="547" w:name="_Toc113772525"/>
      <w:bookmarkStart w:id="548" w:name="_Toc170190620"/>
      <w:bookmarkStart w:id="549" w:name="_Toc157933594"/>
      <w:r>
        <w:rPr>
          <w:rStyle w:val="CharSectno"/>
        </w:rPr>
        <w:t>81</w:t>
      </w:r>
      <w:r>
        <w:rPr>
          <w:snapToGrid w:val="0"/>
        </w:rPr>
        <w:t>.</w:t>
      </w:r>
      <w:r>
        <w:rPr>
          <w:snapToGrid w:val="0"/>
        </w:rPr>
        <w:tab/>
        <w:t>Approval of dealings creating, etc., interests, etc., in existing titles</w:t>
      </w:r>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This section applies to a dealing that would, but for subsection (2), have one or more of the following effects —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p>
    <w:p>
      <w:pPr>
        <w:pStyle w:val="Indenta"/>
        <w:rPr>
          <w:snapToGrid w:val="0"/>
        </w:rPr>
      </w:pPr>
      <w:r>
        <w:rPr>
          <w:snapToGrid w:val="0"/>
        </w:rPr>
        <w:tab/>
        <w:t>(d)</w:t>
      </w:r>
      <w:r>
        <w:rPr>
          <w:snapToGrid w:val="0"/>
        </w:rPr>
        <w:tab/>
        <w:t>the creation or assignment of — </w:t>
      </w:r>
    </w:p>
    <w:p>
      <w:pPr>
        <w:pStyle w:val="Indenti"/>
        <w:rPr>
          <w:snapToGrid w:val="0"/>
        </w:rPr>
      </w:pPr>
      <w:r>
        <w:rPr>
          <w:snapToGrid w:val="0"/>
        </w:rPr>
        <w:tab/>
        <w:t>(i)</w:t>
      </w:r>
      <w:r>
        <w:rPr>
          <w:snapToGrid w:val="0"/>
        </w:rPr>
        <w:tab/>
        <w:t>an interest in relation to an existing permit,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 produced from operations authorized by an existing permit,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spacing w:before="60"/>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spacing w:before="120"/>
        <w:rPr>
          <w:snapToGrid w:val="0"/>
        </w:rPr>
      </w:pPr>
      <w:r>
        <w:rPr>
          <w:snapToGrid w:val="0"/>
        </w:rPr>
        <w:tab/>
      </w:r>
      <w:r>
        <w:rPr>
          <w:snapToGrid w:val="0"/>
        </w:rPr>
        <w:tab/>
        <w:t>but this section does not apply to a transfer to which section 78 applies.</w:t>
      </w:r>
    </w:p>
    <w:p>
      <w:pPr>
        <w:pStyle w:val="Subsection"/>
        <w:spacing w:before="120"/>
        <w:rPr>
          <w:snapToGrid w:val="0"/>
          <w:spacing w:val="-2"/>
        </w:rPr>
      </w:pPr>
      <w:r>
        <w:rPr>
          <w:snapToGrid w:val="0"/>
          <w:spacing w:val="-2"/>
        </w:rPr>
        <w:tab/>
        <w:t>(2)</w:t>
      </w:r>
      <w:r>
        <w:rPr>
          <w:snapToGrid w:val="0"/>
          <w:spacing w:val="-2"/>
        </w:rPr>
        <w:tab/>
        <w:t xml:space="preserve">A dealing to which this section applies is of no force in so far as the dealing would, but for this subsection, have an effect of a kind referred to in subsection (1) in relation to a particular title until — </w:t>
      </w:r>
    </w:p>
    <w:p>
      <w:pPr>
        <w:pStyle w:val="Indenta"/>
        <w:spacing w:before="60"/>
        <w:rPr>
          <w:snapToGrid w:val="0"/>
        </w:rPr>
      </w:pPr>
      <w:r>
        <w:rPr>
          <w:snapToGrid w:val="0"/>
        </w:rPr>
        <w:tab/>
        <w:t>(a)</w:t>
      </w:r>
      <w:r>
        <w:rPr>
          <w:snapToGrid w:val="0"/>
        </w:rPr>
        <w:tab/>
        <w:t>the dealing, in so far as it relates to that title, has been approved by the Minister; and</w:t>
      </w:r>
    </w:p>
    <w:p>
      <w:pPr>
        <w:pStyle w:val="Indenta"/>
        <w:spacing w:before="60"/>
        <w:rPr>
          <w:snapToGrid w:val="0"/>
        </w:rPr>
      </w:pPr>
      <w:r>
        <w:rPr>
          <w:snapToGrid w:val="0"/>
        </w:rPr>
        <w:tab/>
        <w:t>(b)</w:t>
      </w:r>
      <w:r>
        <w:rPr>
          <w:snapToGrid w:val="0"/>
        </w:rPr>
        <w:tab/>
        <w:t>an entry has been made in the register in relation to the dealing by the Minister in accordance with subsection (12).</w:t>
      </w:r>
    </w:p>
    <w:p>
      <w:pPr>
        <w:pStyle w:val="Subsection"/>
        <w:spacing w:before="120"/>
        <w:rPr>
          <w:snapToGrid w:val="0"/>
        </w:rPr>
      </w:pPr>
      <w:r>
        <w:rPr>
          <w:snapToGrid w:val="0"/>
        </w:rPr>
        <w:tab/>
        <w:t>(3)</w:t>
      </w:r>
      <w:r>
        <w:rPr>
          <w:snapToGrid w:val="0"/>
        </w:rPr>
        <w:tab/>
        <w:t>A party to a dealing to which this section applies may lodge with the Minister — </w:t>
      </w:r>
    </w:p>
    <w:p>
      <w:pPr>
        <w:pStyle w:val="Indenta"/>
        <w:spacing w:before="60"/>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spacing w:before="60"/>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spacing w:before="120"/>
        <w:rPr>
          <w:snapToGrid w:val="0"/>
        </w:rPr>
      </w:pPr>
      <w:r>
        <w:rPr>
          <w:snapToGrid w:val="0"/>
        </w:rPr>
        <w:tab/>
        <w:t>(4)</w:t>
      </w:r>
      <w:r>
        <w:rPr>
          <w:snapToGrid w:val="0"/>
        </w:rPr>
        <w:tab/>
        <w:t>An application under subsection (3) for approval of a dealing —</w:t>
      </w:r>
    </w:p>
    <w:p>
      <w:pPr>
        <w:pStyle w:val="Indenta"/>
        <w:spacing w:before="60"/>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spacing w:before="60"/>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 </w:t>
      </w:r>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81A(1), the Minister shall not approve the dealing unless — </w:t>
      </w:r>
    </w:p>
    <w:p>
      <w:pPr>
        <w:pStyle w:val="Indenta"/>
        <w:rPr>
          <w:snapToGrid w:val="0"/>
        </w:rPr>
      </w:pPr>
      <w:r>
        <w:rPr>
          <w:snapToGrid w:val="0"/>
        </w:rPr>
        <w:tab/>
        <w:t>(a)</w:t>
      </w:r>
      <w:r>
        <w:rPr>
          <w:snapToGrid w:val="0"/>
        </w:rPr>
        <w:tab/>
        <w:t>a provisional application for approval of the dealing was lodged in accordance with section 81A(1);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w:t>
      </w:r>
      <w:r>
        <w:t xml:space="preserve"> 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spacing w:before="120"/>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spacing w:before="120"/>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spacing w:before="120"/>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spacing w:before="120"/>
        <w:rPr>
          <w:snapToGrid w:val="0"/>
        </w:rPr>
      </w:pPr>
      <w:r>
        <w:rPr>
          <w:snapToGrid w:val="0"/>
        </w:rPr>
        <w:tab/>
        <w:t>(12)</w:t>
      </w:r>
      <w:r>
        <w:rPr>
          <w:snapToGrid w:val="0"/>
        </w:rPr>
        <w:tab/>
        <w:t>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Registration Fees Act, make an entry of the approval of the dealing in the register on the memorial relating to, or on the copy of, the title in respect of which the approval is sought.</w:t>
      </w:r>
    </w:p>
    <w:p>
      <w:pPr>
        <w:pStyle w:val="Subsection"/>
        <w:spacing w:before="120"/>
        <w:rPr>
          <w:snapToGrid w:val="0"/>
        </w:rPr>
      </w:pPr>
      <w:r>
        <w:rPr>
          <w:snapToGrid w:val="0"/>
        </w:rPr>
        <w:tab/>
        <w:t>(13)</w:t>
      </w:r>
      <w:r>
        <w:rPr>
          <w:snapToGrid w:val="0"/>
        </w:rPr>
        <w:tab/>
        <w:t>Where an entry is made in the register in relation to a dealing in accordance with subsection (12) — </w:t>
      </w:r>
    </w:p>
    <w:p>
      <w:pPr>
        <w:pStyle w:val="Indenta"/>
        <w:spacing w:before="60"/>
        <w:rPr>
          <w:snapToGrid w:val="0"/>
          <w:spacing w:val="-2"/>
        </w:rPr>
      </w:pPr>
      <w:r>
        <w:rPr>
          <w:snapToGrid w:val="0"/>
          <w:spacing w:val="-2"/>
        </w:rPr>
        <w:tab/>
        <w:t>(a)</w:t>
      </w:r>
      <w:r>
        <w:rPr>
          <w:snapToGrid w:val="0"/>
          <w:spacing w:val="-2"/>
        </w:rPr>
        <w:tab/>
        <w:t xml:space="preserve">if the dealing was approved before the commencement of section 203 of the </w:t>
      </w:r>
      <w:r>
        <w:rPr>
          <w:i/>
          <w:snapToGrid w:val="0"/>
          <w:spacing w:val="-2"/>
        </w:rPr>
        <w:t>Acts Amendment (Petroleum) Act 1990</w:t>
      </w:r>
      <w:r>
        <w:rPr>
          <w:snapToGrid w:val="0"/>
          <w:spacing w:val="-2"/>
        </w:rPr>
        <w:t> </w:t>
      </w:r>
      <w:r>
        <w:rPr>
          <w:snapToGrid w:val="0"/>
          <w:spacing w:val="-2"/>
          <w:vertAlign w:val="superscript"/>
        </w:rPr>
        <w:t>1</w:t>
      </w:r>
      <w:r>
        <w:rPr>
          <w:snapToGrid w:val="0"/>
          <w:spacing w:val="-2"/>
        </w:rPr>
        <w:t xml:space="preserve">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p>
    <w:p>
      <w:pPr>
        <w:pStyle w:val="Indenta"/>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(14)</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(15)</w:t>
      </w:r>
      <w:r>
        <w:rPr>
          <w:snapToGrid w:val="0"/>
        </w:rPr>
        <w:tab/>
        <w:t>Where the Minister refuses to approve a dealing, the Minister shall make a notation of the refusal in the register.</w:t>
      </w:r>
    </w:p>
    <w:p>
      <w:pPr>
        <w:pStyle w:val="Subsection"/>
        <w:rPr>
          <w:snapToGrid w:val="0"/>
        </w:rPr>
      </w:pPr>
      <w:r>
        <w:rPr>
          <w:snapToGrid w:val="0"/>
        </w:rPr>
        <w:tab/>
        <w:t>(16)</w:t>
      </w:r>
      <w:r>
        <w:rPr>
          <w:snapToGrid w:val="0"/>
        </w:rPr>
        <w:tab/>
        <w:t xml:space="preserve">In this section, </w:t>
      </w:r>
      <w:r>
        <w:rPr>
          <w:b/>
          <w:snapToGrid w:val="0"/>
        </w:rPr>
        <w:t>“</w:t>
      </w:r>
      <w:r>
        <w:rPr>
          <w:rStyle w:val="CharDefText"/>
        </w:rPr>
        <w:t>charge</w:t>
      </w:r>
      <w:r>
        <w:rPr>
          <w:b/>
          <w:snapToGrid w:val="0"/>
        </w:rPr>
        <w:t>”</w:t>
      </w:r>
      <w:r>
        <w:rPr>
          <w:snapToGrid w:val="0"/>
        </w:rPr>
        <w:t xml:space="preserve"> and </w:t>
      </w:r>
      <w:r>
        <w:rPr>
          <w:b/>
          <w:snapToGrid w:val="0"/>
        </w:rPr>
        <w:t>“</w:t>
      </w:r>
      <w:r>
        <w:rPr>
          <w:rStyle w:val="CharDefText"/>
        </w:rPr>
        <w:t>debenture</w:t>
      </w:r>
      <w:r>
        <w:rPr>
          <w:b/>
          <w:snapToGrid w:val="0"/>
        </w:rPr>
        <w:t>”</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pPr>
      <w:r>
        <w:tab/>
        <w:t>[Section 81 inserted by No. 12 of 1990 s.203</w:t>
      </w:r>
      <w:r>
        <w:rPr>
          <w:vertAlign w:val="superscript"/>
        </w:rPr>
        <w:t xml:space="preserve"> 9</w:t>
      </w:r>
      <w:r>
        <w:t xml:space="preserve">; amended by No. 73 of 1994 s.4; No. 20 of 2003 s. 38.] </w:t>
      </w:r>
    </w:p>
    <w:p>
      <w:pPr>
        <w:pStyle w:val="Heading5"/>
        <w:rPr>
          <w:snapToGrid w:val="0"/>
        </w:rPr>
      </w:pPr>
      <w:bookmarkStart w:id="550" w:name="_Toc501861768"/>
      <w:bookmarkStart w:id="551" w:name="_Toc113772526"/>
      <w:bookmarkStart w:id="552" w:name="_Toc170190621"/>
      <w:bookmarkStart w:id="553" w:name="_Toc157933595"/>
      <w:r>
        <w:rPr>
          <w:rStyle w:val="CharSectno"/>
        </w:rPr>
        <w:t>81A</w:t>
      </w:r>
      <w:r>
        <w:rPr>
          <w:snapToGrid w:val="0"/>
        </w:rPr>
        <w:t>.</w:t>
      </w:r>
      <w:r>
        <w:rPr>
          <w:snapToGrid w:val="0"/>
        </w:rPr>
        <w:tab/>
        <w:t>Approval of dealings in future interests, etc.</w:t>
      </w:r>
      <w:bookmarkEnd w:id="550"/>
      <w:bookmarkEnd w:id="551"/>
      <w:bookmarkEnd w:id="552"/>
      <w:bookmarkEnd w:id="553"/>
    </w:p>
    <w:p>
      <w:pPr>
        <w:pStyle w:val="Subsection"/>
        <w:rPr>
          <w:snapToGrid w:val="0"/>
          <w:spacing w:val="-3"/>
        </w:rPr>
      </w:pPr>
      <w:r>
        <w:rPr>
          <w:snapToGrid w:val="0"/>
          <w:spacing w:val="-3"/>
        </w:rPr>
        <w:tab/>
        <w:t>(1)</w:t>
      </w:r>
      <w:r>
        <w:rPr>
          <w:snapToGrid w:val="0"/>
          <w:spacing w:val="-3"/>
        </w:rPr>
        <w:tab/>
        <w:t xml:space="preserve">Where 2 or more persons enter into a dealing relating to a title that may come into existence in the future and that dealing would, if the title came into existence, become a dealing to which section 81 applies, a person who is a party to the dealing may, during the prescribed period in relation to the title, lodge with the Minister — </w:t>
      </w:r>
    </w:p>
    <w:p>
      <w:pPr>
        <w:pStyle w:val="Indenta"/>
        <w:spacing w:before="60"/>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spacing w:before="120"/>
        <w:rPr>
          <w:snapToGrid w:val="0"/>
        </w:rPr>
      </w:pPr>
      <w:r>
        <w:rPr>
          <w:snapToGrid w:val="0"/>
        </w:rPr>
        <w:tab/>
        <w:t>(2)</w:t>
      </w:r>
      <w:r>
        <w:rPr>
          <w:snapToGrid w:val="0"/>
        </w:rPr>
        <w:tab/>
        <w:t>Section 81(4), (7) and (8) applies to a provisional application lodged under subsection (1) as if that provisional application were an application lodged under section 81(3).</w:t>
      </w:r>
    </w:p>
    <w:p>
      <w:pPr>
        <w:pStyle w:val="Subsection"/>
        <w:spacing w:before="120"/>
        <w:rPr>
          <w:snapToGrid w:val="0"/>
        </w:rPr>
      </w:pPr>
      <w:r>
        <w:rPr>
          <w:snapToGrid w:val="0"/>
        </w:rPr>
        <w:tab/>
        <w:t>(3)</w:t>
      </w:r>
      <w:r>
        <w:rPr>
          <w:snapToGrid w:val="0"/>
        </w:rPr>
        <w:tab/>
        <w:t>Where — </w:t>
      </w:r>
    </w:p>
    <w:p>
      <w:pPr>
        <w:pStyle w:val="Indenta"/>
        <w:spacing w:before="60"/>
        <w:rPr>
          <w:snapToGrid w:val="0"/>
        </w:rPr>
      </w:pPr>
      <w:r>
        <w:rPr>
          <w:snapToGrid w:val="0"/>
        </w:rPr>
        <w:tab/>
        <w:t>(a)</w:t>
      </w:r>
      <w:r>
        <w:rPr>
          <w:snapToGrid w:val="0"/>
        </w:rPr>
        <w:tab/>
        <w:t>the title to which a dealing referred to in subsection (1) relates comes into existence; and</w:t>
      </w:r>
    </w:p>
    <w:p>
      <w:pPr>
        <w:pStyle w:val="Indenta"/>
        <w:spacing w:before="60"/>
        <w:rPr>
          <w:snapToGrid w:val="0"/>
        </w:rPr>
      </w:pPr>
      <w:r>
        <w:rPr>
          <w:snapToGrid w:val="0"/>
        </w:rPr>
        <w:tab/>
        <w:t>(b)</w:t>
      </w:r>
      <w:r>
        <w:rPr>
          <w:snapToGrid w:val="0"/>
        </w:rPr>
        <w:tab/>
        <w:t>upon that title coming into existence, the dealing becomes a dealing to which section 81 applies,</w:t>
      </w:r>
    </w:p>
    <w:p>
      <w:pPr>
        <w:pStyle w:val="Subsection"/>
        <w:spacing w:before="120"/>
        <w:rPr>
          <w:snapToGrid w:val="0"/>
        </w:rPr>
      </w:pPr>
      <w:r>
        <w:rPr>
          <w:snapToGrid w:val="0"/>
        </w:rPr>
        <w:tab/>
      </w:r>
      <w:r>
        <w:rPr>
          <w:snapToGrid w:val="0"/>
        </w:rPr>
        <w:tab/>
        <w:t>the provisional application lodged under subsection (1) in relation to the dealing shall be treated as if it were an application lodged under section 81(3) on the day on which that title came into existence.</w:t>
      </w:r>
    </w:p>
    <w:p>
      <w:pPr>
        <w:pStyle w:val="Subsection"/>
        <w:spacing w:before="120"/>
        <w:rPr>
          <w:snapToGrid w:val="0"/>
        </w:rPr>
      </w:pPr>
      <w:r>
        <w:rPr>
          <w:snapToGrid w:val="0"/>
        </w:rPr>
        <w:tab/>
        <w:t>(4)</w:t>
      </w:r>
      <w:r>
        <w:rPr>
          <w:snapToGrid w:val="0"/>
        </w:rPr>
        <w:tab/>
        <w:t>A reference in subsection (1) to the prescribed period, in relation to a title, is a reference to the period — </w:t>
      </w:r>
    </w:p>
    <w:p>
      <w:pPr>
        <w:pStyle w:val="Indenta"/>
        <w:spacing w:before="60"/>
        <w:rPr>
          <w:snapToGrid w:val="0"/>
        </w:rPr>
      </w:pPr>
      <w:r>
        <w:rPr>
          <w:snapToGrid w:val="0"/>
        </w:rPr>
        <w:tab/>
        <w:t>(a)</w:t>
      </w:r>
      <w:r>
        <w:rPr>
          <w:snapToGrid w:val="0"/>
        </w:rPr>
        <w:tab/>
        <w:t>commencing — </w:t>
      </w:r>
    </w:p>
    <w:p>
      <w:pPr>
        <w:pStyle w:val="Indenti"/>
        <w:rPr>
          <w:snapToGrid w:val="0"/>
        </w:rPr>
      </w:pPr>
      <w:r>
        <w:rPr>
          <w:snapToGrid w:val="0"/>
        </w:rPr>
        <w:tab/>
        <w:t>(i)</w:t>
      </w:r>
      <w:r>
        <w:rPr>
          <w:snapToGrid w:val="0"/>
        </w:rPr>
        <w:tab/>
        <w:t>in the case of a permit, lease, licence or pipeline licence, on the day of service of an instrument informing the applicant for the permit, lease, licence or pipeline licence that the Minister is prepared to grant the permit, lease, licence or pipeline licence; or</w:t>
      </w:r>
    </w:p>
    <w:p>
      <w:pPr>
        <w:pStyle w:val="Indenti"/>
        <w:rPr>
          <w:snapToGrid w:val="0"/>
        </w:rPr>
      </w:pPr>
      <w:r>
        <w:rPr>
          <w:snapToGrid w:val="0"/>
        </w:rPr>
        <w:tab/>
        <w:t>(ii)</w:t>
      </w:r>
      <w:r>
        <w:rPr>
          <w:snapToGrid w:val="0"/>
        </w:rPr>
        <w:tab/>
        <w:t xml:space="preserve">in the case of an access authority, on the day on which the application for the grant of the access authority is made; </w:t>
      </w:r>
    </w:p>
    <w:p>
      <w:pPr>
        <w:pStyle w:val="Indenta"/>
        <w:spacing w:before="60"/>
        <w:rPr>
          <w:snapToGrid w:val="0"/>
        </w:rPr>
      </w:pPr>
      <w:r>
        <w:rPr>
          <w:snapToGrid w:val="0"/>
        </w:rPr>
        <w:tab/>
      </w:r>
      <w:r>
        <w:rPr>
          <w:snapToGrid w:val="0"/>
        </w:rPr>
        <w:tab/>
        <w:t>and</w:t>
      </w:r>
    </w:p>
    <w:p>
      <w:pPr>
        <w:pStyle w:val="Indenta"/>
        <w:spacing w:before="60"/>
        <w:rPr>
          <w:snapToGrid w:val="0"/>
          <w:spacing w:val="-2"/>
        </w:rPr>
      </w:pPr>
      <w:r>
        <w:rPr>
          <w:snapToGrid w:val="0"/>
          <w:spacing w:val="-2"/>
        </w:rPr>
        <w:tab/>
        <w:t>(b)</w:t>
      </w:r>
      <w:r>
        <w:rPr>
          <w:snapToGrid w:val="0"/>
          <w:spacing w:val="-2"/>
        </w:rPr>
        <w:tab/>
        <w:t>ending on the day on which the title comes into existence.</w:t>
      </w:r>
    </w:p>
    <w:p>
      <w:pPr>
        <w:pStyle w:val="Footnotesection"/>
        <w:spacing w:before="100"/>
        <w:ind w:left="890" w:hanging="890"/>
      </w:pPr>
      <w:r>
        <w:tab/>
        <w:t>[Section 81A inserted by No. 12 of 1990 s.203</w:t>
      </w:r>
      <w:r>
        <w:rPr>
          <w:vertAlign w:val="superscript"/>
        </w:rPr>
        <w:t xml:space="preserve"> 9</w:t>
      </w:r>
      <w:r>
        <w:t xml:space="preserve">.] </w:t>
      </w:r>
    </w:p>
    <w:p>
      <w:pPr>
        <w:pStyle w:val="Heading5"/>
        <w:rPr>
          <w:snapToGrid w:val="0"/>
        </w:rPr>
      </w:pPr>
      <w:bookmarkStart w:id="554" w:name="_Toc501861769"/>
      <w:bookmarkStart w:id="555" w:name="_Toc113772527"/>
      <w:bookmarkStart w:id="556" w:name="_Toc170190622"/>
      <w:bookmarkStart w:id="557" w:name="_Toc157933596"/>
      <w:r>
        <w:rPr>
          <w:rStyle w:val="CharSectno"/>
        </w:rPr>
        <w:t>82</w:t>
      </w:r>
      <w:r>
        <w:rPr>
          <w:snapToGrid w:val="0"/>
        </w:rPr>
        <w:t>.</w:t>
      </w:r>
      <w:r>
        <w:rPr>
          <w:snapToGrid w:val="0"/>
        </w:rPr>
        <w:tab/>
        <w:t>True consideration to be shown</w:t>
      </w:r>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A person who is a party to a transfer referred to in section 78, a dealing to which section 81 applies or a dealing referred to in section 81A(1) shall not lodge with the Minister — </w:t>
      </w:r>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81(4)(b),</w:t>
      </w:r>
    </w:p>
    <w:p>
      <w:pPr>
        <w:pStyle w:val="Subsection"/>
        <w:rPr>
          <w:snapToGrid w:val="0"/>
        </w:rPr>
      </w:pPr>
      <w:r>
        <w:rPr>
          <w:snapToGrid w:val="0"/>
        </w:rPr>
        <w:tab/>
      </w:r>
      <w:r>
        <w:rPr>
          <w:snapToGrid w:val="0"/>
        </w:rPr>
        <w:tab/>
        <w:t>that contains a statement relating to the consideration for the transfer or dealing, or to any other fact or circumstance affecting the amount of the fee payable in respect of the transfer or dealing under the Registration Fees Act, being a statement that is, to the knowledge of the person, false or misleading in a material particular.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a person is convicted of an offence against subsection (1), the Minister may make a fresh determination of the amount of the fee payable under the Registration Fees Act in respect of the memorandum relating to the transfer or dealing.</w:t>
      </w:r>
    </w:p>
    <w:p>
      <w:pPr>
        <w:pStyle w:val="Subsection"/>
        <w:rPr>
          <w:snapToGrid w:val="0"/>
        </w:rPr>
      </w:pPr>
      <w:r>
        <w:rPr>
          <w:snapToGrid w:val="0"/>
        </w:rPr>
        <w:tab/>
        <w:t>(3)</w:t>
      </w:r>
      <w:r>
        <w:rPr>
          <w:snapToGrid w:val="0"/>
        </w:rPr>
        <w:tab/>
        <w:t>Section 92 applies in relation to a determination under subsection (2) as it applies in relation to a determination under section 91.</w:t>
      </w:r>
    </w:p>
    <w:p>
      <w:pPr>
        <w:pStyle w:val="Footnotesection"/>
      </w:pPr>
      <w:r>
        <w:tab/>
        <w:t xml:space="preserve">[Section 82 amended by No. 12 of 1990 s.204.] </w:t>
      </w:r>
    </w:p>
    <w:p>
      <w:pPr>
        <w:pStyle w:val="Heading5"/>
        <w:rPr>
          <w:snapToGrid w:val="0"/>
        </w:rPr>
      </w:pPr>
      <w:bookmarkStart w:id="558" w:name="_Toc501861770"/>
      <w:bookmarkStart w:id="559" w:name="_Toc113772528"/>
      <w:bookmarkStart w:id="560" w:name="_Toc170190623"/>
      <w:bookmarkStart w:id="561" w:name="_Toc157933597"/>
      <w:r>
        <w:rPr>
          <w:rStyle w:val="CharSectno"/>
        </w:rPr>
        <w:t>83</w:t>
      </w:r>
      <w:r>
        <w:rPr>
          <w:snapToGrid w:val="0"/>
        </w:rPr>
        <w:t>.</w:t>
      </w:r>
      <w:r>
        <w:rPr>
          <w:snapToGrid w:val="0"/>
        </w:rPr>
        <w:tab/>
        <w:t>Minister not concerned with certain matters</w:t>
      </w:r>
      <w:bookmarkEnd w:id="558"/>
      <w:bookmarkEnd w:id="559"/>
      <w:bookmarkEnd w:id="560"/>
      <w:bookmarkEnd w:id="561"/>
      <w:r>
        <w:rPr>
          <w:snapToGrid w:val="0"/>
        </w:rPr>
        <w:t xml:space="preserve"> </w:t>
      </w:r>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 xml:space="preserve">[Section 83 amended by No. 12 of 1990 s.205.] </w:t>
      </w:r>
    </w:p>
    <w:p>
      <w:pPr>
        <w:pStyle w:val="Heading5"/>
        <w:rPr>
          <w:snapToGrid w:val="0"/>
        </w:rPr>
      </w:pPr>
      <w:bookmarkStart w:id="562" w:name="_Toc501861771"/>
      <w:bookmarkStart w:id="563" w:name="_Toc113772529"/>
      <w:bookmarkStart w:id="564" w:name="_Toc170190624"/>
      <w:bookmarkStart w:id="565" w:name="_Toc157933598"/>
      <w:r>
        <w:rPr>
          <w:rStyle w:val="CharSectno"/>
        </w:rPr>
        <w:t>84</w:t>
      </w:r>
      <w:r>
        <w:rPr>
          <w:snapToGrid w:val="0"/>
        </w:rPr>
        <w:t>.</w:t>
      </w:r>
      <w:r>
        <w:rPr>
          <w:snapToGrid w:val="0"/>
        </w:rPr>
        <w:tab/>
        <w:t>Power of Minister to require information as to proposed dealings</w:t>
      </w:r>
      <w:bookmarkEnd w:id="562"/>
      <w:bookmarkEnd w:id="563"/>
      <w:bookmarkEnd w:id="564"/>
      <w:bookmarkEnd w:id="565"/>
      <w:r>
        <w:rPr>
          <w:snapToGrid w:val="0"/>
        </w:rPr>
        <w:t xml:space="preserve"> </w:t>
      </w:r>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81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79(1) or (3) or 87A(2) to furnish to the Minister in writing such information concerning the matter to which the application relates as the Minister considers necessary or advisable.</w:t>
      </w:r>
    </w:p>
    <w:p>
      <w:pPr>
        <w:pStyle w:val="Subsection"/>
        <w:rPr>
          <w:snapToGrid w:val="0"/>
        </w:rPr>
      </w:pPr>
      <w:r>
        <w:rPr>
          <w:snapToGrid w:val="0"/>
        </w:rPr>
        <w:tab/>
        <w:t>(1c)</w:t>
      </w:r>
      <w:r>
        <w:rPr>
          <w:snapToGrid w:val="0"/>
        </w:rPr>
        <w:tab/>
        <w:t>A person shall not fail or refuse to comply with a requirement given to the person under subsection (1), (1a) or (lb).</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rPr>
          <w:snapToGrid w:val="0"/>
        </w:rPr>
      </w:pPr>
      <w:r>
        <w:rPr>
          <w:snapToGrid w:val="0"/>
        </w:rPr>
        <w:tab/>
        <w:t>Penalty: $5 000.</w:t>
      </w:r>
    </w:p>
    <w:p>
      <w:pPr>
        <w:pStyle w:val="Footnotesection"/>
      </w:pPr>
      <w:r>
        <w:tab/>
        <w:t xml:space="preserve">[Section 84 amended by No. 12 of 1990 s.206; No. 28 of 1994 s.103.] </w:t>
      </w:r>
    </w:p>
    <w:p>
      <w:pPr>
        <w:pStyle w:val="Heading5"/>
        <w:rPr>
          <w:snapToGrid w:val="0"/>
        </w:rPr>
      </w:pPr>
      <w:bookmarkStart w:id="566" w:name="_Toc501861772"/>
      <w:bookmarkStart w:id="567" w:name="_Toc113772530"/>
      <w:bookmarkStart w:id="568" w:name="_Toc170190625"/>
      <w:bookmarkStart w:id="569" w:name="_Toc157933599"/>
      <w:r>
        <w:rPr>
          <w:rStyle w:val="CharSectno"/>
        </w:rPr>
        <w:t>85</w:t>
      </w:r>
      <w:r>
        <w:rPr>
          <w:snapToGrid w:val="0"/>
        </w:rPr>
        <w:t>.</w:t>
      </w:r>
      <w:r>
        <w:rPr>
          <w:snapToGrid w:val="0"/>
        </w:rPr>
        <w:tab/>
        <w:t>Production and inspection of documents</w:t>
      </w:r>
      <w:bookmarkEnd w:id="566"/>
      <w:bookmarkEnd w:id="567"/>
      <w:bookmarkEnd w:id="568"/>
      <w:bookmarkEnd w:id="569"/>
      <w:r>
        <w:rPr>
          <w:snapToGrid w:val="0"/>
        </w:rPr>
        <w:t xml:space="preserve"> </w:t>
      </w:r>
    </w:p>
    <w:p>
      <w:pPr>
        <w:pStyle w:val="Subsection"/>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spacing w:before="120"/>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79(1) or (3) or 87A(2).</w:t>
      </w:r>
    </w:p>
    <w:p>
      <w:pPr>
        <w:pStyle w:val="Subsection"/>
        <w:spacing w:before="120"/>
        <w:rPr>
          <w:snapToGrid w:val="0"/>
        </w:rPr>
      </w:pPr>
      <w:r>
        <w:rPr>
          <w:snapToGrid w:val="0"/>
        </w:rPr>
        <w:tab/>
        <w:t>(2)</w:t>
      </w:r>
      <w:r>
        <w:rPr>
          <w:snapToGrid w:val="0"/>
        </w:rPr>
        <w:tab/>
        <w:t>A person shall not fail or refuse to comply with a requirement given to him under subsection (1) or (1a).</w:t>
      </w:r>
    </w:p>
    <w:p>
      <w:pPr>
        <w:pStyle w:val="Penstart"/>
        <w:rPr>
          <w:snapToGrid w:val="0"/>
        </w:rPr>
      </w:pPr>
      <w:r>
        <w:rPr>
          <w:snapToGrid w:val="0"/>
        </w:rPr>
        <w:tab/>
        <w:t>Penalty: $5 000.</w:t>
      </w:r>
    </w:p>
    <w:p>
      <w:pPr>
        <w:pStyle w:val="Footnotesection"/>
      </w:pPr>
      <w:r>
        <w:tab/>
        <w:t xml:space="preserve">[Section 85 amended by No. 12 of 1990 s.207.] </w:t>
      </w:r>
    </w:p>
    <w:p>
      <w:pPr>
        <w:pStyle w:val="Heading5"/>
        <w:rPr>
          <w:snapToGrid w:val="0"/>
        </w:rPr>
      </w:pPr>
      <w:bookmarkStart w:id="570" w:name="_Toc501861773"/>
      <w:bookmarkStart w:id="571" w:name="_Toc113772531"/>
      <w:bookmarkStart w:id="572" w:name="_Toc170190626"/>
      <w:bookmarkStart w:id="573" w:name="_Toc157933600"/>
      <w:r>
        <w:rPr>
          <w:rStyle w:val="CharSectno"/>
        </w:rPr>
        <w:t>86</w:t>
      </w:r>
      <w:r>
        <w:rPr>
          <w:snapToGrid w:val="0"/>
        </w:rPr>
        <w:t>.</w:t>
      </w:r>
      <w:r>
        <w:rPr>
          <w:snapToGrid w:val="0"/>
        </w:rPr>
        <w:tab/>
        <w:t>Inspection of register and documents</w:t>
      </w:r>
      <w:bookmarkEnd w:id="570"/>
      <w:bookmarkEnd w:id="571"/>
      <w:bookmarkEnd w:id="572"/>
      <w:bookmarkEnd w:id="573"/>
      <w:r>
        <w:rPr>
          <w:snapToGrid w:val="0"/>
        </w:rPr>
        <w:t xml:space="preserve"> </w:t>
      </w:r>
    </w:p>
    <w:p>
      <w:pPr>
        <w:pStyle w:val="Subsection"/>
        <w:spacing w:before="120"/>
        <w:rPr>
          <w:snapToGrid w:val="0"/>
        </w:rPr>
      </w:pPr>
      <w:r>
        <w:rPr>
          <w:snapToGrid w:val="0"/>
        </w:rPr>
        <w:tab/>
        <w:t>(1)</w:t>
      </w:r>
      <w:r>
        <w:rPr>
          <w:snapToGrid w:val="0"/>
        </w:rPr>
        <w:tab/>
        <w:t>The register and all instruments or copies of instruments subject to inspection under this Division shall at all convenient times be open for inspection by any person upon payment of the prescribed fee.</w:t>
      </w:r>
    </w:p>
    <w:p>
      <w:pPr>
        <w:pStyle w:val="Ednotesubsection"/>
      </w:pPr>
      <w:r>
        <w:tab/>
        <w:t>[(2)</w:t>
      </w:r>
      <w:r>
        <w:tab/>
        <w:t>repealed]</w:t>
      </w:r>
    </w:p>
    <w:p>
      <w:pPr>
        <w:pStyle w:val="Footnotesection"/>
      </w:pPr>
      <w:r>
        <w:tab/>
        <w:t xml:space="preserve">[Section 86 amended by No. 12 of 1990 s.208.] </w:t>
      </w:r>
    </w:p>
    <w:p>
      <w:pPr>
        <w:pStyle w:val="Heading5"/>
        <w:rPr>
          <w:snapToGrid w:val="0"/>
        </w:rPr>
      </w:pPr>
      <w:bookmarkStart w:id="574" w:name="_Toc501861774"/>
      <w:bookmarkStart w:id="575" w:name="_Toc113772532"/>
      <w:bookmarkStart w:id="576" w:name="_Toc170190627"/>
      <w:bookmarkStart w:id="577" w:name="_Toc157933601"/>
      <w:r>
        <w:rPr>
          <w:rStyle w:val="CharSectno"/>
        </w:rPr>
        <w:t>87</w:t>
      </w:r>
      <w:r>
        <w:rPr>
          <w:snapToGrid w:val="0"/>
        </w:rPr>
        <w:t>.</w:t>
      </w:r>
      <w:r>
        <w:rPr>
          <w:snapToGrid w:val="0"/>
        </w:rPr>
        <w:tab/>
        <w:t>Evidentiary provisions</w:t>
      </w:r>
      <w:bookmarkEnd w:id="574"/>
      <w:bookmarkEnd w:id="575"/>
      <w:bookmarkEnd w:id="576"/>
      <w:bookmarkEnd w:id="577"/>
      <w:r>
        <w:rPr>
          <w:snapToGrid w:val="0"/>
        </w:rPr>
        <w:t xml:space="preserve"> </w:t>
      </w:r>
    </w:p>
    <w:p>
      <w:pPr>
        <w:pStyle w:val="Subsection"/>
        <w:spacing w:before="120"/>
        <w:rPr>
          <w:snapToGrid w:val="0"/>
        </w:rPr>
      </w:pPr>
      <w:r>
        <w:rPr>
          <w:snapToGrid w:val="0"/>
        </w:rPr>
        <w:tab/>
        <w:t>(1)</w:t>
      </w:r>
      <w:r>
        <w:rPr>
          <w:snapToGrid w:val="0"/>
        </w:rPr>
        <w:tab/>
        <w:t>The register shall be received by all courts and tribunals as evidence of all matters required or authorized by this Division to be entered in the register.</w:t>
      </w:r>
    </w:p>
    <w:p>
      <w:pPr>
        <w:pStyle w:val="Subsection"/>
        <w:spacing w:before="120"/>
        <w:rPr>
          <w:snapToGrid w:val="0"/>
        </w:rPr>
      </w:pPr>
      <w:r>
        <w:rPr>
          <w:snapToGrid w:val="0"/>
        </w:rPr>
        <w:tab/>
        <w:t>(2)</w:t>
      </w:r>
      <w:r>
        <w:rPr>
          <w:snapToGrid w:val="0"/>
        </w:rPr>
        <w:tab/>
        <w:t>The Minister may, on payment of the prescribed fee,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spacing w:before="120"/>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 xml:space="preserve">[Section 87 amended by No. 12 of 1990 s.209; No. 55 of 2004 s. 912.] </w:t>
      </w:r>
    </w:p>
    <w:p>
      <w:pPr>
        <w:pStyle w:val="Heading5"/>
        <w:rPr>
          <w:snapToGrid w:val="0"/>
        </w:rPr>
      </w:pPr>
      <w:bookmarkStart w:id="578" w:name="_Toc501861775"/>
      <w:bookmarkStart w:id="579" w:name="_Toc113772533"/>
      <w:bookmarkStart w:id="580" w:name="_Toc170190628"/>
      <w:bookmarkStart w:id="581" w:name="_Toc157933602"/>
      <w:r>
        <w:rPr>
          <w:rStyle w:val="CharSectno"/>
        </w:rPr>
        <w:t>87A</w:t>
      </w:r>
      <w:r>
        <w:rPr>
          <w:snapToGrid w:val="0"/>
        </w:rPr>
        <w:t>.</w:t>
      </w:r>
      <w:r>
        <w:rPr>
          <w:snapToGrid w:val="0"/>
        </w:rPr>
        <w:tab/>
        <w:t>Minister may make corrections to register</w:t>
      </w:r>
      <w:bookmarkEnd w:id="578"/>
      <w:bookmarkEnd w:id="579"/>
      <w:bookmarkEnd w:id="580"/>
      <w:bookmarkEnd w:id="581"/>
      <w:r>
        <w:rPr>
          <w:snapToGrid w:val="0"/>
        </w:rPr>
        <w:t xml:space="preserve"> </w:t>
      </w:r>
    </w:p>
    <w:p>
      <w:pPr>
        <w:pStyle w:val="Subsection"/>
        <w:spacing w:before="120"/>
        <w:rPr>
          <w:snapToGrid w:val="0"/>
        </w:rPr>
      </w:pPr>
      <w:r>
        <w:rPr>
          <w:snapToGrid w:val="0"/>
        </w:rPr>
        <w:tab/>
        <w:t>(1)</w:t>
      </w:r>
      <w:r>
        <w:rPr>
          <w:snapToGrid w:val="0"/>
        </w:rPr>
        <w:tab/>
        <w:t>The Minister may alter the register for the purposes of correcting a clerical error or an obvious defect in the register.</w:t>
      </w:r>
    </w:p>
    <w:p>
      <w:pPr>
        <w:pStyle w:val="Subsection"/>
        <w:spacing w:before="120"/>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spacing w:before="120"/>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 </w:t>
      </w:r>
    </w:p>
    <w:p>
      <w:pPr>
        <w:pStyle w:val="Indenta"/>
        <w:spacing w:before="60"/>
        <w:rPr>
          <w:snapToGrid w:val="0"/>
        </w:rPr>
      </w:pPr>
      <w:r>
        <w:rPr>
          <w:snapToGrid w:val="0"/>
        </w:rPr>
        <w:tab/>
        <w:t>(a)</w:t>
      </w:r>
      <w:r>
        <w:rPr>
          <w:snapToGrid w:val="0"/>
        </w:rPr>
        <w:tab/>
        <w:t>setting out the terms of the entry that the Minister proposes to make in the register; and</w:t>
      </w:r>
    </w:p>
    <w:p>
      <w:pPr>
        <w:pStyle w:val="Indenta"/>
        <w:spacing w:before="60"/>
        <w:rPr>
          <w:snapToGrid w:val="0"/>
          <w:spacing w:val="-2"/>
        </w:rPr>
      </w:pPr>
      <w:r>
        <w:rPr>
          <w:snapToGrid w:val="0"/>
          <w:spacing w:val="-2"/>
        </w:rPr>
        <w:tab/>
        <w:t>(b)</w:t>
      </w:r>
      <w:r>
        <w:rPr>
          <w:snapToGrid w:val="0"/>
          <w:spacing w:val="-2"/>
        </w:rPr>
        <w:tab/>
      </w:r>
      <w:r>
        <w:rPr>
          <w:snapToGrid w:val="0"/>
        </w:rPr>
        <w:t>inviting</w:t>
      </w:r>
      <w:r>
        <w:rPr>
          <w:snapToGrid w:val="0"/>
          <w:spacing w:val="-2"/>
        </w:rPr>
        <w:t xml:space="preserve"> interested persons to give to the Minister, by such day as is specified in the notice, being a day not earlier than 45 days after the publication of the notice, submissions in writing relating to the making of the entry.</w:t>
      </w:r>
    </w:p>
    <w:p>
      <w:pPr>
        <w:pStyle w:val="Subsection"/>
        <w:spacing w:before="120"/>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 </w:t>
      </w:r>
    </w:p>
    <w:p>
      <w:pPr>
        <w:pStyle w:val="Indenta"/>
        <w:spacing w:before="60"/>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 xml:space="preserve">[Section 87A inserted by No. 12 of 1990 s.210.] </w:t>
      </w:r>
    </w:p>
    <w:p>
      <w:pPr>
        <w:pStyle w:val="Heading5"/>
        <w:rPr>
          <w:snapToGrid w:val="0"/>
        </w:rPr>
      </w:pPr>
      <w:bookmarkStart w:id="582" w:name="_Toc501861776"/>
      <w:bookmarkStart w:id="583" w:name="_Toc113772534"/>
      <w:bookmarkStart w:id="584" w:name="_Toc170190629"/>
      <w:bookmarkStart w:id="585" w:name="_Toc157933603"/>
      <w:r>
        <w:rPr>
          <w:rStyle w:val="CharSectno"/>
        </w:rPr>
        <w:t>88</w:t>
      </w:r>
      <w:r>
        <w:rPr>
          <w:snapToGrid w:val="0"/>
        </w:rPr>
        <w:t>.</w:t>
      </w:r>
      <w:r>
        <w:rPr>
          <w:snapToGrid w:val="0"/>
        </w:rPr>
        <w:tab/>
        <w:t>Appeals</w:t>
      </w:r>
      <w:bookmarkEnd w:id="582"/>
      <w:bookmarkEnd w:id="583"/>
      <w:bookmarkEnd w:id="584"/>
      <w:bookmarkEnd w:id="585"/>
      <w:r>
        <w:rPr>
          <w:snapToGrid w:val="0"/>
        </w:rPr>
        <w:t xml:space="preserve"> </w:t>
      </w:r>
    </w:p>
    <w:p>
      <w:pPr>
        <w:pStyle w:val="Subsection"/>
        <w:rPr>
          <w:snapToGrid w:val="0"/>
        </w:rPr>
      </w:pPr>
      <w:r>
        <w:rPr>
          <w:snapToGrid w:val="0"/>
        </w:rPr>
        <w:tab/>
        <w:t>(1)</w:t>
      </w:r>
      <w:r>
        <w:rPr>
          <w:snapToGrid w:val="0"/>
        </w:rPr>
        <w:tab/>
        <w:t>A person aggrieved by — </w:t>
      </w:r>
    </w:p>
    <w:p>
      <w:pPr>
        <w:pStyle w:val="Indenta"/>
        <w:rPr>
          <w:snapToGrid w:val="0"/>
        </w:rPr>
      </w:pPr>
      <w:r>
        <w:rPr>
          <w:snapToGrid w:val="0"/>
        </w:rPr>
        <w:tab/>
        <w:t>(a)</w:t>
      </w:r>
      <w:r>
        <w:rPr>
          <w:snapToGrid w:val="0"/>
        </w:rPr>
        <w:tab/>
        <w:t>the omission of an entry from the register;</w:t>
      </w:r>
    </w:p>
    <w:p>
      <w:pPr>
        <w:pStyle w:val="Indenta"/>
        <w:rPr>
          <w:snapToGrid w:val="0"/>
        </w:rPr>
      </w:pPr>
      <w:r>
        <w:rPr>
          <w:snapToGrid w:val="0"/>
        </w:rPr>
        <w:tab/>
        <w:t>(b)</w:t>
      </w:r>
      <w:r>
        <w:rPr>
          <w:snapToGrid w:val="0"/>
        </w:rPr>
        <w:tab/>
        <w:t>an entry made in the register without sufficient cause;</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rPr>
          <w:snapToGrid w:val="0"/>
        </w:rPr>
      </w:pPr>
      <w:r>
        <w:rPr>
          <w:snapToGrid w:val="0"/>
        </w:rPr>
        <w:tab/>
      </w:r>
      <w:r>
        <w:rPr>
          <w:snapToGrid w:val="0"/>
        </w:rPr>
        <w:tab/>
      </w:r>
      <w:r>
        <w:t>may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pPr>
      <w:r>
        <w:tab/>
        <w:t>[Section 88 amended by No. 55 of 2004 s. 913.]</w:t>
      </w:r>
    </w:p>
    <w:p>
      <w:pPr>
        <w:pStyle w:val="Heading5"/>
        <w:rPr>
          <w:del w:id="586" w:author="svcMRProcess" w:date="2020-02-19T21:14:00Z"/>
          <w:snapToGrid w:val="0"/>
        </w:rPr>
      </w:pPr>
      <w:ins w:id="587" w:author="svcMRProcess" w:date="2020-02-19T21:14:00Z">
        <w:r>
          <w:t>[</w:t>
        </w:r>
      </w:ins>
      <w:bookmarkStart w:id="588" w:name="_Toc501861777"/>
      <w:bookmarkStart w:id="589" w:name="_Toc113772535"/>
      <w:bookmarkStart w:id="590" w:name="_Toc157933604"/>
      <w:r>
        <w:rPr>
          <w:bCs/>
        </w:rPr>
        <w:t>89.</w:t>
      </w:r>
      <w:r>
        <w:tab/>
      </w:r>
      <w:del w:id="591" w:author="svcMRProcess" w:date="2020-02-19T21:14:00Z">
        <w:r>
          <w:rPr>
            <w:snapToGrid w:val="0"/>
          </w:rPr>
          <w:delText>Minister not liable to certain actions</w:delText>
        </w:r>
        <w:bookmarkEnd w:id="588"/>
        <w:bookmarkEnd w:id="589"/>
        <w:bookmarkEnd w:id="590"/>
        <w:r>
          <w:rPr>
            <w:snapToGrid w:val="0"/>
          </w:rPr>
          <w:delText xml:space="preserve"> </w:delText>
        </w:r>
      </w:del>
    </w:p>
    <w:p>
      <w:pPr>
        <w:pStyle w:val="Ednotesection"/>
      </w:pPr>
      <w:del w:id="592" w:author="svcMRProcess" w:date="2020-02-19T21:14:00Z">
        <w:r>
          <w:tab/>
        </w:r>
        <w:r>
          <w:tab/>
          <w:delText>Subject to section 88, the Minister, his delegate, or a person acting under the direction or authority</w:delText>
        </w:r>
      </w:del>
      <w:ins w:id="593" w:author="svcMRProcess" w:date="2020-02-19T21:14:00Z">
        <w:r>
          <w:t>Repealed by No. 13</w:t>
        </w:r>
      </w:ins>
      <w:r>
        <w:t xml:space="preserve"> of </w:t>
      </w:r>
      <w:del w:id="594" w:author="svcMRProcess" w:date="2020-02-19T21:14:00Z">
        <w:r>
          <w:delText>the Minister or his delegate is not liable to an action suit or proceeding for or in respect of an act or matter in good faith done or omitted to be done in exercise or purported exercise of any power or authority conferred by this Division.</w:delText>
        </w:r>
      </w:del>
      <w:ins w:id="595" w:author="svcMRProcess" w:date="2020-02-19T21:14:00Z">
        <w:r>
          <w:t>2005 s. 37</w:t>
        </w:r>
      </w:ins>
    </w:p>
    <w:p>
      <w:pPr>
        <w:pStyle w:val="Heading5"/>
        <w:rPr>
          <w:snapToGrid w:val="0"/>
        </w:rPr>
      </w:pPr>
      <w:bookmarkStart w:id="596" w:name="_Toc501861778"/>
      <w:bookmarkStart w:id="597" w:name="_Toc113772536"/>
      <w:bookmarkStart w:id="598" w:name="_Toc170190630"/>
      <w:bookmarkStart w:id="599" w:name="_Toc157933605"/>
      <w:r>
        <w:rPr>
          <w:rStyle w:val="CharSectno"/>
        </w:rPr>
        <w:t>90</w:t>
      </w:r>
      <w:r>
        <w:rPr>
          <w:snapToGrid w:val="0"/>
        </w:rPr>
        <w:t>.</w:t>
      </w:r>
      <w:r>
        <w:rPr>
          <w:snapToGrid w:val="0"/>
        </w:rPr>
        <w:tab/>
        <w:t>Offences</w:t>
      </w:r>
      <w:bookmarkEnd w:id="596"/>
      <w:bookmarkEnd w:id="597"/>
      <w:bookmarkEnd w:id="598"/>
      <w:bookmarkEnd w:id="599"/>
      <w:r>
        <w:rPr>
          <w:snapToGrid w:val="0"/>
        </w:rPr>
        <w:t xml:space="preserve"> </w:t>
      </w:r>
    </w:p>
    <w:p>
      <w:pPr>
        <w:pStyle w:val="Subsection"/>
        <w:rPr>
          <w:snapToGrid w:val="0"/>
        </w:rPr>
      </w:pPr>
      <w:r>
        <w:rPr>
          <w:snapToGrid w:val="0"/>
        </w:rPr>
        <w:tab/>
      </w:r>
      <w:r>
        <w:rPr>
          <w:snapToGrid w:val="0"/>
        </w:rPr>
        <w:tab/>
        <w:t>A person who wilfully —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spacing w:before="180"/>
        <w:rPr>
          <w:snapToGrid w:val="0"/>
        </w:rPr>
      </w:pPr>
      <w:r>
        <w:rPr>
          <w:snapToGrid w:val="0"/>
        </w:rPr>
        <w:tab/>
      </w:r>
      <w:r>
        <w:rPr>
          <w:snapToGrid w:val="0"/>
        </w:rPr>
        <w:tab/>
        <w:t>is guilty of an offence.</w:t>
      </w:r>
    </w:p>
    <w:p>
      <w:pPr>
        <w:pStyle w:val="Penstart"/>
        <w:spacing w:before="120"/>
        <w:rPr>
          <w:snapToGrid w:val="0"/>
        </w:rPr>
      </w:pPr>
      <w:r>
        <w:rPr>
          <w:snapToGrid w:val="0"/>
        </w:rPr>
        <w:tab/>
        <w:t>Penalty: $5 000.</w:t>
      </w:r>
    </w:p>
    <w:p>
      <w:pPr>
        <w:pStyle w:val="Heading5"/>
        <w:spacing w:before="240"/>
        <w:rPr>
          <w:snapToGrid w:val="0"/>
        </w:rPr>
      </w:pPr>
      <w:bookmarkStart w:id="600" w:name="_Toc501861779"/>
      <w:bookmarkStart w:id="601" w:name="_Toc113772537"/>
      <w:bookmarkStart w:id="602" w:name="_Toc170190631"/>
      <w:bookmarkStart w:id="603" w:name="_Toc157933606"/>
      <w:r>
        <w:rPr>
          <w:rStyle w:val="CharSectno"/>
        </w:rPr>
        <w:t>91</w:t>
      </w:r>
      <w:r>
        <w:rPr>
          <w:snapToGrid w:val="0"/>
        </w:rPr>
        <w:t>.</w:t>
      </w:r>
      <w:r>
        <w:rPr>
          <w:snapToGrid w:val="0"/>
        </w:rPr>
        <w:tab/>
        <w:t>Assessment of registration fee</w:t>
      </w:r>
      <w:bookmarkEnd w:id="600"/>
      <w:bookmarkEnd w:id="601"/>
      <w:bookmarkEnd w:id="602"/>
      <w:bookmarkEnd w:id="603"/>
      <w:r>
        <w:rPr>
          <w:snapToGrid w:val="0"/>
        </w:rPr>
        <w:t xml:space="preserve"> </w:t>
      </w:r>
    </w:p>
    <w:p>
      <w:pPr>
        <w:pStyle w:val="Subsection"/>
        <w:spacing w:before="180"/>
        <w:rPr>
          <w:snapToGrid w:val="0"/>
          <w:spacing w:val="2"/>
        </w:rPr>
      </w:pPr>
      <w:r>
        <w:rPr>
          <w:snapToGrid w:val="0"/>
          <w:spacing w:val="2"/>
        </w:rPr>
        <w:tab/>
      </w:r>
      <w:r>
        <w:rPr>
          <w:snapToGrid w:val="0"/>
          <w:spacing w:val="2"/>
        </w:rPr>
        <w:tab/>
        <w:t>The Minister may determine the amount of the fee payable under the Registration Fees Act in respect of any memorandum.</w:t>
      </w:r>
    </w:p>
    <w:p>
      <w:pPr>
        <w:pStyle w:val="Heading5"/>
        <w:spacing w:before="240"/>
        <w:rPr>
          <w:snapToGrid w:val="0"/>
        </w:rPr>
      </w:pPr>
      <w:bookmarkStart w:id="604" w:name="_Toc501861780"/>
      <w:bookmarkStart w:id="605" w:name="_Toc113772538"/>
      <w:bookmarkStart w:id="606" w:name="_Toc170190632"/>
      <w:bookmarkStart w:id="607" w:name="_Toc157933607"/>
      <w:r>
        <w:rPr>
          <w:rStyle w:val="CharSectno"/>
        </w:rPr>
        <w:t>92</w:t>
      </w:r>
      <w:r>
        <w:rPr>
          <w:snapToGrid w:val="0"/>
        </w:rPr>
        <w:t>.</w:t>
      </w:r>
      <w:r>
        <w:rPr>
          <w:snapToGrid w:val="0"/>
        </w:rPr>
        <w:tab/>
        <w:t>Appeal against Minister’s determination of fee</w:t>
      </w:r>
      <w:bookmarkEnd w:id="604"/>
      <w:bookmarkEnd w:id="605"/>
      <w:bookmarkEnd w:id="606"/>
      <w:bookmarkEnd w:id="607"/>
      <w:r>
        <w:rPr>
          <w:snapToGrid w:val="0"/>
        </w:rPr>
        <w:t xml:space="preserve"> </w:t>
      </w:r>
    </w:p>
    <w:p>
      <w:pPr>
        <w:pStyle w:val="Subsection"/>
        <w:spacing w:before="180"/>
        <w:rPr>
          <w:snapToGrid w:val="0"/>
        </w:rPr>
      </w:pPr>
      <w:r>
        <w:rPr>
          <w:snapToGrid w:val="0"/>
        </w:rPr>
        <w:tab/>
        <w:t>(1)</w:t>
      </w:r>
      <w:r>
        <w:rPr>
          <w:snapToGrid w:val="0"/>
        </w:rPr>
        <w:tab/>
        <w:t xml:space="preserve">A person dissatisfied with a determination of the Minister under section 91 may </w:t>
      </w:r>
      <w:r>
        <w:t>apply to the State Administrative Tribunal for a review of</w:t>
      </w:r>
      <w:r>
        <w:rPr>
          <w:snapToGrid w:val="0"/>
        </w:rPr>
        <w:t xml:space="preserve"> the determination.</w:t>
      </w:r>
    </w:p>
    <w:p>
      <w:pPr>
        <w:pStyle w:val="Ednotesubsection"/>
      </w:pPr>
      <w:r>
        <w:tab/>
        <w:t>[(2)</w:t>
      </w:r>
      <w:r>
        <w:tab/>
        <w:t>repealed]</w:t>
      </w:r>
    </w:p>
    <w:p>
      <w:pPr>
        <w:pStyle w:val="Footnotesection"/>
      </w:pPr>
      <w:r>
        <w:tab/>
      </w:r>
      <w:r>
        <w:tab/>
        <w:t>[Section 92 amended by No. 55 of 2004 s. 914.]</w:t>
      </w:r>
    </w:p>
    <w:p>
      <w:pPr>
        <w:pStyle w:val="Heading5"/>
        <w:spacing w:before="240"/>
        <w:rPr>
          <w:snapToGrid w:val="0"/>
        </w:rPr>
      </w:pPr>
      <w:bookmarkStart w:id="608" w:name="_Toc501861781"/>
      <w:bookmarkStart w:id="609" w:name="_Toc113772539"/>
      <w:bookmarkStart w:id="610" w:name="_Toc170190633"/>
      <w:bookmarkStart w:id="611" w:name="_Toc157933608"/>
      <w:r>
        <w:rPr>
          <w:rStyle w:val="CharSectno"/>
        </w:rPr>
        <w:t>93</w:t>
      </w:r>
      <w:r>
        <w:rPr>
          <w:snapToGrid w:val="0"/>
        </w:rPr>
        <w:t>.</w:t>
      </w:r>
      <w:r>
        <w:rPr>
          <w:snapToGrid w:val="0"/>
        </w:rPr>
        <w:tab/>
        <w:t>Exemption from stamp duty</w:t>
      </w:r>
      <w:bookmarkEnd w:id="608"/>
      <w:bookmarkEnd w:id="609"/>
      <w:bookmarkEnd w:id="610"/>
      <w:bookmarkEnd w:id="611"/>
      <w:r>
        <w:rPr>
          <w:snapToGrid w:val="0"/>
        </w:rPr>
        <w:t xml:space="preserve"> </w:t>
      </w:r>
    </w:p>
    <w:p>
      <w:pPr>
        <w:pStyle w:val="Subsection"/>
        <w:spacing w:before="180"/>
        <w:rPr>
          <w:snapToGrid w:val="0"/>
        </w:rPr>
      </w:pPr>
      <w:r>
        <w:rPr>
          <w:snapToGrid w:val="0"/>
        </w:rPr>
        <w:tab/>
      </w:r>
      <w:r>
        <w:rPr>
          <w:snapToGrid w:val="0"/>
        </w:rPr>
        <w:tab/>
        <w:t xml:space="preserve">Duty under the </w:t>
      </w:r>
      <w:r>
        <w:rPr>
          <w:i/>
          <w:snapToGrid w:val="0"/>
        </w:rPr>
        <w:t>Stamp Act 1921</w:t>
      </w:r>
      <w:r>
        <w:rPr>
          <w:snapToGrid w:val="0"/>
        </w:rPr>
        <w:t xml:space="preserve"> shall not be chargeable — </w:t>
      </w:r>
    </w:p>
    <w:p>
      <w:pPr>
        <w:pStyle w:val="Indenta"/>
        <w:spacing w:before="100"/>
        <w:rPr>
          <w:snapToGrid w:val="0"/>
        </w:rPr>
      </w:pPr>
      <w:r>
        <w:rPr>
          <w:snapToGrid w:val="0"/>
        </w:rPr>
        <w:tab/>
        <w:t>(a)</w:t>
      </w:r>
      <w:r>
        <w:rPr>
          <w:snapToGrid w:val="0"/>
        </w:rPr>
        <w:tab/>
        <w:t>on a permit, lease, licence, pipeline licence or access authority;</w:t>
      </w:r>
    </w:p>
    <w:p>
      <w:pPr>
        <w:pStyle w:val="Indenta"/>
        <w:spacing w:before="100"/>
        <w:rPr>
          <w:snapToGrid w:val="0"/>
        </w:rPr>
      </w:pPr>
      <w:r>
        <w:rPr>
          <w:snapToGrid w:val="0"/>
        </w:rPr>
        <w:tab/>
        <w:t>(b)</w:t>
      </w:r>
      <w:r>
        <w:rPr>
          <w:snapToGrid w:val="0"/>
        </w:rPr>
        <w:tab/>
        <w:t>on a transfer of a permit, lease, licence, pipeline licence or access authority to which section 78 applies; or</w:t>
      </w:r>
    </w:p>
    <w:p>
      <w:pPr>
        <w:pStyle w:val="Indenta"/>
        <w:spacing w:before="100"/>
        <w:rPr>
          <w:snapToGrid w:val="0"/>
        </w:rPr>
      </w:pPr>
      <w:r>
        <w:rPr>
          <w:snapToGrid w:val="0"/>
        </w:rPr>
        <w:tab/>
        <w:t>(c)</w:t>
      </w:r>
      <w:r>
        <w:rPr>
          <w:snapToGrid w:val="0"/>
        </w:rPr>
        <w:tab/>
        <w:t>on any other instrument in so far as it relates to a legal or equitable interest in or affecting a permit, lease, licence, pipeline licence or access authority.</w:t>
      </w:r>
    </w:p>
    <w:p>
      <w:pPr>
        <w:pStyle w:val="Footnotesection"/>
        <w:spacing w:before="160"/>
        <w:ind w:left="890" w:hanging="890"/>
      </w:pPr>
      <w:r>
        <w:tab/>
        <w:t xml:space="preserve">[Section 93 amended by No.12 of 1990 s.211.] </w:t>
      </w:r>
    </w:p>
    <w:p>
      <w:pPr>
        <w:pStyle w:val="Heading3"/>
        <w:rPr>
          <w:snapToGrid w:val="0"/>
        </w:rPr>
      </w:pPr>
      <w:bookmarkStart w:id="612" w:name="_Toc72913820"/>
      <w:bookmarkStart w:id="613" w:name="_Toc91304300"/>
      <w:bookmarkStart w:id="614" w:name="_Toc92688543"/>
      <w:bookmarkStart w:id="615" w:name="_Toc113772540"/>
      <w:bookmarkStart w:id="616" w:name="_Toc156977025"/>
      <w:bookmarkStart w:id="617" w:name="_Toc157933609"/>
      <w:bookmarkStart w:id="618" w:name="_Toc162761243"/>
      <w:bookmarkStart w:id="619" w:name="_Toc170190634"/>
      <w:r>
        <w:rPr>
          <w:rStyle w:val="CharDivNo"/>
        </w:rPr>
        <w:t>Division 6</w:t>
      </w:r>
      <w:r>
        <w:rPr>
          <w:snapToGrid w:val="0"/>
        </w:rPr>
        <w:t> — </w:t>
      </w:r>
      <w:r>
        <w:rPr>
          <w:rStyle w:val="CharDivText"/>
        </w:rPr>
        <w:t>General</w:t>
      </w:r>
      <w:bookmarkEnd w:id="612"/>
      <w:bookmarkEnd w:id="613"/>
      <w:bookmarkEnd w:id="614"/>
      <w:bookmarkEnd w:id="615"/>
      <w:bookmarkEnd w:id="616"/>
      <w:bookmarkEnd w:id="617"/>
      <w:bookmarkEnd w:id="618"/>
      <w:bookmarkEnd w:id="619"/>
      <w:r>
        <w:rPr>
          <w:rStyle w:val="CharDivText"/>
        </w:rPr>
        <w:t xml:space="preserve"> </w:t>
      </w:r>
    </w:p>
    <w:p>
      <w:pPr>
        <w:pStyle w:val="Heading5"/>
        <w:rPr>
          <w:snapToGrid w:val="0"/>
        </w:rPr>
      </w:pPr>
      <w:bookmarkStart w:id="620" w:name="_Toc501861782"/>
      <w:bookmarkStart w:id="621" w:name="_Toc113772541"/>
      <w:bookmarkStart w:id="622" w:name="_Toc170190635"/>
      <w:bookmarkStart w:id="623" w:name="_Toc157933610"/>
      <w:r>
        <w:rPr>
          <w:rStyle w:val="CharSectno"/>
        </w:rPr>
        <w:t>94</w:t>
      </w:r>
      <w:r>
        <w:rPr>
          <w:snapToGrid w:val="0"/>
        </w:rPr>
        <w:t>.</w:t>
      </w:r>
      <w:r>
        <w:rPr>
          <w:snapToGrid w:val="0"/>
        </w:rPr>
        <w:tab/>
        <w:t>Notice of grants of permits, etc., to be published</w:t>
      </w:r>
      <w:bookmarkEnd w:id="620"/>
      <w:bookmarkEnd w:id="621"/>
      <w:bookmarkEnd w:id="622"/>
      <w:bookmarkEnd w:id="623"/>
      <w:r>
        <w:rPr>
          <w:snapToGrid w:val="0"/>
        </w:rPr>
        <w:t xml:space="preserve"> </w:t>
      </w:r>
    </w:p>
    <w:p>
      <w:pPr>
        <w:pStyle w:val="Subsection"/>
        <w:rPr>
          <w:snapToGrid w:val="0"/>
        </w:rPr>
      </w:pPr>
      <w:r>
        <w:rPr>
          <w:snapToGrid w:val="0"/>
        </w:rPr>
        <w:tab/>
      </w:r>
      <w:r>
        <w:rPr>
          <w:snapToGrid w:val="0"/>
        </w:rPr>
        <w:tab/>
        <w:t>The Minister shall cause notice of, and such particulars as he thinks fit of — </w:t>
      </w:r>
    </w:p>
    <w:p>
      <w:pPr>
        <w:pStyle w:val="Indenta"/>
        <w:rPr>
          <w:snapToGrid w:val="0"/>
        </w:rPr>
      </w:pPr>
      <w:r>
        <w:rPr>
          <w:snapToGrid w:val="0"/>
        </w:rPr>
        <w:tab/>
        <w:t>(a)</w:t>
      </w:r>
      <w:r>
        <w:rPr>
          <w:snapToGrid w:val="0"/>
        </w:rPr>
        <w:tab/>
        <w:t>the grant, and the grant of the renewal, of a permit, lease, licence or pipeline licence;</w:t>
      </w:r>
    </w:p>
    <w:p>
      <w:pPr>
        <w:pStyle w:val="Indenta"/>
        <w:rPr>
          <w:snapToGrid w:val="0"/>
        </w:rPr>
      </w:pPr>
      <w:r>
        <w:rPr>
          <w:snapToGrid w:val="0"/>
        </w:rPr>
        <w:tab/>
        <w:t>(b)</w:t>
      </w:r>
      <w:r>
        <w:rPr>
          <w:snapToGrid w:val="0"/>
        </w:rPr>
        <w:tab/>
        <w:t>the variation of a licence or pipeline licence;</w:t>
      </w:r>
    </w:p>
    <w:p>
      <w:pPr>
        <w:pStyle w:val="Indenta"/>
        <w:rPr>
          <w:snapToGrid w:val="0"/>
        </w:rPr>
      </w:pPr>
      <w:r>
        <w:rPr>
          <w:snapToGrid w:val="0"/>
        </w:rPr>
        <w:tab/>
        <w:t>(c)</w:t>
      </w:r>
      <w:r>
        <w:rPr>
          <w:snapToGrid w:val="0"/>
        </w:rPr>
        <w:tab/>
        <w:t>the surrender or cancellation of a permit, lease or licence as to all or some of the blocks in the permit area, lease area or licence area;</w:t>
      </w:r>
    </w:p>
    <w:p>
      <w:pPr>
        <w:pStyle w:val="Indenta"/>
        <w:rPr>
          <w:snapToGrid w:val="0"/>
        </w:rPr>
      </w:pPr>
      <w:r>
        <w:rPr>
          <w:snapToGrid w:val="0"/>
        </w:rPr>
        <w:tab/>
        <w:t>(d)</w:t>
      </w:r>
      <w:r>
        <w:rPr>
          <w:snapToGrid w:val="0"/>
        </w:rPr>
        <w:tab/>
        <w:t>the determination of a permit or lease as to a block or blocks;</w:t>
      </w:r>
    </w:p>
    <w:p>
      <w:pPr>
        <w:pStyle w:val="Indenta"/>
        <w:rPr>
          <w:snapToGrid w:val="0"/>
        </w:rPr>
      </w:pPr>
      <w:r>
        <w:rPr>
          <w:snapToGrid w:val="0"/>
        </w:rPr>
        <w:tab/>
        <w:t>(e)</w:t>
      </w:r>
      <w:r>
        <w:rPr>
          <w:snapToGrid w:val="0"/>
        </w:rPr>
        <w:tab/>
        <w:t>an application for a pipeline licence or for the renewal or variation of a pipeline licence;</w:t>
      </w:r>
    </w:p>
    <w:p>
      <w:pPr>
        <w:pStyle w:val="Indenta"/>
        <w:rPr>
          <w:snapToGrid w:val="0"/>
        </w:rPr>
      </w:pPr>
      <w:r>
        <w:rPr>
          <w:snapToGrid w:val="0"/>
        </w:rPr>
        <w:tab/>
        <w:t>(f)</w:t>
      </w:r>
      <w:r>
        <w:rPr>
          <w:snapToGrid w:val="0"/>
        </w:rPr>
        <w:tab/>
        <w:t>the surrender or cancellation of a pipeline licence as to the whole or a part of the pipeline; and</w:t>
      </w:r>
    </w:p>
    <w:p>
      <w:pPr>
        <w:pStyle w:val="Indenta"/>
        <w:rPr>
          <w:snapToGrid w:val="0"/>
        </w:rPr>
      </w:pPr>
      <w:r>
        <w:rPr>
          <w:snapToGrid w:val="0"/>
        </w:rPr>
        <w:tab/>
        <w:t>(g)</w:t>
      </w:r>
      <w:r>
        <w:rPr>
          <w:snapToGrid w:val="0"/>
        </w:rPr>
        <w:tab/>
        <w:t>the expiry of a permit, lease, licence or pipeline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 xml:space="preserve">[Section 94 amended by No. 12 of 1990 s.212.] </w:t>
      </w:r>
    </w:p>
    <w:p>
      <w:pPr>
        <w:pStyle w:val="Heading5"/>
        <w:rPr>
          <w:snapToGrid w:val="0"/>
        </w:rPr>
      </w:pPr>
      <w:bookmarkStart w:id="624" w:name="_Toc501861783"/>
      <w:bookmarkStart w:id="625" w:name="_Toc113772542"/>
      <w:bookmarkStart w:id="626" w:name="_Toc170190636"/>
      <w:bookmarkStart w:id="627" w:name="_Toc157933611"/>
      <w:r>
        <w:rPr>
          <w:rStyle w:val="CharSectno"/>
        </w:rPr>
        <w:t>95</w:t>
      </w:r>
      <w:r>
        <w:rPr>
          <w:snapToGrid w:val="0"/>
        </w:rPr>
        <w:t>.</w:t>
      </w:r>
      <w:r>
        <w:rPr>
          <w:snapToGrid w:val="0"/>
        </w:rPr>
        <w:tab/>
        <w:t>Date of effect of permits, etc.</w:t>
      </w:r>
      <w:bookmarkEnd w:id="624"/>
      <w:bookmarkEnd w:id="625"/>
      <w:bookmarkEnd w:id="626"/>
      <w:bookmarkEnd w:id="627"/>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 xml:space="preserve">The surrender or cancellation of a permit, lease or licence as to all or some of the blocks in the permit area, lease area or licence area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(3)</w:t>
      </w:r>
      <w:r>
        <w:rPr>
          <w:snapToGrid w:val="0"/>
        </w:rPr>
        <w:tab/>
        <w:t xml:space="preserve">The surrender or cancellation of a pipeline licence as to the whole or a part of the pipeline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(4)</w:t>
      </w:r>
      <w:r>
        <w:rPr>
          <w:snapToGrid w:val="0"/>
        </w:rPr>
        <w:tab/>
        <w:t xml:space="preserve">A variation of a licence or pipeline licence has effect on and from the day on which notice of the variation is published in the </w:t>
      </w:r>
      <w:r>
        <w:rPr>
          <w:i/>
          <w:snapToGrid w:val="0"/>
        </w:rPr>
        <w:t>Gazette</w:t>
      </w:r>
      <w:r>
        <w:rPr>
          <w:snapToGrid w:val="0"/>
        </w:rPr>
        <w:t>.</w:t>
      </w:r>
    </w:p>
    <w:p>
      <w:pPr>
        <w:pStyle w:val="Footnotesection"/>
      </w:pPr>
      <w:r>
        <w:tab/>
        <w:t xml:space="preserve">[Section 95 amended by No. 12 of 1990 s.213.] </w:t>
      </w:r>
    </w:p>
    <w:p>
      <w:pPr>
        <w:pStyle w:val="Heading5"/>
        <w:rPr>
          <w:snapToGrid w:val="0"/>
        </w:rPr>
      </w:pPr>
      <w:bookmarkStart w:id="628" w:name="_Toc501861784"/>
      <w:bookmarkStart w:id="629" w:name="_Toc113772543"/>
      <w:bookmarkStart w:id="630" w:name="_Toc170190637"/>
      <w:bookmarkStart w:id="631" w:name="_Toc157933612"/>
      <w:r>
        <w:rPr>
          <w:rStyle w:val="CharSectno"/>
        </w:rPr>
        <w:t>96</w:t>
      </w:r>
      <w:r>
        <w:rPr>
          <w:snapToGrid w:val="0"/>
        </w:rPr>
        <w:t>.</w:t>
      </w:r>
      <w:r>
        <w:rPr>
          <w:snapToGrid w:val="0"/>
        </w:rPr>
        <w:tab/>
        <w:t>Commencement of works</w:t>
      </w:r>
      <w:bookmarkEnd w:id="628"/>
      <w:bookmarkEnd w:id="629"/>
      <w:bookmarkEnd w:id="630"/>
      <w:bookmarkEnd w:id="631"/>
      <w:r>
        <w:rPr>
          <w:snapToGrid w:val="0"/>
        </w:rPr>
        <w:t xml:space="preserve"> </w:t>
      </w:r>
    </w:p>
    <w:p>
      <w:pPr>
        <w:pStyle w:val="Subsection"/>
        <w:rPr>
          <w:snapToGrid w:val="0"/>
          <w:spacing w:val="-2"/>
        </w:rPr>
      </w:pPr>
      <w:r>
        <w:rPr>
          <w:snapToGrid w:val="0"/>
          <w:spacing w:val="-2"/>
        </w:rPr>
        <w:tab/>
        <w:t>(1)</w:t>
      </w:r>
      <w:r>
        <w:rPr>
          <w:snapToGrid w:val="0"/>
          <w:spacing w:val="-2"/>
        </w:rPr>
        <w:tab/>
        <w:t>Where a permit, lease, licence or pipeline licence is granted subject to a condition that works or operations specified in the permit, lease, licence or pipeline licence are to be carried out, the permittee, lessee, licensee or pipeline licensee, as the case may be, shall commence to carry out those works or operations within a period of 6 months after the day on which the permit, lease, licence or pipeline licence, as the case may be, comes into force.</w:t>
      </w:r>
    </w:p>
    <w:p>
      <w:pPr>
        <w:pStyle w:val="Subsection"/>
        <w:rPr>
          <w:snapToGrid w:val="0"/>
        </w:rPr>
      </w:pPr>
      <w:r>
        <w:rPr>
          <w:snapToGrid w:val="0"/>
        </w:rPr>
        <w:tab/>
        <w:t>(2)</w:t>
      </w:r>
      <w:r>
        <w:rPr>
          <w:snapToGrid w:val="0"/>
        </w:rPr>
        <w:tab/>
        <w:t>The Minister may, for reasons that he thinks sufficient, by instrument in writing served on a permittee, lessee, licensee or pipeline licensee — </w:t>
      </w:r>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lease, licence or pipeline licence, as the case may be, within such period after the day on which the permit, lease, licence or pipeline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 xml:space="preserve">[Section 96 amended by No. 12 of 1990 s.214.] </w:t>
      </w:r>
    </w:p>
    <w:p>
      <w:pPr>
        <w:pStyle w:val="Heading5"/>
        <w:rPr>
          <w:snapToGrid w:val="0"/>
        </w:rPr>
      </w:pPr>
      <w:bookmarkStart w:id="632" w:name="_Toc501861785"/>
      <w:bookmarkStart w:id="633" w:name="_Toc113772544"/>
      <w:bookmarkStart w:id="634" w:name="_Toc170190638"/>
      <w:bookmarkStart w:id="635" w:name="_Toc157933613"/>
      <w:r>
        <w:rPr>
          <w:rStyle w:val="CharSectno"/>
        </w:rPr>
        <w:t>97</w:t>
      </w:r>
      <w:r>
        <w:rPr>
          <w:snapToGrid w:val="0"/>
        </w:rPr>
        <w:t>.</w:t>
      </w:r>
      <w:r>
        <w:rPr>
          <w:snapToGrid w:val="0"/>
        </w:rPr>
        <w:tab/>
        <w:t>Work practices</w:t>
      </w:r>
      <w:bookmarkEnd w:id="632"/>
      <w:bookmarkEnd w:id="633"/>
      <w:bookmarkEnd w:id="634"/>
      <w:bookmarkEnd w:id="635"/>
      <w:r>
        <w:rPr>
          <w:snapToGrid w:val="0"/>
        </w:rPr>
        <w:t xml:space="preserve"> </w:t>
      </w:r>
    </w:p>
    <w:p>
      <w:pPr>
        <w:pStyle w:val="Subsection"/>
        <w:rPr>
          <w:snapToGrid w:val="0"/>
        </w:rPr>
      </w:pPr>
      <w:r>
        <w:rPr>
          <w:snapToGrid w:val="0"/>
        </w:rPr>
        <w:tab/>
        <w:t>(1)</w:t>
      </w:r>
      <w:r>
        <w:rPr>
          <w:snapToGrid w:val="0"/>
        </w:rPr>
        <w:tab/>
        <w:t>A permittee, lessee or licensee shall carry out all petroleum exploration operations and operations for the recovery of petroleum in the permit area, lease area or licence area in a proper and workmanlike manner and in accordance with good oil</w:t>
      </w:r>
      <w:r>
        <w:rPr>
          <w:snapToGrid w:val="0"/>
        </w:rPr>
        <w:noBreakHyphen/>
        <w:t>field practice</w:t>
      </w:r>
      <w:del w:id="636" w:author="svcMRProcess" w:date="2020-02-19T21:14:00Z">
        <w:r>
          <w:rPr>
            <w:snapToGrid w:val="0"/>
          </w:rPr>
          <w:delText xml:space="preserve"> and shall secure the safety, health and welfare of persons engaged in those operations in or about the permit area, lease area or licence area</w:delText>
        </w:r>
      </w:del>
      <w:r>
        <w:rPr>
          <w:snapToGrid w:val="0"/>
        </w:rPr>
        <w:t>.</w:t>
      </w:r>
    </w:p>
    <w:p>
      <w:pPr>
        <w:pStyle w:val="Subsection"/>
        <w:rPr>
          <w:snapToGrid w:val="0"/>
        </w:rPr>
      </w:pPr>
      <w:r>
        <w:rPr>
          <w:snapToGrid w:val="0"/>
        </w:rPr>
        <w:tab/>
        <w:t>(2)</w:t>
      </w:r>
      <w:r>
        <w:rPr>
          <w:snapToGrid w:val="0"/>
        </w:rPr>
        <w:tab/>
        <w:t>In particular, and without limiting the generality of subsection (1), but subject to any authorization or requirement given or made by or under this Act or regulations or directions under this Act, a permittee, lessee or licensee shall — </w:t>
      </w:r>
    </w:p>
    <w:p>
      <w:pPr>
        <w:pStyle w:val="Indenta"/>
        <w:rPr>
          <w:snapToGrid w:val="0"/>
        </w:rPr>
      </w:pPr>
      <w:r>
        <w:rPr>
          <w:snapToGrid w:val="0"/>
        </w:rPr>
        <w:tab/>
        <w:t>(a)</w:t>
      </w:r>
      <w:r>
        <w:rPr>
          <w:snapToGrid w:val="0"/>
        </w:rPr>
        <w:tab/>
        <w:t>control the flow and prevent the waste or escape in the permit area, lease area or licence area of petroleum or water;</w:t>
      </w:r>
    </w:p>
    <w:p>
      <w:pPr>
        <w:pStyle w:val="Indenta"/>
        <w:rPr>
          <w:snapToGrid w:val="0"/>
        </w:rPr>
      </w:pPr>
      <w:r>
        <w:rPr>
          <w:snapToGrid w:val="0"/>
        </w:rPr>
        <w:tab/>
        <w:t>(b)</w:t>
      </w:r>
      <w:r>
        <w:rPr>
          <w:snapToGrid w:val="0"/>
        </w:rPr>
        <w:tab/>
        <w:t>prevent the escape in the permit area, lease area or licence area of any mixture of water or drilling fluid with petroleum or any other matter;</w:t>
      </w:r>
    </w:p>
    <w:p>
      <w:pPr>
        <w:pStyle w:val="Indenta"/>
        <w:rPr>
          <w:snapToGrid w:val="0"/>
        </w:rPr>
      </w:pPr>
      <w:r>
        <w:rPr>
          <w:snapToGrid w:val="0"/>
        </w:rPr>
        <w:tab/>
        <w:t>(c)</w:t>
      </w:r>
      <w:r>
        <w:rPr>
          <w:snapToGrid w:val="0"/>
        </w:rPr>
        <w:tab/>
        <w:t>prevent damage to petroleum</w:t>
      </w:r>
      <w:r>
        <w:rPr>
          <w:snapToGrid w:val="0"/>
        </w:rPr>
        <w:noBreakHyphen/>
        <w:t>bearing strata in an area, whether in the adjacent area or not, in respect of which the permit, lease or licence is not in force;</w:t>
      </w:r>
    </w:p>
    <w:p>
      <w:pPr>
        <w:pStyle w:val="Indenta"/>
        <w:rPr>
          <w:snapToGrid w:val="0"/>
        </w:rPr>
      </w:pPr>
      <w:r>
        <w:rPr>
          <w:snapToGrid w:val="0"/>
        </w:rPr>
        <w:tab/>
        <w:t>(d)</w:t>
      </w:r>
      <w:r>
        <w:rPr>
          <w:snapToGrid w:val="0"/>
        </w:rPr>
        <w:tab/>
        <w:t>keep separate — </w:t>
      </w:r>
    </w:p>
    <w:p>
      <w:pPr>
        <w:pStyle w:val="Indenti"/>
        <w:rPr>
          <w:snapToGrid w:val="0"/>
        </w:rPr>
      </w:pPr>
      <w:r>
        <w:rPr>
          <w:snapToGrid w:val="0"/>
        </w:rPr>
        <w:tab/>
        <w:t>(i)</w:t>
      </w:r>
      <w:r>
        <w:rPr>
          <w:snapToGrid w:val="0"/>
        </w:rPr>
        <w:tab/>
        <w:t xml:space="preserve">each petroleum pool discovered in the permit area, lease area or licence area; and </w:t>
      </w:r>
    </w:p>
    <w:p>
      <w:pPr>
        <w:pStyle w:val="Indenti"/>
        <w:rPr>
          <w:snapToGrid w:val="0"/>
        </w:rPr>
      </w:pPr>
      <w:r>
        <w:rPr>
          <w:snapToGrid w:val="0"/>
        </w:rPr>
        <w:tab/>
        <w:t>(ii)</w:t>
      </w:r>
      <w:r>
        <w:rPr>
          <w:snapToGrid w:val="0"/>
        </w:rPr>
        <w:tab/>
        <w:t xml:space="preserve">such of the sources of water, if any, discovered in that area as the Minister, by instrument in writing served on that person, directs;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lease area or licence area except when required by, and in accordance with, good oil</w:t>
      </w:r>
      <w:r>
        <w:rPr>
          <w:snapToGrid w:val="0"/>
        </w:rPr>
        <w:noBreakHyphen/>
        <w:t>field practice.</w:t>
      </w:r>
    </w:p>
    <w:p>
      <w:pPr>
        <w:pStyle w:val="Subsection"/>
        <w:rPr>
          <w:snapToGrid w:val="0"/>
        </w:rPr>
      </w:pPr>
      <w:r>
        <w:rPr>
          <w:snapToGrid w:val="0"/>
        </w:rPr>
        <w:tab/>
        <w:t>(3)</w:t>
      </w:r>
      <w:r>
        <w:rPr>
          <w:snapToGrid w:val="0"/>
        </w:rPr>
        <w:tab/>
        <w:t>A pipeline licensee shall operate the pipeline in a proper and workmanlike manner</w:t>
      </w:r>
      <w:del w:id="637" w:author="svcMRProcess" w:date="2020-02-19T21:14:00Z">
        <w:r>
          <w:rPr>
            <w:snapToGrid w:val="0"/>
          </w:rPr>
          <w:delText xml:space="preserve"> and shall secure the safety, health and welfare of persons engaged in operations in connection with the pipeline</w:delText>
        </w:r>
      </w:del>
      <w:r>
        <w:rPr>
          <w:snapToGrid w:val="0"/>
        </w:rPr>
        <w:t>.</w:t>
      </w:r>
    </w:p>
    <w:p>
      <w:pPr>
        <w:pStyle w:val="Subsection"/>
        <w:rPr>
          <w:snapToGrid w:val="0"/>
        </w:rPr>
      </w:pPr>
      <w:r>
        <w:rPr>
          <w:snapToGrid w:val="0"/>
        </w:rPr>
        <w:tab/>
        <w:t>(4)</w:t>
      </w:r>
      <w:r>
        <w:rPr>
          <w:snapToGrid w:val="0"/>
        </w:rPr>
        <w:tab/>
        <w:t>In particular and without limiting the generality of subsection (3), a pipeline licensee shall prevent the waste or escape of petroleum or water from the pipeline or from any secondary line, pumping station, tank station, valve station or water line.</w:t>
      </w:r>
    </w:p>
    <w:p>
      <w:pPr>
        <w:pStyle w:val="Subsection"/>
        <w:spacing w:before="120"/>
        <w:rPr>
          <w:snapToGrid w:val="0"/>
        </w:rPr>
      </w:pPr>
      <w:r>
        <w:rPr>
          <w:snapToGrid w:val="0"/>
        </w:rPr>
        <w:tab/>
        <w:t>(5)</w:t>
      </w:r>
      <w:r>
        <w:rPr>
          <w:snapToGrid w:val="0"/>
        </w:rPr>
        <w:tab/>
        <w:t>A person who is the holder of a special prospecting authority or an access authority shall carry out all petroleum exploration operations in the area in respect of which the special prospecting authority or access authority is in force in a proper and workmanlike manner and in accordance with good oil</w:t>
      </w:r>
      <w:r>
        <w:rPr>
          <w:snapToGrid w:val="0"/>
        </w:rPr>
        <w:noBreakHyphen/>
        <w:t>field practice</w:t>
      </w:r>
      <w:del w:id="638" w:author="svcMRProcess" w:date="2020-02-19T21:14:00Z">
        <w:r>
          <w:rPr>
            <w:snapToGrid w:val="0"/>
          </w:rPr>
          <w:delText xml:space="preserve"> and shall secure the safety, health and welfare of persons engaged in those operations in or about that area</w:delText>
        </w:r>
      </w:del>
      <w:r>
        <w:rPr>
          <w:snapToGrid w:val="0"/>
        </w:rPr>
        <w:t>.</w:t>
      </w:r>
    </w:p>
    <w:p>
      <w:pPr>
        <w:pStyle w:val="Ednotesubsection"/>
      </w:pPr>
      <w:r>
        <w:tab/>
        <w:t>[(6)</w:t>
      </w:r>
      <w:r>
        <w:tab/>
        <w:t>repealed]</w:t>
      </w:r>
    </w:p>
    <w:p>
      <w:pPr>
        <w:pStyle w:val="Subsection"/>
        <w:spacing w:before="120"/>
        <w:rPr>
          <w:snapToGrid w:val="0"/>
        </w:rPr>
      </w:pPr>
      <w:r>
        <w:rPr>
          <w:snapToGrid w:val="0"/>
        </w:rPr>
        <w:tab/>
        <w:t>(7)</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rPr>
          <w:snapToGrid w:val="0"/>
        </w:rPr>
      </w:pPr>
      <w:r>
        <w:rPr>
          <w:snapToGrid w:val="0"/>
        </w:rPr>
        <w:tab/>
        <w:t>Penalty: For contravention of subsections (1) to (5), $10 000.</w:t>
      </w:r>
    </w:p>
    <w:p>
      <w:pPr>
        <w:pStyle w:val="Footnotesection"/>
      </w:pPr>
      <w:r>
        <w:tab/>
        <w:t>[Section 97 amended by No. 12 of 1990 s.215; No. 28 of 1994 s.104</w:t>
      </w:r>
      <w:del w:id="639" w:author="svcMRProcess" w:date="2020-02-19T21:14:00Z">
        <w:r>
          <w:delText>.]</w:delText>
        </w:r>
      </w:del>
      <w:ins w:id="640" w:author="svcMRProcess" w:date="2020-02-19T21:14:00Z">
        <w:r>
          <w:t>; No. 13 of 2005 s. 38.]</w:t>
        </w:r>
      </w:ins>
      <w:r>
        <w:t xml:space="preserve"> </w:t>
      </w:r>
    </w:p>
    <w:p>
      <w:pPr>
        <w:pStyle w:val="Heading5"/>
        <w:rPr>
          <w:snapToGrid w:val="0"/>
        </w:rPr>
      </w:pPr>
      <w:bookmarkStart w:id="641" w:name="_Toc501861786"/>
      <w:bookmarkStart w:id="642" w:name="_Toc113772545"/>
      <w:bookmarkStart w:id="643" w:name="_Toc170190639"/>
      <w:bookmarkStart w:id="644" w:name="_Toc157933614"/>
      <w:r>
        <w:rPr>
          <w:rStyle w:val="CharSectno"/>
        </w:rPr>
        <w:t>97A</w:t>
      </w:r>
      <w:r>
        <w:rPr>
          <w:snapToGrid w:val="0"/>
        </w:rPr>
        <w:t>.</w:t>
      </w:r>
      <w:r>
        <w:rPr>
          <w:snapToGrid w:val="0"/>
        </w:rPr>
        <w:tab/>
        <w:t>Conditions relating to insurance</w:t>
      </w:r>
      <w:bookmarkEnd w:id="641"/>
      <w:bookmarkEnd w:id="642"/>
      <w:bookmarkEnd w:id="643"/>
      <w:bookmarkEnd w:id="644"/>
      <w:r>
        <w:rPr>
          <w:snapToGrid w:val="0"/>
        </w:rPr>
        <w:t xml:space="preserve"> </w:t>
      </w:r>
    </w:p>
    <w:p>
      <w:pPr>
        <w:pStyle w:val="Subsection"/>
        <w:spacing w:before="120"/>
        <w:rPr>
          <w:snapToGrid w:val="0"/>
        </w:rPr>
      </w:pPr>
      <w:r>
        <w:rPr>
          <w:snapToGrid w:val="0"/>
        </w:rPr>
        <w:tab/>
        <w:t>(1)</w:t>
      </w:r>
      <w:r>
        <w:rPr>
          <w:snapToGrid w:val="0"/>
        </w:rPr>
        <w:tab/>
        <w:t>The registered holder of a permit, lease, licence, or pipeline licence must maintain, as directed by the Minister from time to time, insurance against expenses or liabilities or specified things arising in connection with, or as a result of, the carrying out of work, or the doing of any other thing, under the permit, lease, licence, or pipeline licence, including expenses of complying with directions with respect to the clean</w:t>
      </w:r>
      <w:r>
        <w:rPr>
          <w:snapToGrid w:val="0"/>
        </w:rPr>
        <w:noBreakHyphen/>
        <w:t>up or other remedying of the effects of the escape of petroleum.</w:t>
      </w:r>
    </w:p>
    <w:p>
      <w:pPr>
        <w:pStyle w:val="Subsection"/>
        <w:spacing w:before="120"/>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(3)</w:t>
      </w:r>
      <w:r>
        <w:rPr>
          <w:snapToGrid w:val="0"/>
        </w:rPr>
        <w:tab/>
        <w:t>When — </w:t>
      </w:r>
    </w:p>
    <w:p>
      <w:pPr>
        <w:pStyle w:val="Indenta"/>
        <w:rPr>
          <w:snapToGrid w:val="0"/>
        </w:rPr>
      </w:pPr>
      <w:r>
        <w:rPr>
          <w:snapToGrid w:val="0"/>
        </w:rPr>
        <w:tab/>
        <w:t>(a)</w:t>
      </w:r>
      <w:r>
        <w:rPr>
          <w:snapToGrid w:val="0"/>
        </w:rPr>
        <w:tab/>
        <w:t xml:space="preserve">a permit, lease, licence, or pipeline licence was in force immediately before the commencement of section 105 of the </w:t>
      </w:r>
      <w:r>
        <w:rPr>
          <w:i/>
          <w:snapToGrid w:val="0"/>
        </w:rPr>
        <w:t>Acts Amendment (Petroleum) Act 1994</w:t>
      </w:r>
      <w:r>
        <w:rPr>
          <w:snapToGrid w:val="0"/>
          <w:vertAlign w:val="superscript"/>
        </w:rPr>
        <w:t xml:space="preserve"> 1</w:t>
      </w:r>
      <w:r>
        <w:rPr>
          <w:snapToGrid w:val="0"/>
        </w:rPr>
        <w:t>;</w:t>
      </w:r>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lease, licence, or pipeline licence, being a security that was required under this Act or under the </w:t>
      </w:r>
      <w:r>
        <w:rPr>
          <w:i/>
          <w:snapToGrid w:val="0"/>
        </w:rPr>
        <w:t>Acts Amendment (Petroleum) Act 1990</w:t>
      </w:r>
      <w:r>
        <w:rPr>
          <w:snapToGrid w:val="0"/>
          <w:vertAlign w:val="superscript"/>
        </w:rPr>
        <w:t xml:space="preserve"> 1</w:t>
      </w:r>
      <w:r>
        <w:rPr>
          <w:i/>
          <w:snapToGrid w:val="0"/>
        </w:rPr>
        <w:t xml:space="preserve"> </w:t>
      </w:r>
      <w:r>
        <w:rPr>
          <w:snapToGrid w:val="0"/>
        </w:rPr>
        <w:t xml:space="preserve">before the commencement of section 105 of the </w:t>
      </w:r>
      <w:r>
        <w:rPr>
          <w:i/>
          <w:snapToGrid w:val="0"/>
        </w:rPr>
        <w:t>Acts Amendment (Petroleum) Act 1994</w:t>
      </w:r>
      <w:r>
        <w:rPr>
          <w:snapToGrid w:val="0"/>
          <w:vertAlign w:val="superscript"/>
        </w:rPr>
        <w:t xml:space="preserve"> 1</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 xml:space="preserve">[Section 97A inserted by No. 28 of 1994 s.105.] </w:t>
      </w:r>
    </w:p>
    <w:p>
      <w:pPr>
        <w:pStyle w:val="Heading5"/>
        <w:rPr>
          <w:snapToGrid w:val="0"/>
        </w:rPr>
      </w:pPr>
      <w:bookmarkStart w:id="645" w:name="_Toc501861787"/>
      <w:bookmarkStart w:id="646" w:name="_Toc113772546"/>
      <w:bookmarkStart w:id="647" w:name="_Toc170190640"/>
      <w:bookmarkStart w:id="648" w:name="_Toc157933615"/>
      <w:r>
        <w:rPr>
          <w:rStyle w:val="CharSectno"/>
        </w:rPr>
        <w:t>98</w:t>
      </w:r>
      <w:r>
        <w:rPr>
          <w:snapToGrid w:val="0"/>
        </w:rPr>
        <w:t>.</w:t>
      </w:r>
      <w:r>
        <w:rPr>
          <w:snapToGrid w:val="0"/>
        </w:rPr>
        <w:tab/>
        <w:t>Maintenance etc., of property</w:t>
      </w:r>
      <w:bookmarkEnd w:id="645"/>
      <w:bookmarkEnd w:id="646"/>
      <w:bookmarkEnd w:id="647"/>
      <w:bookmarkEnd w:id="64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operator</w:t>
      </w:r>
      <w:r>
        <w:rPr>
          <w:b/>
        </w:rPr>
        <w:t>”</w:t>
      </w:r>
      <w:r>
        <w:t xml:space="preserve"> means a permittee, lessee, licensee, pipeline licensee or holder of a special prospecting authority or access authority;</w:t>
      </w:r>
    </w:p>
    <w:p>
      <w:pPr>
        <w:pStyle w:val="Defstart"/>
      </w:pPr>
      <w:r>
        <w:rPr>
          <w:b/>
        </w:rPr>
        <w:tab/>
        <w:t>“</w:t>
      </w:r>
      <w:r>
        <w:rPr>
          <w:rStyle w:val="CharDefText"/>
        </w:rPr>
        <w:t>the operations area</w:t>
      </w:r>
      <w:r>
        <w:rPr>
          <w:b/>
        </w:rPr>
        <w:t>”</w:t>
      </w:r>
      <w:r>
        <w:t>— </w:t>
      </w:r>
    </w:p>
    <w:p>
      <w:pPr>
        <w:pStyle w:val="Defpara"/>
      </w:pPr>
      <w:r>
        <w:tab/>
        <w:t>(a)</w:t>
      </w:r>
      <w:r>
        <w:tab/>
        <w:t>in relation to an operator who is a permittee, lessee or licensee, means the permit area, lease area or licence area as the case may be;</w:t>
      </w:r>
    </w:p>
    <w:p>
      <w:pPr>
        <w:pStyle w:val="Defpara"/>
      </w:pPr>
      <w:r>
        <w:tab/>
        <w:t>(b)</w:t>
      </w:r>
      <w:r>
        <w:tab/>
        <w:t>in relation to an operator who is a pipeline licensee, means the part of the adjacent area in which the pipeline is constructed; and</w:t>
      </w:r>
    </w:p>
    <w:p>
      <w:pPr>
        <w:pStyle w:val="Defpara"/>
      </w:pPr>
      <w:r>
        <w:tab/>
        <w:t>(c)</w:t>
      </w:r>
      <w:r>
        <w:tab/>
        <w:t>in relation to an operator who is the holder of a special prospecting authority or access authority, means the area in respect of which that authority is in force.</w:t>
      </w:r>
    </w:p>
    <w:p>
      <w:pPr>
        <w:pStyle w:val="Subsection"/>
        <w:spacing w:before="120"/>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spacing w:before="120"/>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spacing w:before="120"/>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rPr>
          <w:snapToGrid w:val="0"/>
        </w:rPr>
      </w:pPr>
      <w:r>
        <w:rPr>
          <w:snapToGrid w:val="0"/>
        </w:rPr>
        <w:tab/>
        <w:t>Penalty: For contravention of subsection (2) or (3), $10 000.</w:t>
      </w:r>
    </w:p>
    <w:p>
      <w:pPr>
        <w:pStyle w:val="Footnotesection"/>
      </w:pPr>
      <w:r>
        <w:tab/>
        <w:t xml:space="preserve">[Section 98 amended by No. 12 of 1990 s.216; No. 28 of 1994 s.106.] </w:t>
      </w:r>
    </w:p>
    <w:p>
      <w:pPr>
        <w:pStyle w:val="Heading5"/>
        <w:rPr>
          <w:snapToGrid w:val="0"/>
        </w:rPr>
      </w:pPr>
      <w:bookmarkStart w:id="649" w:name="_Toc501861788"/>
      <w:bookmarkStart w:id="650" w:name="_Toc113772547"/>
      <w:bookmarkStart w:id="651" w:name="_Toc170190641"/>
      <w:bookmarkStart w:id="652" w:name="_Toc157933616"/>
      <w:r>
        <w:rPr>
          <w:rStyle w:val="CharSectno"/>
        </w:rPr>
        <w:t>99</w:t>
      </w:r>
      <w:r>
        <w:rPr>
          <w:snapToGrid w:val="0"/>
        </w:rPr>
        <w:t>.</w:t>
      </w:r>
      <w:r>
        <w:rPr>
          <w:snapToGrid w:val="0"/>
        </w:rPr>
        <w:tab/>
        <w:t>Sections 97, 97A and 98 to have effect subject to this Act, etc.</w:t>
      </w:r>
      <w:bookmarkEnd w:id="649"/>
      <w:bookmarkEnd w:id="650"/>
      <w:bookmarkEnd w:id="651"/>
      <w:bookmarkEnd w:id="652"/>
      <w:r>
        <w:rPr>
          <w:snapToGrid w:val="0"/>
        </w:rPr>
        <w:t xml:space="preserve"> </w:t>
      </w:r>
    </w:p>
    <w:p>
      <w:pPr>
        <w:pStyle w:val="Subsection"/>
        <w:spacing w:before="120"/>
        <w:rPr>
          <w:snapToGrid w:val="0"/>
        </w:rPr>
      </w:pPr>
      <w:r>
        <w:rPr>
          <w:snapToGrid w:val="0"/>
        </w:rPr>
        <w:tab/>
      </w:r>
      <w:r>
        <w:rPr>
          <w:snapToGrid w:val="0"/>
        </w:rPr>
        <w:tab/>
        <w:t>Sections 97, 97A and 98 have effect subject to — </w:t>
      </w:r>
    </w:p>
    <w:p>
      <w:pPr>
        <w:pStyle w:val="Indenta"/>
        <w:rPr>
          <w:snapToGrid w:val="0"/>
        </w:rPr>
      </w:pPr>
      <w:r>
        <w:rPr>
          <w:snapToGrid w:val="0"/>
        </w:rPr>
        <w:tab/>
        <w:t>(a)</w:t>
      </w:r>
      <w:r>
        <w:rPr>
          <w:snapToGrid w:val="0"/>
        </w:rPr>
        <w:tab/>
        <w:t>any other provisions of this Act;</w:t>
      </w:r>
    </w:p>
    <w:p>
      <w:pPr>
        <w:pStyle w:val="Indenta"/>
        <w:rPr>
          <w:snapToGrid w:val="0"/>
        </w:rPr>
      </w:pPr>
      <w:r>
        <w:rPr>
          <w:snapToGrid w:val="0"/>
        </w:rPr>
        <w:tab/>
        <w:t>(b)</w:t>
      </w:r>
      <w:r>
        <w:rPr>
          <w:snapToGrid w:val="0"/>
        </w:rPr>
        <w:tab/>
        <w:t>the regulations;</w:t>
      </w:r>
    </w:p>
    <w:p>
      <w:pPr>
        <w:pStyle w:val="Indenta"/>
        <w:rPr>
          <w:snapToGrid w:val="0"/>
        </w:rPr>
      </w:pPr>
      <w:r>
        <w:rPr>
          <w:snapToGrid w:val="0"/>
        </w:rPr>
        <w:tab/>
        <w:t>(c)</w:t>
      </w:r>
      <w:r>
        <w:rPr>
          <w:snapToGrid w:val="0"/>
        </w:rPr>
        <w:tab/>
        <w:t>a direction under section 101; and</w:t>
      </w:r>
    </w:p>
    <w:p>
      <w:pPr>
        <w:pStyle w:val="Indenta"/>
        <w:rPr>
          <w:snapToGrid w:val="0"/>
        </w:rPr>
      </w:pPr>
      <w:r>
        <w:rPr>
          <w:snapToGrid w:val="0"/>
        </w:rPr>
        <w:tab/>
        <w:t>(d)</w:t>
      </w:r>
      <w:r>
        <w:rPr>
          <w:snapToGrid w:val="0"/>
        </w:rPr>
        <w:tab/>
        <w:t>any other law.</w:t>
      </w:r>
    </w:p>
    <w:p>
      <w:pPr>
        <w:pStyle w:val="Footnotesection"/>
      </w:pPr>
      <w:r>
        <w:tab/>
        <w:t xml:space="preserve">[Section 99 amended by No. 28 of 1994 s.107.] </w:t>
      </w:r>
    </w:p>
    <w:p>
      <w:pPr>
        <w:pStyle w:val="Heading5"/>
        <w:rPr>
          <w:snapToGrid w:val="0"/>
        </w:rPr>
      </w:pPr>
      <w:bookmarkStart w:id="653" w:name="_Toc501861789"/>
      <w:bookmarkStart w:id="654" w:name="_Toc113772548"/>
      <w:bookmarkStart w:id="655" w:name="_Toc170190642"/>
      <w:bookmarkStart w:id="656" w:name="_Toc157933617"/>
      <w:r>
        <w:rPr>
          <w:rStyle w:val="CharSectno"/>
        </w:rPr>
        <w:t>100</w:t>
      </w:r>
      <w:r>
        <w:rPr>
          <w:snapToGrid w:val="0"/>
        </w:rPr>
        <w:t>.</w:t>
      </w:r>
      <w:r>
        <w:rPr>
          <w:snapToGrid w:val="0"/>
        </w:rPr>
        <w:tab/>
        <w:t>Drilling near boundaries</w:t>
      </w:r>
      <w:bookmarkEnd w:id="653"/>
      <w:bookmarkEnd w:id="654"/>
      <w:bookmarkEnd w:id="655"/>
      <w:bookmarkEnd w:id="656"/>
      <w:r>
        <w:rPr>
          <w:snapToGrid w:val="0"/>
        </w:rPr>
        <w:t xml:space="preserve"> </w:t>
      </w:r>
    </w:p>
    <w:p>
      <w:pPr>
        <w:pStyle w:val="Subsection"/>
        <w:spacing w:before="120"/>
        <w:rPr>
          <w:snapToGrid w:val="0"/>
          <w:spacing w:val="-2"/>
        </w:rPr>
      </w:pPr>
      <w:r>
        <w:rPr>
          <w:snapToGrid w:val="0"/>
          <w:spacing w:val="-2"/>
        </w:rPr>
        <w:tab/>
        <w:t>(1)</w:t>
      </w:r>
      <w:r>
        <w:rPr>
          <w:snapToGrid w:val="0"/>
          <w:spacing w:val="-2"/>
        </w:rPr>
        <w:tab/>
        <w:t>A permittee, lessee or licensee shall not make a well any part of which is less than 300 metres from a boundary of the permit area, lease area or licence area, as the case may be, except with the consent in writing of the Minister and in accordance with such conditions, if any, as are specified in the instrument of consent.</w:t>
      </w:r>
    </w:p>
    <w:p>
      <w:pPr>
        <w:pStyle w:val="Subsection"/>
        <w:spacing w:before="120"/>
        <w:rPr>
          <w:snapToGrid w:val="0"/>
        </w:rPr>
      </w:pPr>
      <w:r>
        <w:rPr>
          <w:snapToGrid w:val="0"/>
        </w:rPr>
        <w:tab/>
        <w:t>(2)</w:t>
      </w:r>
      <w:r>
        <w:rPr>
          <w:snapToGrid w:val="0"/>
        </w:rPr>
        <w:tab/>
        <w:t>Where a permittee, lessee or licensee does not comply with subsection (1), the Minister may, by instrument in writing served on the permittee, lessee or licensee, as the case may be, direct him to do one or more of the following, within the period specified in the instrument — </w:t>
      </w:r>
    </w:p>
    <w:p>
      <w:pPr>
        <w:pStyle w:val="Indenta"/>
        <w:spacing w:before="60"/>
        <w:rPr>
          <w:snapToGrid w:val="0"/>
        </w:rPr>
      </w:pPr>
      <w:r>
        <w:rPr>
          <w:snapToGrid w:val="0"/>
        </w:rPr>
        <w:tab/>
        <w:t>(a)</w:t>
      </w:r>
      <w:r>
        <w:rPr>
          <w:snapToGrid w:val="0"/>
        </w:rPr>
        <w:tab/>
      </w:r>
      <w:r>
        <w:rPr>
          <w:snapToGrid w:val="0"/>
          <w:spacing w:val="-2"/>
        </w:rPr>
        <w:t>to</w:t>
      </w:r>
      <w:r>
        <w:rPr>
          <w:snapToGrid w:val="0"/>
        </w:rPr>
        <w:t xml:space="preserve"> plug the well;</w:t>
      </w:r>
    </w:p>
    <w:p>
      <w:pPr>
        <w:pStyle w:val="Indenta"/>
        <w:spacing w:before="60"/>
        <w:rPr>
          <w:snapToGrid w:val="0"/>
        </w:rPr>
      </w:pPr>
      <w:r>
        <w:rPr>
          <w:snapToGrid w:val="0"/>
        </w:rPr>
        <w:tab/>
        <w:t>(b)</w:t>
      </w:r>
      <w:r>
        <w:rPr>
          <w:snapToGrid w:val="0"/>
        </w:rPr>
        <w:tab/>
      </w:r>
      <w:r>
        <w:rPr>
          <w:snapToGrid w:val="0"/>
          <w:spacing w:val="-2"/>
        </w:rPr>
        <w:t>to</w:t>
      </w:r>
      <w:r>
        <w:rPr>
          <w:snapToGrid w:val="0"/>
        </w:rPr>
        <w:t xml:space="preserve"> </w:t>
      </w:r>
      <w:r>
        <w:rPr>
          <w:snapToGrid w:val="0"/>
          <w:spacing w:val="-2"/>
        </w:rPr>
        <w:t>c</w:t>
      </w:r>
      <w:r>
        <w:rPr>
          <w:snapToGrid w:val="0"/>
        </w:rPr>
        <w:t>lose off the well; and</w:t>
      </w:r>
    </w:p>
    <w:p>
      <w:pPr>
        <w:pStyle w:val="Indenta"/>
        <w:spacing w:before="60"/>
        <w:rPr>
          <w:snapToGrid w:val="0"/>
          <w:spacing w:val="-2"/>
        </w:rPr>
      </w:pPr>
      <w:r>
        <w:rPr>
          <w:snapToGrid w:val="0"/>
          <w:spacing w:val="-2"/>
        </w:rPr>
        <w:tab/>
        <w:t>(c)</w:t>
      </w:r>
      <w:r>
        <w:rPr>
          <w:snapToGrid w:val="0"/>
          <w:spacing w:val="-2"/>
        </w:rPr>
        <w:tab/>
        <w:t>to comply with such directions relating to the making or maintenance of the well as are specified in the instrument.</w:t>
      </w:r>
    </w:p>
    <w:p>
      <w:pPr>
        <w:pStyle w:val="Subsection"/>
        <w:spacing w:before="120"/>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ind w:left="890" w:hanging="890"/>
      </w:pPr>
      <w:r>
        <w:tab/>
        <w:t xml:space="preserve">[Section 100 amended by No. 12 of 1990 s.217.] </w:t>
      </w:r>
    </w:p>
    <w:p>
      <w:pPr>
        <w:pStyle w:val="Heading5"/>
        <w:rPr>
          <w:snapToGrid w:val="0"/>
        </w:rPr>
      </w:pPr>
      <w:bookmarkStart w:id="657" w:name="_Toc501861790"/>
      <w:bookmarkStart w:id="658" w:name="_Toc113772549"/>
      <w:bookmarkStart w:id="659" w:name="_Toc170190643"/>
      <w:bookmarkStart w:id="660" w:name="_Toc157933618"/>
      <w:r>
        <w:rPr>
          <w:rStyle w:val="CharSectno"/>
        </w:rPr>
        <w:t>101</w:t>
      </w:r>
      <w:r>
        <w:rPr>
          <w:snapToGrid w:val="0"/>
        </w:rPr>
        <w:t>.</w:t>
      </w:r>
      <w:r>
        <w:rPr>
          <w:snapToGrid w:val="0"/>
        </w:rPr>
        <w:tab/>
        <w:t>Directions</w:t>
      </w:r>
      <w:bookmarkEnd w:id="657"/>
      <w:bookmarkEnd w:id="658"/>
      <w:bookmarkEnd w:id="659"/>
      <w:bookmarkEnd w:id="660"/>
      <w:r>
        <w:rPr>
          <w:snapToGrid w:val="0"/>
        </w:rPr>
        <w:t xml:space="preserve"> </w:t>
      </w:r>
    </w:p>
    <w:p>
      <w:pPr>
        <w:pStyle w:val="Subsection"/>
        <w:spacing w:before="120"/>
        <w:rPr>
          <w:snapToGrid w:val="0"/>
        </w:rPr>
      </w:pPr>
      <w:r>
        <w:rPr>
          <w:snapToGrid w:val="0"/>
        </w:rPr>
        <w:tab/>
        <w:t>(1)</w:t>
      </w:r>
      <w:r>
        <w:rPr>
          <w:snapToGrid w:val="0"/>
        </w:rPr>
        <w:tab/>
        <w:t>The Minister may, by instrument in writing served on the registered holder of a permit, lease, licence, pipeline licence, special prospecting authority or access authority, give to the registered holder a direction as to any matter with respect to which regulations may be made.</w:t>
      </w:r>
    </w:p>
    <w:p>
      <w:pPr>
        <w:pStyle w:val="Subsection"/>
        <w:spacing w:before="120"/>
        <w:rPr>
          <w:snapToGrid w:val="0"/>
          <w:spacing w:val="-2"/>
        </w:rPr>
      </w:pPr>
      <w:r>
        <w:rPr>
          <w:snapToGrid w:val="0"/>
          <w:spacing w:val="-2"/>
        </w:rPr>
        <w:tab/>
        <w:t>(2)</w:t>
      </w:r>
      <w:r>
        <w:rPr>
          <w:snapToGrid w:val="0"/>
          <w:spacing w:val="-2"/>
        </w:rPr>
        <w:tab/>
        <w:t>A direction given under this section to a registered holder applies to the registered holder and may also be expressed to apply to — </w:t>
      </w:r>
    </w:p>
    <w:p>
      <w:pPr>
        <w:pStyle w:val="Indenta"/>
        <w:spacing w:before="60"/>
        <w:rPr>
          <w:snapToGrid w:val="0"/>
        </w:rPr>
      </w:pPr>
      <w:r>
        <w:rPr>
          <w:snapToGrid w:val="0"/>
        </w:rPr>
        <w:tab/>
        <w:t>(a)</w:t>
      </w:r>
      <w:r>
        <w:rPr>
          <w:snapToGrid w:val="0"/>
        </w:rPr>
        <w:tab/>
        <w:t>a specified class of persons, being a class constituted by or included in one or both of the following classes of persons — </w:t>
      </w:r>
    </w:p>
    <w:p>
      <w:pPr>
        <w:pStyle w:val="Indenti"/>
        <w:spacing w:before="60"/>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p>
    <w:p>
      <w:pPr>
        <w:pStyle w:val="Indenta"/>
        <w:rPr>
          <w:snapToGrid w:val="0"/>
        </w:rPr>
      </w:pPr>
      <w:r>
        <w:rPr>
          <w:snapToGrid w:val="0"/>
        </w:rPr>
        <w:tab/>
      </w:r>
      <w:r>
        <w:rPr>
          <w:snapToGrid w:val="0"/>
        </w:rPr>
        <w:tab/>
        <w:t>or</w:t>
      </w:r>
    </w:p>
    <w:p>
      <w:pPr>
        <w:pStyle w:val="Indenta"/>
        <w:rPr>
          <w:snapToGrid w:val="0"/>
          <w:spacing w:val="-2"/>
        </w:rPr>
      </w:pPr>
      <w:r>
        <w:rPr>
          <w:snapToGrid w:val="0"/>
          <w:spacing w:val="-2"/>
        </w:rPr>
        <w:tab/>
        <w:t>(b)</w:t>
      </w:r>
      <w:r>
        <w:rPr>
          <w:snapToGrid w:val="0"/>
          <w:spacing w:val="-2"/>
        </w:rPr>
        <w:tab/>
        <w:t>any person (not being a person to whom the direction applies otherwise than in accordance with this paragraph) who is in the adjacent area for any reason touching, concerning, arising out of or connected with the exploration of the sea</w:t>
      </w:r>
      <w:r>
        <w:rPr>
          <w:snapToGrid w:val="0"/>
          <w:spacing w:val="-2"/>
        </w:rPr>
        <w:noBreakHyphen/>
        <w:t>bed or subsoil of the adjacent area for petroleum or the exploitation of the natural resources, being petroleum, of that sea</w:t>
      </w:r>
      <w:r>
        <w:rPr>
          <w:snapToGrid w:val="0"/>
          <w:spacing w:val="-2"/>
        </w:rPr>
        <w:noBreakHyphen/>
        <w:t>bed or subsoil or is in, on, above, below or in the vicinity of a vessel, aircraft, structure or installation, or equipment or other property, that is in the adjacent area for a reason of that kind,</w:t>
      </w:r>
    </w:p>
    <w:p>
      <w:pPr>
        <w:pStyle w:val="Subsection"/>
        <w:spacing w:before="120"/>
        <w:rPr>
          <w:snapToGrid w:val="0"/>
        </w:rPr>
      </w:pPr>
      <w:r>
        <w:rPr>
          <w:snapToGrid w:val="0"/>
        </w:rPr>
        <w:tab/>
      </w:r>
      <w:r>
        <w:rPr>
          <w:snapToGrid w:val="0"/>
        </w:rPr>
        <w:tab/>
        <w:t>and where a direction so expressed is given, the direction shall be deemed to apply to each person included in that specified class or to each person who is in the adjacent area as mentioned in paragraph (b), as the case may be.</w:t>
      </w:r>
    </w:p>
    <w:p>
      <w:pPr>
        <w:pStyle w:val="Subsection"/>
        <w:spacing w:before="120"/>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adjacent area frequented by that other person.</w:t>
      </w:r>
    </w:p>
    <w:p>
      <w:pPr>
        <w:pStyle w:val="Penstart"/>
        <w:rPr>
          <w:snapToGrid w:val="0"/>
        </w:rPr>
      </w:pPr>
      <w:r>
        <w:rPr>
          <w:snapToGrid w:val="0"/>
        </w:rPr>
        <w:tab/>
        <w:t>Penalty: $5 000.</w:t>
      </w:r>
    </w:p>
    <w:p>
      <w:pPr>
        <w:pStyle w:val="Subsection"/>
        <w:spacing w:before="120"/>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adjacent area.</w:t>
      </w:r>
    </w:p>
    <w:p>
      <w:pPr>
        <w:pStyle w:val="Penstart"/>
        <w:rPr>
          <w:snapToGrid w:val="0"/>
        </w:rPr>
      </w:pPr>
      <w:r>
        <w:rPr>
          <w:snapToGrid w:val="0"/>
        </w:rPr>
        <w:tab/>
        <w:t>Penalty: $5 000.</w:t>
      </w:r>
    </w:p>
    <w:p>
      <w:pPr>
        <w:pStyle w:val="Subsection"/>
        <w:spacing w:before="120"/>
        <w:rPr>
          <w:snapToGrid w:val="0"/>
          <w:spacing w:val="-2"/>
        </w:rPr>
      </w:pPr>
      <w:r>
        <w:rPr>
          <w:snapToGrid w:val="0"/>
          <w:spacing w:val="-2"/>
        </w:rPr>
        <w:tab/>
        <w:t>(2c)</w:t>
      </w:r>
      <w:r>
        <w:rPr>
          <w:snapToGrid w:val="0"/>
          <w:spacing w:val="-2"/>
        </w:rPr>
        <w:tab/>
        <w:t>Where a direction under this section applies to a registered holder and to a person referred to in subsection (2)(b), the Minister may, by notice in writing given to the registered holder, require the registered holder to cause to be displayed at such places in the adjacent area,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 $5 000.</w:t>
      </w:r>
    </w:p>
    <w:p>
      <w:pPr>
        <w:pStyle w:val="Subsection"/>
        <w:spacing w:before="120"/>
        <w:rPr>
          <w:snapToGrid w:val="0"/>
        </w:rPr>
      </w:pPr>
      <w:r>
        <w:rPr>
          <w:snapToGrid w:val="0"/>
        </w:rPr>
        <w:tab/>
        <w:t>(3)</w:t>
      </w:r>
      <w:r>
        <w:rPr>
          <w:snapToGrid w:val="0"/>
        </w:rPr>
        <w:tab/>
        <w:t>The Minister shall not give a direction under subsection (1) of a standing or permanent nature except after consultation with the Minister of State for the time being administering the Commonwealth Act, but the validity of a direction of the Minister shall not be called in question by reason only of a failure to comply with this subsection.</w:t>
      </w:r>
    </w:p>
    <w:p>
      <w:pPr>
        <w:pStyle w:val="Subsection"/>
        <w:spacing w:before="120"/>
        <w:rPr>
          <w:snapToGrid w:val="0"/>
        </w:rPr>
      </w:pPr>
      <w:r>
        <w:rPr>
          <w:snapToGrid w:val="0"/>
        </w:rPr>
        <w:tab/>
        <w:t>(4)</w:t>
      </w:r>
      <w:r>
        <w:rPr>
          <w:snapToGrid w:val="0"/>
        </w:rPr>
        <w:tab/>
        <w:t>A direction under this section has effect and shall be complied with notwithstanding any previous direction under this section.</w:t>
      </w:r>
    </w:p>
    <w:p>
      <w:pPr>
        <w:pStyle w:val="Subsection"/>
        <w:spacing w:before="120"/>
        <w:rPr>
          <w:snapToGrid w:val="0"/>
        </w:rPr>
      </w:pPr>
      <w:r>
        <w:rPr>
          <w:snapToGrid w:val="0"/>
        </w:rPr>
        <w:tab/>
        <w:t>(5)</w:t>
      </w:r>
      <w:r>
        <w:rPr>
          <w:snapToGrid w:val="0"/>
        </w:rPr>
        <w:tab/>
        <w:t xml:space="preserve">A direction under this section has effect and shall be complied with notwithstanding anything in the regulations or the </w:t>
      </w:r>
      <w:r>
        <w:rPr>
          <w:i/>
          <w:snapToGrid w:val="0"/>
        </w:rPr>
        <w:t>Off</w:t>
      </w:r>
      <w:r>
        <w:rPr>
          <w:i/>
          <w:snapToGrid w:val="0"/>
        </w:rPr>
        <w:noBreakHyphen/>
        <w:t>shore (Application of Laws) Act 1977</w:t>
      </w:r>
      <w:r>
        <w:rPr>
          <w:snapToGrid w:val="0"/>
        </w:rPr>
        <w:t xml:space="preserve"> </w:t>
      </w:r>
      <w:r>
        <w:rPr>
          <w:snapToGrid w:val="0"/>
          <w:vertAlign w:val="superscript"/>
        </w:rPr>
        <w:t>10</w:t>
      </w:r>
      <w:r>
        <w:rPr>
          <w:snapToGrid w:val="0"/>
        </w:rPr>
        <w:t>.</w:t>
      </w:r>
    </w:p>
    <w:p>
      <w:pPr>
        <w:pStyle w:val="Subsection"/>
        <w:spacing w:before="120"/>
        <w:rPr>
          <w:snapToGrid w:val="0"/>
        </w:rPr>
      </w:pPr>
      <w:r>
        <w:rPr>
          <w:snapToGrid w:val="0"/>
        </w:rPr>
        <w:tab/>
        <w:t>(6)</w:t>
      </w:r>
      <w:r>
        <w:rPr>
          <w:snapToGrid w:val="0"/>
        </w:rPr>
        <w:tab/>
        <w:t>Section 152(2a) and (2b) applies in relation to directions made under this section in like manner as that section applies to the regulations.</w:t>
      </w:r>
    </w:p>
    <w:p>
      <w:pPr>
        <w:pStyle w:val="Subsection"/>
        <w:spacing w:before="120"/>
        <w:rPr>
          <w:snapToGrid w:val="0"/>
        </w:rPr>
      </w:pPr>
      <w:r>
        <w:rPr>
          <w:snapToGrid w:val="0"/>
        </w:rPr>
        <w:tab/>
        <w:t>(7)</w:t>
      </w:r>
      <w:r>
        <w:rPr>
          <w:snapToGrid w:val="0"/>
        </w:rPr>
        <w:tab/>
        <w:t>A person who fails to comply with a direction in force under subsection (1) that applies to the person is guilty of an offence punishable, upon conviction, by a fine not exceeding $10 000.</w:t>
      </w:r>
    </w:p>
    <w:p>
      <w:pPr>
        <w:pStyle w:val="Subsection"/>
        <w:spacing w:before="120"/>
        <w:rPr>
          <w:snapToGrid w:val="0"/>
        </w:rPr>
      </w:pPr>
      <w:r>
        <w:rPr>
          <w:snapToGrid w:val="0"/>
        </w:rPr>
        <w:tab/>
        <w:t>(8)</w:t>
      </w:r>
      <w:r>
        <w:rPr>
          <w:snapToGrid w:val="0"/>
        </w:rPr>
        <w:tab/>
        <w:t>Where — </w:t>
      </w:r>
    </w:p>
    <w:p>
      <w:pPr>
        <w:pStyle w:val="Indenta"/>
        <w:spacing w:before="60"/>
        <w:rPr>
          <w:snapToGrid w:val="0"/>
        </w:rPr>
      </w:pPr>
      <w:r>
        <w:rPr>
          <w:snapToGrid w:val="0"/>
        </w:rPr>
        <w:tab/>
        <w:t>(a)</w:t>
      </w:r>
      <w:r>
        <w:rPr>
          <w:snapToGrid w:val="0"/>
        </w:rPr>
        <w:tab/>
        <w:t>a direction given under this section applies to a registered holder and another person and that other person is prosecuted for an offence against subsection (7) in relation to the direction;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spacing w:before="80"/>
        <w:ind w:left="890" w:hanging="890"/>
      </w:pPr>
      <w:r>
        <w:tab/>
        <w:t>[Section 101 amended by No. 12 of 1990 s.218</w:t>
      </w:r>
      <w:r>
        <w:rPr>
          <w:vertAlign w:val="superscript"/>
        </w:rPr>
        <w:t xml:space="preserve"> 11</w:t>
      </w:r>
      <w:r>
        <w:t xml:space="preserve">.] </w:t>
      </w:r>
    </w:p>
    <w:p>
      <w:pPr>
        <w:pStyle w:val="Heading5"/>
        <w:spacing w:before="180"/>
        <w:rPr>
          <w:snapToGrid w:val="0"/>
        </w:rPr>
      </w:pPr>
      <w:bookmarkStart w:id="661" w:name="_Toc501861791"/>
      <w:bookmarkStart w:id="662" w:name="_Toc113772550"/>
      <w:bookmarkStart w:id="663" w:name="_Toc170190644"/>
      <w:bookmarkStart w:id="664" w:name="_Toc157933619"/>
      <w:r>
        <w:rPr>
          <w:rStyle w:val="CharSectno"/>
        </w:rPr>
        <w:t>102</w:t>
      </w:r>
      <w:r>
        <w:rPr>
          <w:snapToGrid w:val="0"/>
        </w:rPr>
        <w:t>.</w:t>
      </w:r>
      <w:r>
        <w:rPr>
          <w:snapToGrid w:val="0"/>
        </w:rPr>
        <w:tab/>
        <w:t>Compliance with directions</w:t>
      </w:r>
      <w:bookmarkEnd w:id="661"/>
      <w:bookmarkEnd w:id="662"/>
      <w:bookmarkEnd w:id="663"/>
      <w:bookmarkEnd w:id="664"/>
      <w:r>
        <w:rPr>
          <w:snapToGrid w:val="0"/>
        </w:rPr>
        <w:t xml:space="preserve"> </w:t>
      </w:r>
    </w:p>
    <w:p>
      <w:pPr>
        <w:pStyle w:val="Subsection"/>
        <w:spacing w:before="120"/>
        <w:rPr>
          <w:snapToGrid w:val="0"/>
        </w:rPr>
      </w:pPr>
      <w:r>
        <w:rPr>
          <w:snapToGrid w:val="0"/>
        </w:rPr>
        <w:tab/>
        <w:t>(1)</w:t>
      </w:r>
      <w:r>
        <w:rPr>
          <w:snapToGrid w:val="0"/>
        </w:rPr>
        <w:tab/>
        <w:t>Where a person does not comply with a direction given or applicable to the person under this Part or the regulations the Minister may do all or any of the things required by the direction to be done.</w:t>
      </w:r>
    </w:p>
    <w:p>
      <w:pPr>
        <w:pStyle w:val="Subsection"/>
        <w:spacing w:before="120"/>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State and are recoverable in a court of competent jurisdiction.</w:t>
      </w:r>
    </w:p>
    <w:p>
      <w:pPr>
        <w:pStyle w:val="Subsection"/>
        <w:spacing w:before="120"/>
        <w:rPr>
          <w:snapToGrid w:val="0"/>
        </w:rPr>
      </w:pPr>
      <w:r>
        <w:rPr>
          <w:snapToGrid w:val="0"/>
        </w:rPr>
        <w:tab/>
        <w:t>(2a)</w:t>
      </w:r>
      <w:r>
        <w:rPr>
          <w:snapToGrid w:val="0"/>
        </w:rPr>
        <w:tab/>
        <w:t>Where — </w:t>
      </w:r>
    </w:p>
    <w:p>
      <w:pPr>
        <w:pStyle w:val="Indenta"/>
        <w:spacing w:before="60"/>
        <w:rPr>
          <w:snapToGrid w:val="0"/>
          <w:spacing w:val="-2"/>
        </w:rPr>
      </w:pPr>
      <w:r>
        <w:rPr>
          <w:snapToGrid w:val="0"/>
          <w:spacing w:val="-2"/>
        </w:rPr>
        <w:tab/>
        <w:t>(a)</w:t>
      </w:r>
      <w:r>
        <w:rPr>
          <w:snapToGrid w:val="0"/>
          <w:spacing w:val="-2"/>
        </w:rPr>
        <w:tab/>
        <w:t>a direction given under section 101 applies to a permittee, lessee, licensee, pipeline licensee or the holder of a special prospecting authority or access authority and another person and an action under subsection (2) relating to the direction is brought against that other person;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spacing w:before="120"/>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spacing w:before="60"/>
        <w:ind w:left="890" w:hanging="890"/>
      </w:pPr>
      <w:r>
        <w:tab/>
        <w:t xml:space="preserve">[Section 102 amended by No. 12 of 1990 s.219.] </w:t>
      </w:r>
    </w:p>
    <w:p>
      <w:pPr>
        <w:pStyle w:val="Heading5"/>
        <w:spacing w:before="160"/>
        <w:rPr>
          <w:snapToGrid w:val="0"/>
        </w:rPr>
      </w:pPr>
      <w:bookmarkStart w:id="665" w:name="_Toc501861792"/>
      <w:bookmarkStart w:id="666" w:name="_Toc113772551"/>
      <w:bookmarkStart w:id="667" w:name="_Toc170190645"/>
      <w:bookmarkStart w:id="668" w:name="_Toc157933620"/>
      <w:r>
        <w:rPr>
          <w:rStyle w:val="CharSectno"/>
        </w:rPr>
        <w:t>103</w:t>
      </w:r>
      <w:r>
        <w:rPr>
          <w:snapToGrid w:val="0"/>
        </w:rPr>
        <w:t>.</w:t>
      </w:r>
      <w:r>
        <w:rPr>
          <w:snapToGrid w:val="0"/>
        </w:rPr>
        <w:tab/>
        <w:t>Exemption from conditions</w:t>
      </w:r>
      <w:bookmarkEnd w:id="665"/>
      <w:bookmarkEnd w:id="666"/>
      <w:bookmarkEnd w:id="667"/>
      <w:bookmarkEnd w:id="668"/>
      <w:r>
        <w:rPr>
          <w:snapToGrid w:val="0"/>
        </w:rPr>
        <w:t xml:space="preserve"> </w:t>
      </w:r>
    </w:p>
    <w:p>
      <w:pPr>
        <w:pStyle w:val="Subsection"/>
        <w:spacing w:before="12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a permit, lease, licence or pipeline licence is, under this Part, to be deemed to continue in force until the Minister grants, or refuses to grant, the renewal of the permit, lease, licence or pipeline licence;</w:t>
      </w:r>
    </w:p>
    <w:p>
      <w:pPr>
        <w:pStyle w:val="Indenta"/>
        <w:spacing w:before="100"/>
        <w:rPr>
          <w:snapToGrid w:val="0"/>
        </w:rPr>
      </w:pPr>
      <w:r>
        <w:rPr>
          <w:snapToGrid w:val="0"/>
        </w:rPr>
        <w:tab/>
        <w:t>(b)</w:t>
      </w:r>
      <w:r>
        <w:rPr>
          <w:snapToGrid w:val="0"/>
        </w:rPr>
        <w:tab/>
        <w:t>a licence is varied under section 45;</w:t>
      </w:r>
    </w:p>
    <w:p>
      <w:pPr>
        <w:pStyle w:val="Indenta"/>
        <w:spacing w:before="100"/>
        <w:rPr>
          <w:snapToGrid w:val="0"/>
        </w:rPr>
      </w:pPr>
      <w:r>
        <w:rPr>
          <w:snapToGrid w:val="0"/>
        </w:rPr>
        <w:tab/>
        <w:t>(c)</w:t>
      </w:r>
      <w:r>
        <w:rPr>
          <w:snapToGrid w:val="0"/>
        </w:rPr>
        <w:tab/>
        <w:t>a licensee enters into an agreement under section 59 or a direction is given to a licensee under that section;</w:t>
      </w:r>
    </w:p>
    <w:p>
      <w:pPr>
        <w:pStyle w:val="Indenta"/>
        <w:spacing w:before="100"/>
        <w:rPr>
          <w:snapToGrid w:val="0"/>
        </w:rPr>
      </w:pPr>
      <w:r>
        <w:rPr>
          <w:snapToGrid w:val="0"/>
        </w:rPr>
        <w:tab/>
        <w:t>(d)</w:t>
      </w:r>
      <w:r>
        <w:rPr>
          <w:snapToGrid w:val="0"/>
        </w:rPr>
        <w:tab/>
        <w:t>a permit, lease or licence is partly cancelled, partly determined or surrendered as to one or more but not all of the blocks in respect of which it is in force;</w:t>
      </w:r>
    </w:p>
    <w:p>
      <w:pPr>
        <w:pStyle w:val="Indenta"/>
        <w:spacing w:before="100"/>
        <w:rPr>
          <w:snapToGrid w:val="0"/>
        </w:rPr>
      </w:pPr>
      <w:r>
        <w:rPr>
          <w:snapToGrid w:val="0"/>
        </w:rPr>
        <w:tab/>
        <w:t>(e)</w:t>
      </w:r>
      <w:r>
        <w:rPr>
          <w:snapToGrid w:val="0"/>
        </w:rPr>
        <w:tab/>
        <w:t>a pipeline licence is varied under section 71 or 72;</w:t>
      </w:r>
    </w:p>
    <w:p>
      <w:pPr>
        <w:pStyle w:val="Indenta"/>
        <w:spacing w:before="100"/>
        <w:rPr>
          <w:snapToGrid w:val="0"/>
        </w:rPr>
      </w:pPr>
      <w:r>
        <w:rPr>
          <w:snapToGrid w:val="0"/>
        </w:rPr>
        <w:tab/>
        <w:t>(f)</w:t>
      </w:r>
      <w:r>
        <w:rPr>
          <w:snapToGrid w:val="0"/>
        </w:rPr>
        <w:tab/>
        <w:t>a direction is given to a pipeline licensee under section 73;</w:t>
      </w:r>
    </w:p>
    <w:p>
      <w:pPr>
        <w:pStyle w:val="Indenta"/>
        <w:spacing w:before="100"/>
        <w:rPr>
          <w:snapToGrid w:val="0"/>
        </w:rPr>
      </w:pPr>
      <w:r>
        <w:rPr>
          <w:snapToGrid w:val="0"/>
        </w:rPr>
        <w:tab/>
        <w:t>(g)</w:t>
      </w:r>
      <w:r>
        <w:rPr>
          <w:snapToGrid w:val="0"/>
        </w:rPr>
        <w:tab/>
        <w:t>a pipeline licence is partly cancelled;</w:t>
      </w:r>
    </w:p>
    <w:p>
      <w:pPr>
        <w:pStyle w:val="Indenta"/>
        <w:spacing w:before="100"/>
        <w:rPr>
          <w:snapToGrid w:val="0"/>
        </w:rPr>
      </w:pPr>
      <w:r>
        <w:rPr>
          <w:snapToGrid w:val="0"/>
        </w:rPr>
        <w:tab/>
        <w:t>(h)</w:t>
      </w:r>
      <w:r>
        <w:rPr>
          <w:snapToGrid w:val="0"/>
        </w:rPr>
        <w:tab/>
        <w:t>an access authority is granted in respect of a block the subject of a permit, lease or licence, or an access authority as in force in respect of such a block is varied;</w:t>
      </w:r>
    </w:p>
    <w:p>
      <w:pPr>
        <w:pStyle w:val="Indenta"/>
        <w:spacing w:before="100"/>
        <w:rPr>
          <w:snapToGrid w:val="0"/>
        </w:rPr>
      </w:pPr>
      <w:r>
        <w:rPr>
          <w:snapToGrid w:val="0"/>
        </w:rPr>
        <w:tab/>
        <w:t>(i)</w:t>
      </w:r>
      <w:r>
        <w:rPr>
          <w:snapToGrid w:val="0"/>
        </w:rPr>
        <w:tab/>
        <w:t>a permittee, lessee, licensee, pipeline licensee or the holder of a special prospecting authority or access authority applies, by instrument in writing served on the Minister — </w:t>
      </w:r>
    </w:p>
    <w:p>
      <w:pPr>
        <w:pStyle w:val="Indenti"/>
        <w:spacing w:before="100"/>
        <w:rPr>
          <w:snapToGrid w:val="0"/>
        </w:rPr>
      </w:pPr>
      <w:r>
        <w:rPr>
          <w:snapToGrid w:val="0"/>
        </w:rPr>
        <w:tab/>
        <w:t>(i)</w:t>
      </w:r>
      <w:r>
        <w:rPr>
          <w:snapToGrid w:val="0"/>
        </w:rPr>
        <w:tab/>
        <w:t>for a variation or suspension of; or</w:t>
      </w:r>
    </w:p>
    <w:p>
      <w:pPr>
        <w:pStyle w:val="Indenti"/>
        <w:keepNext/>
        <w:rPr>
          <w:snapToGrid w:val="0"/>
        </w:rPr>
      </w:pPr>
      <w:r>
        <w:rPr>
          <w:snapToGrid w:val="0"/>
        </w:rPr>
        <w:tab/>
        <w:t>(ii)</w:t>
      </w:r>
      <w:r>
        <w:rPr>
          <w:snapToGrid w:val="0"/>
        </w:rPr>
        <w:tab/>
        <w:t>for exemption from compliance with,</w:t>
      </w:r>
    </w:p>
    <w:p>
      <w:pPr>
        <w:pStyle w:val="Indenta"/>
        <w:spacing w:before="100"/>
        <w:rPr>
          <w:snapToGrid w:val="0"/>
        </w:rPr>
      </w:pPr>
      <w:r>
        <w:rPr>
          <w:snapToGrid w:val="0"/>
        </w:rPr>
        <w:tab/>
      </w:r>
      <w:r>
        <w:rPr>
          <w:snapToGrid w:val="0"/>
        </w:rPr>
        <w:tab/>
        <w:t>any of the conditions to which the permit, lease, licence, pipeline licence, special prospecting authority or access authority is subject; or</w:t>
      </w:r>
    </w:p>
    <w:p>
      <w:pPr>
        <w:pStyle w:val="Indenta"/>
        <w:spacing w:before="100"/>
        <w:rPr>
          <w:snapToGrid w:val="0"/>
        </w:rPr>
      </w:pPr>
      <w:r>
        <w:rPr>
          <w:snapToGrid w:val="0"/>
        </w:rPr>
        <w:tab/>
        <w:t>(j)</w:t>
      </w:r>
      <w:r>
        <w:rPr>
          <w:snapToGrid w:val="0"/>
        </w:rPr>
        <w:tab/>
        <w:t>the Minister under this Part or the regulations gives a direction or consent to a permittee, lessee, licensee, pipeline licensee or the holder of a special prospecting authority or access authority,</w:t>
      </w:r>
    </w:p>
    <w:p>
      <w:pPr>
        <w:pStyle w:val="Subsection"/>
        <w:spacing w:before="180"/>
        <w:rPr>
          <w:snapToGrid w:val="0"/>
        </w:rPr>
      </w:pPr>
      <w:r>
        <w:rPr>
          <w:snapToGrid w:val="0"/>
        </w:rPr>
        <w:tab/>
      </w:r>
      <w:r>
        <w:rPr>
          <w:snapToGrid w:val="0"/>
        </w:rPr>
        <w:tab/>
        <w:t>the Minister may, at any time, by instrument in writing served on the permittee, lessee, licensee, pipeline licensee or the holder of the special prospecting authority or access authority — </w:t>
      </w:r>
    </w:p>
    <w:p>
      <w:pPr>
        <w:pStyle w:val="Indenta"/>
        <w:spacing w:before="100"/>
        <w:rPr>
          <w:snapToGrid w:val="0"/>
        </w:rPr>
      </w:pPr>
      <w:r>
        <w:rPr>
          <w:snapToGrid w:val="0"/>
        </w:rPr>
        <w:tab/>
        <w:t>(k)</w:t>
      </w:r>
      <w:r>
        <w:rPr>
          <w:snapToGrid w:val="0"/>
        </w:rPr>
        <w:tab/>
        <w:t>vary or suspend; or</w:t>
      </w:r>
    </w:p>
    <w:p>
      <w:pPr>
        <w:pStyle w:val="Indenta"/>
        <w:rPr>
          <w:snapToGrid w:val="0"/>
        </w:rPr>
      </w:pPr>
      <w:r>
        <w:rPr>
          <w:snapToGrid w:val="0"/>
        </w:rPr>
        <w:tab/>
        <w:t>(l)</w:t>
      </w:r>
      <w:r>
        <w:rPr>
          <w:snapToGrid w:val="0"/>
        </w:rPr>
        <w:tab/>
        <w:t>exempt the permittee, lessee, licensee, pipeline licensee or the holder of the special prospecting authority or access authority from compliance with,</w:t>
      </w:r>
    </w:p>
    <w:p>
      <w:pPr>
        <w:pStyle w:val="Subsection"/>
        <w:rPr>
          <w:snapToGrid w:val="0"/>
        </w:rPr>
      </w:pPr>
      <w:r>
        <w:rPr>
          <w:snapToGrid w:val="0"/>
        </w:rPr>
        <w:tab/>
      </w:r>
      <w:r>
        <w:rPr>
          <w:snapToGrid w:val="0"/>
        </w:rPr>
        <w:tab/>
        <w:t>any of the conditions to which the permit, lease, licence, pipeline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Subsection (1) does not authorize the making of an instrument to the extent that it would affect the term of a permit, lease, licence or pipeline licence.</w:t>
      </w:r>
    </w:p>
    <w:p>
      <w:pPr>
        <w:pStyle w:val="Subsection"/>
        <w:rPr>
          <w:snapToGrid w:val="0"/>
        </w:rPr>
      </w:pPr>
      <w:r>
        <w:rPr>
          <w:snapToGrid w:val="0"/>
        </w:rPr>
        <w:tab/>
        <w:t>(3)</w:t>
      </w:r>
      <w:r>
        <w:rPr>
          <w:snapToGrid w:val="0"/>
        </w:rPr>
        <w:tab/>
        <w:t>Notwithstanding subsection (2), where in pursuance of subsection (1) the Minister suspends, or exempts the permittee or lessee from compliance with, any of the conditions to which a permit or lease is subject, the Minister may, if he considers that circumstances make it reasonable to do so, in the instrument of suspension or exemption or by a later instrument in writing served on the permittee or lessee, extend the term of the permit or lease by a period not exceeding the period of suspension or exemption.</w:t>
      </w:r>
    </w:p>
    <w:p>
      <w:pPr>
        <w:pStyle w:val="Footnotesection"/>
      </w:pPr>
      <w:r>
        <w:tab/>
        <w:t xml:space="preserve">[Section 103 amended by No. 12 of 1990 s.220.] </w:t>
      </w:r>
    </w:p>
    <w:p>
      <w:pPr>
        <w:pStyle w:val="Heading5"/>
        <w:rPr>
          <w:snapToGrid w:val="0"/>
        </w:rPr>
      </w:pPr>
      <w:bookmarkStart w:id="669" w:name="_Toc501861793"/>
      <w:bookmarkStart w:id="670" w:name="_Toc113772552"/>
      <w:bookmarkStart w:id="671" w:name="_Toc170190646"/>
      <w:bookmarkStart w:id="672" w:name="_Toc157933621"/>
      <w:r>
        <w:rPr>
          <w:rStyle w:val="CharSectno"/>
        </w:rPr>
        <w:t>104</w:t>
      </w:r>
      <w:r>
        <w:rPr>
          <w:snapToGrid w:val="0"/>
        </w:rPr>
        <w:t>.</w:t>
      </w:r>
      <w:r>
        <w:rPr>
          <w:snapToGrid w:val="0"/>
        </w:rPr>
        <w:tab/>
        <w:t>Surrender of permits, etc.</w:t>
      </w:r>
      <w:bookmarkEnd w:id="669"/>
      <w:bookmarkEnd w:id="670"/>
      <w:bookmarkEnd w:id="671"/>
      <w:bookmarkEnd w:id="672"/>
      <w:r>
        <w:rPr>
          <w:snapToGrid w:val="0"/>
        </w:rPr>
        <w:t xml:space="preserve"> </w:t>
      </w:r>
    </w:p>
    <w:p>
      <w:pPr>
        <w:pStyle w:val="Subsection"/>
        <w:rPr>
          <w:snapToGrid w:val="0"/>
        </w:rPr>
      </w:pPr>
      <w:r>
        <w:rPr>
          <w:snapToGrid w:val="0"/>
        </w:rPr>
        <w:tab/>
        <w:t>(1)</w:t>
      </w:r>
      <w:r>
        <w:rPr>
          <w:snapToGrid w:val="0"/>
        </w:rPr>
        <w:tab/>
        <w:t>The registered holder of an instrument, being a permit, lease, licence or pipeline licence, may, at any time, by application in writing served on the Minister, apply for consent to surrender the instrument — </w:t>
      </w:r>
    </w:p>
    <w:p>
      <w:pPr>
        <w:pStyle w:val="Indenta"/>
        <w:rPr>
          <w:snapToGrid w:val="0"/>
        </w:rPr>
      </w:pPr>
      <w:r>
        <w:rPr>
          <w:snapToGrid w:val="0"/>
        </w:rPr>
        <w:tab/>
        <w:t>(a)</w:t>
      </w:r>
      <w:r>
        <w:rPr>
          <w:snapToGrid w:val="0"/>
        </w:rPr>
        <w:tab/>
        <w:t>in the case of a permit or licence, as to all or some of the blocks in respect of which it is in force;</w:t>
      </w:r>
    </w:p>
    <w:p>
      <w:pPr>
        <w:pStyle w:val="Indenta"/>
        <w:rPr>
          <w:snapToGrid w:val="0"/>
        </w:rPr>
      </w:pPr>
      <w:r>
        <w:rPr>
          <w:snapToGrid w:val="0"/>
        </w:rPr>
        <w:tab/>
        <w:t>(aa)</w:t>
      </w:r>
      <w:r>
        <w:rPr>
          <w:snapToGrid w:val="0"/>
        </w:rPr>
        <w:tab/>
        <w:t>in the case of a lease, as to all of the blocks in respect of which it is in force; or</w:t>
      </w:r>
    </w:p>
    <w:p>
      <w:pPr>
        <w:pStyle w:val="Indenta"/>
        <w:rPr>
          <w:snapToGrid w:val="0"/>
        </w:rPr>
      </w:pPr>
      <w:r>
        <w:rPr>
          <w:snapToGrid w:val="0"/>
        </w:rPr>
        <w:tab/>
        <w:t>(b)</w:t>
      </w:r>
      <w:r>
        <w:rPr>
          <w:snapToGrid w:val="0"/>
        </w:rPr>
        <w:tab/>
        <w:t>in the case of a pipeline licence, as to the whole or a part of the pipeline in respect of which it is in force.</w:t>
      </w:r>
    </w:p>
    <w:p>
      <w:pPr>
        <w:pStyle w:val="Subsection"/>
        <w:rPr>
          <w:snapToGrid w:val="0"/>
        </w:rPr>
      </w:pPr>
      <w:r>
        <w:rPr>
          <w:snapToGrid w:val="0"/>
        </w:rPr>
        <w:tab/>
        <w:t>(2)</w:t>
      </w:r>
      <w:r>
        <w:rPr>
          <w:snapToGrid w:val="0"/>
        </w:rPr>
        <w:tab/>
        <w:t>Subject to subsection (3), the Minister shall not give his consent to a surrender of an instrument under subsection (1) unless the registered holder — </w:t>
      </w:r>
    </w:p>
    <w:p>
      <w:pPr>
        <w:pStyle w:val="Indenta"/>
        <w:spacing w:before="100"/>
        <w:rPr>
          <w:snapToGrid w:val="0"/>
        </w:rPr>
      </w:pPr>
      <w:r>
        <w:rPr>
          <w:snapToGrid w:val="0"/>
        </w:rPr>
        <w:tab/>
        <w:t>(a)</w:t>
      </w:r>
      <w:r>
        <w:rPr>
          <w:snapToGrid w:val="0"/>
        </w:rPr>
        <w:tab/>
        <w:t>has paid all fees and amounts payable by him under this Act or the Registration Fees Act, or has made arrangements that are satisfactory to the Minister for the payment of those fees and amounts;</w:t>
      </w:r>
    </w:p>
    <w:p>
      <w:pPr>
        <w:pStyle w:val="Indenta"/>
        <w:spacing w:before="100"/>
        <w:rPr>
          <w:snapToGrid w:val="0"/>
        </w:rPr>
      </w:pPr>
      <w:r>
        <w:rPr>
          <w:snapToGrid w:val="0"/>
        </w:rPr>
        <w:tab/>
        <w:t>(b)</w:t>
      </w:r>
      <w:r>
        <w:rPr>
          <w:snapToGrid w:val="0"/>
        </w:rPr>
        <w:tab/>
        <w:t>has complied with the conditions to which the instrument is subject and with the provisions of this Part and of the regulations;</w:t>
      </w:r>
    </w:p>
    <w:p>
      <w:pPr>
        <w:pStyle w:val="Indenta"/>
        <w:spacing w:before="100"/>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authorized by the instrument, or has made arrangements that are satisfactory to the Minister with respect to that property;</w:t>
      </w:r>
    </w:p>
    <w:p>
      <w:pPr>
        <w:pStyle w:val="Indenta"/>
        <w:spacing w:before="100"/>
        <w:rPr>
          <w:snapToGrid w:val="0"/>
        </w:rPr>
      </w:pPr>
      <w:r>
        <w:rPr>
          <w:snapToGrid w:val="0"/>
        </w:rPr>
        <w:tab/>
        <w:t>(d)</w:t>
      </w:r>
      <w:r>
        <w:rPr>
          <w:snapToGrid w:val="0"/>
        </w:rPr>
        <w:tab/>
        <w:t>has, to the satisfaction of the Minister, plugged or closed off all wells made in that area by any person engaged or concerned in the operations authorized by the instrument;</w:t>
      </w:r>
    </w:p>
    <w:p>
      <w:pPr>
        <w:pStyle w:val="Indenta"/>
        <w:spacing w:before="100"/>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100"/>
        <w:rPr>
          <w:snapToGrid w:val="0"/>
        </w:rPr>
      </w:pPr>
      <w:r>
        <w:rPr>
          <w:snapToGrid w:val="0"/>
        </w:rPr>
        <w:tab/>
        <w:t>(f)</w:t>
      </w:r>
      <w:r>
        <w:rPr>
          <w:snapToGrid w:val="0"/>
        </w:rPr>
        <w:tab/>
        <w:t>has, to the satisfaction of the Minister, made good any damage to the sea</w:t>
      </w:r>
      <w:r>
        <w:rPr>
          <w:snapToGrid w:val="0"/>
        </w:rPr>
        <w:noBreakHyphen/>
        <w:t>bed or subsoil in that area caused by any person engaged or concerned in the operations authorized by the instrument,</w:t>
      </w:r>
    </w:p>
    <w:p>
      <w:pPr>
        <w:pStyle w:val="Subsection"/>
        <w:spacing w:before="180"/>
        <w:rPr>
          <w:snapToGrid w:val="0"/>
        </w:rPr>
      </w:pPr>
      <w:r>
        <w:rPr>
          <w:snapToGrid w:val="0"/>
        </w:rPr>
        <w:tab/>
      </w:r>
      <w:r>
        <w:rPr>
          <w:snapToGrid w:val="0"/>
        </w:rPr>
        <w:tab/>
        <w:t>but if the registered holder has complied with those requirements the Minister shall not unreasonably refuse to consent to the surrender.</w:t>
      </w:r>
    </w:p>
    <w:p>
      <w:pPr>
        <w:pStyle w:val="Subsection"/>
        <w:rPr>
          <w:snapToGrid w:val="0"/>
        </w:rPr>
      </w:pPr>
      <w:r>
        <w:rPr>
          <w:snapToGrid w:val="0"/>
        </w:rPr>
        <w:tab/>
        <w:t>(3)</w:t>
      </w:r>
      <w:r>
        <w:rPr>
          <w:snapToGrid w:val="0"/>
        </w:rPr>
        <w:tab/>
        <w:t>Where the registered holder of an instrument, being a permit, lease, licence or pipeline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8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80"/>
        <w:rPr>
          <w:snapToGrid w:val="0"/>
        </w:rPr>
      </w:pPr>
      <w:r>
        <w:rPr>
          <w:snapToGrid w:val="0"/>
        </w:rPr>
        <w:tab/>
        <w:t>(5)</w:t>
      </w:r>
      <w:r>
        <w:rPr>
          <w:snapToGrid w:val="0"/>
        </w:rPr>
        <w:tab/>
        <w:t xml:space="preserve">In this section, </w:t>
      </w:r>
      <w:r>
        <w:rPr>
          <w:b/>
          <w:snapToGrid w:val="0"/>
        </w:rPr>
        <w:t>“</w:t>
      </w:r>
      <w:r>
        <w:rPr>
          <w:rStyle w:val="CharDefText"/>
        </w:rPr>
        <w:t>the area to which the surrender relates</w:t>
      </w:r>
      <w:r>
        <w:rPr>
          <w:b/>
          <w:snapToGrid w:val="0"/>
        </w:rPr>
        <w:t>”</w:t>
      </w:r>
      <w:r>
        <w:rPr>
          <w:snapToGrid w:val="0"/>
        </w:rPr>
        <w:t xml:space="preserve"> means — </w:t>
      </w:r>
    </w:p>
    <w:p>
      <w:pPr>
        <w:pStyle w:val="Indenta"/>
        <w:spacing w:before="100"/>
        <w:rPr>
          <w:snapToGrid w:val="0"/>
        </w:rPr>
      </w:pPr>
      <w:r>
        <w:rPr>
          <w:snapToGrid w:val="0"/>
        </w:rPr>
        <w:tab/>
        <w:t>(a)</w:t>
      </w:r>
      <w:r>
        <w:rPr>
          <w:snapToGrid w:val="0"/>
        </w:rPr>
        <w:tab/>
        <w:t>in relation to a surrender of a permit, lease or licence, the area constituted by the blocks as to which the permit, lease or licence is proposed to be surrendered; and</w:t>
      </w:r>
    </w:p>
    <w:p>
      <w:pPr>
        <w:pStyle w:val="Indenta"/>
        <w:spacing w:before="100"/>
        <w:rPr>
          <w:snapToGrid w:val="0"/>
        </w:rPr>
      </w:pPr>
      <w:r>
        <w:rPr>
          <w:snapToGrid w:val="0"/>
        </w:rPr>
        <w:tab/>
        <w:t>(b)</w:t>
      </w:r>
      <w:r>
        <w:rPr>
          <w:snapToGrid w:val="0"/>
        </w:rPr>
        <w:tab/>
        <w:t>in relation to a surrender of a pipeline licence, the part of the adjacent area in which the pipeline, or the part of the pipeline, as to which the pipeline licence is proposed to be surrendered, is constructed.</w:t>
      </w:r>
    </w:p>
    <w:p>
      <w:pPr>
        <w:pStyle w:val="Footnotesection"/>
        <w:spacing w:before="160"/>
        <w:ind w:left="890" w:hanging="890"/>
      </w:pPr>
      <w:r>
        <w:tab/>
        <w:t xml:space="preserve">[Section 104 amended by No. 12 of 1990 s.221.] </w:t>
      </w:r>
    </w:p>
    <w:p>
      <w:pPr>
        <w:pStyle w:val="Heading5"/>
        <w:spacing w:before="240"/>
        <w:rPr>
          <w:snapToGrid w:val="0"/>
        </w:rPr>
      </w:pPr>
      <w:bookmarkStart w:id="673" w:name="_Toc501861794"/>
      <w:bookmarkStart w:id="674" w:name="_Toc113772553"/>
      <w:bookmarkStart w:id="675" w:name="_Toc170190647"/>
      <w:bookmarkStart w:id="676" w:name="_Toc157933622"/>
      <w:r>
        <w:rPr>
          <w:rStyle w:val="CharSectno"/>
        </w:rPr>
        <w:t>105</w:t>
      </w:r>
      <w:r>
        <w:rPr>
          <w:snapToGrid w:val="0"/>
        </w:rPr>
        <w:t>.</w:t>
      </w:r>
      <w:r>
        <w:rPr>
          <w:snapToGrid w:val="0"/>
        </w:rPr>
        <w:tab/>
        <w:t>Cancellation of permits, etc.</w:t>
      </w:r>
      <w:bookmarkEnd w:id="673"/>
      <w:bookmarkEnd w:id="674"/>
      <w:bookmarkEnd w:id="675"/>
      <w:bookmarkEnd w:id="676"/>
      <w:r>
        <w:rPr>
          <w:snapToGrid w:val="0"/>
        </w:rPr>
        <w:t xml:space="preserve"> </w:t>
      </w:r>
    </w:p>
    <w:p>
      <w:pPr>
        <w:pStyle w:val="Subsection"/>
        <w:spacing w:before="180"/>
        <w:rPr>
          <w:snapToGrid w:val="0"/>
        </w:rPr>
      </w:pPr>
      <w:r>
        <w:rPr>
          <w:snapToGrid w:val="0"/>
        </w:rPr>
        <w:tab/>
        <w:t>(1)</w:t>
      </w:r>
      <w:r>
        <w:rPr>
          <w:snapToGrid w:val="0"/>
        </w:rPr>
        <w:tab/>
        <w:t>Where a permittee, lessee, licensee or pipeline licensee — </w:t>
      </w:r>
    </w:p>
    <w:p>
      <w:pPr>
        <w:pStyle w:val="Indenta"/>
        <w:spacing w:before="100"/>
        <w:rPr>
          <w:snapToGrid w:val="0"/>
        </w:rPr>
      </w:pPr>
      <w:r>
        <w:rPr>
          <w:snapToGrid w:val="0"/>
        </w:rPr>
        <w:tab/>
        <w:t>(a)</w:t>
      </w:r>
      <w:r>
        <w:rPr>
          <w:snapToGrid w:val="0"/>
        </w:rPr>
        <w:tab/>
        <w:t>has not complied with a condition to which the permit, lease, licence or pipeline licence is subject;</w:t>
      </w:r>
    </w:p>
    <w:p>
      <w:pPr>
        <w:pStyle w:val="Indenta"/>
        <w:spacing w:before="100"/>
        <w:rPr>
          <w:snapToGrid w:val="0"/>
        </w:rPr>
      </w:pPr>
      <w:r>
        <w:rPr>
          <w:snapToGrid w:val="0"/>
        </w:rPr>
        <w:tab/>
        <w:t>(b)</w:t>
      </w:r>
      <w:r>
        <w:rPr>
          <w:snapToGrid w:val="0"/>
        </w:rPr>
        <w:tab/>
        <w:t>has not complied with a direction given to him under this Part by the Minister;</w:t>
      </w:r>
    </w:p>
    <w:p>
      <w:pPr>
        <w:pStyle w:val="Indenta"/>
        <w:spacing w:before="100"/>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or the Registration Fees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permittee, lessee, licensee or pipeline licensee, as the case may be — </w:t>
      </w:r>
    </w:p>
    <w:p>
      <w:pPr>
        <w:pStyle w:val="Indenta"/>
        <w:spacing w:before="100"/>
        <w:rPr>
          <w:snapToGrid w:val="0"/>
        </w:rPr>
      </w:pPr>
      <w:r>
        <w:rPr>
          <w:snapToGrid w:val="0"/>
        </w:rPr>
        <w:tab/>
        <w:t>(e)</w:t>
      </w:r>
      <w:r>
        <w:rPr>
          <w:snapToGrid w:val="0"/>
        </w:rPr>
        <w:tab/>
        <w:t>in the case of a permit or licence, cancel the permit or licence as to all or some of the blocks in respect of which it is in force;</w:t>
      </w:r>
    </w:p>
    <w:p>
      <w:pPr>
        <w:pStyle w:val="Indenta"/>
        <w:spacing w:before="100"/>
        <w:rPr>
          <w:snapToGrid w:val="0"/>
        </w:rPr>
      </w:pPr>
      <w:r>
        <w:rPr>
          <w:snapToGrid w:val="0"/>
        </w:rPr>
        <w:tab/>
        <w:t>(ea)</w:t>
      </w:r>
      <w:r>
        <w:rPr>
          <w:snapToGrid w:val="0"/>
        </w:rPr>
        <w:tab/>
        <w:t>in the case of a lease, cancel the lease as to all of the blocks in respect of which it is in force; or</w:t>
      </w:r>
    </w:p>
    <w:p>
      <w:pPr>
        <w:pStyle w:val="Indenta"/>
        <w:spacing w:before="100"/>
        <w:rPr>
          <w:snapToGrid w:val="0"/>
        </w:rPr>
      </w:pPr>
      <w:r>
        <w:rPr>
          <w:snapToGrid w:val="0"/>
        </w:rPr>
        <w:tab/>
        <w:t>(f)</w:t>
      </w:r>
      <w:r>
        <w:rPr>
          <w:snapToGrid w:val="0"/>
        </w:rPr>
        <w:tab/>
        <w:t>in the case of a pipeline licence, cancel the pipeline licence as to the whole or a part of the pipeline in respect of which it is in force.</w:t>
      </w:r>
    </w:p>
    <w:p>
      <w:pPr>
        <w:pStyle w:val="Subsection"/>
        <w:rPr>
          <w:snapToGrid w:val="0"/>
        </w:rPr>
      </w:pPr>
      <w:r>
        <w:rPr>
          <w:snapToGrid w:val="0"/>
        </w:rPr>
        <w:tab/>
        <w:t>(2)</w:t>
      </w:r>
      <w:r>
        <w:rPr>
          <w:snapToGrid w:val="0"/>
        </w:rPr>
        <w:tab/>
        <w:t xml:space="preserve">The </w:t>
      </w:r>
      <w:r>
        <w:t>Minister</w:t>
      </w:r>
      <w:r>
        <w:rPr>
          <w:snapToGrid w:val="0"/>
        </w:rPr>
        <w:t xml:space="preserve"> shall not, under subsection (1), cancel a permit, licence or pipeline licence as to all or some of the blocks, or as to the whole or a part of the pipeline in respect of which it is in force, or cancel a lease as to all of the block in respect of which it is in force, on a ground referred to in that subsection unless —</w:t>
      </w:r>
    </w:p>
    <w:p>
      <w:pPr>
        <w:pStyle w:val="Indenta"/>
        <w:spacing w:before="100"/>
        <w:rPr>
          <w:snapToGrid w:val="0"/>
        </w:rPr>
      </w:pPr>
      <w:r>
        <w:rPr>
          <w:snapToGrid w:val="0"/>
        </w:rPr>
        <w:tab/>
        <w:t>(a)</w:t>
      </w:r>
      <w:r>
        <w:rPr>
          <w:snapToGrid w:val="0"/>
        </w:rPr>
        <w:tab/>
        <w:t>he has, by instrument in writing served on the permittee, lessee, licensee or pipeline licensee, as the case may be, given not less than one month’s notice of his intention so to cancel the permit, lease, licence or pipeline licence on that ground;</w:t>
      </w:r>
    </w:p>
    <w:p>
      <w:pPr>
        <w:pStyle w:val="Indenta"/>
        <w:spacing w:before="100"/>
        <w:rPr>
          <w:snapToGrid w:val="0"/>
        </w:rPr>
      </w:pPr>
      <w:r>
        <w:rPr>
          <w:snapToGrid w:val="0"/>
        </w:rPr>
        <w:tab/>
        <w:t>(b)</w:t>
      </w:r>
      <w:r>
        <w:rPr>
          <w:snapToGrid w:val="0"/>
        </w:rPr>
        <w:tab/>
        <w:t>he has served a copy of the instrument on such other persons, if any, as he thinks fit;</w:t>
      </w:r>
    </w:p>
    <w:p>
      <w:pPr>
        <w:pStyle w:val="Indenta"/>
        <w:spacing w:before="100"/>
        <w:rPr>
          <w:snapToGrid w:val="0"/>
        </w:rPr>
      </w:pPr>
      <w:r>
        <w:rPr>
          <w:snapToGrid w:val="0"/>
        </w:rPr>
        <w:tab/>
        <w:t>(c)</w:t>
      </w:r>
      <w:r>
        <w:rPr>
          <w:snapToGrid w:val="0"/>
        </w:rPr>
        <w:tab/>
        <w:t>he has, in the instrument, specified a date on or before which the permittee, lessee, licensee or pipeline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 </w:t>
      </w:r>
    </w:p>
    <w:p>
      <w:pPr>
        <w:pStyle w:val="Indenti"/>
        <w:rPr>
          <w:snapToGrid w:val="0"/>
        </w:rPr>
      </w:pPr>
      <w:r>
        <w:rPr>
          <w:snapToGrid w:val="0"/>
        </w:rPr>
        <w:tab/>
        <w:t>(i)</w:t>
      </w:r>
      <w:r>
        <w:rPr>
          <w:snapToGrid w:val="0"/>
        </w:rPr>
        <w:tab/>
        <w:t>any action taken by the permittee, lessee, licensee or pipeline licensee, as the case may be, to remove that ground or to prevent the recurrence of similar grounds; and</w:t>
      </w:r>
    </w:p>
    <w:p>
      <w:pPr>
        <w:pStyle w:val="Indenti"/>
        <w:rPr>
          <w:snapToGrid w:val="0"/>
          <w:spacing w:val="-2"/>
        </w:rPr>
      </w:pPr>
      <w:r>
        <w:rPr>
          <w:snapToGrid w:val="0"/>
          <w:spacing w:val="-2"/>
        </w:rPr>
        <w:tab/>
        <w:t>(ii)</w:t>
      </w:r>
      <w:r>
        <w:rPr>
          <w:snapToGrid w:val="0"/>
          <w:spacing w:val="-2"/>
        </w:rPr>
        <w:tab/>
        <w:t>any matters so submitted to him on or before the specified date by the permittee, lessee, licensee or pipeline licensee or by a person on whom a copy of the first</w:t>
      </w:r>
      <w:r>
        <w:rPr>
          <w:snapToGrid w:val="0"/>
          <w:spacing w:val="-2"/>
        </w:rPr>
        <w:noBreakHyphen/>
        <w:t>mentioned instrument has been served.</w:t>
      </w:r>
    </w:p>
    <w:p>
      <w:pPr>
        <w:pStyle w:val="Footnotesection"/>
      </w:pPr>
      <w:r>
        <w:tab/>
        <w:t xml:space="preserve">[Section 105 amended by No. 12 of 1990 s.222.] </w:t>
      </w:r>
    </w:p>
    <w:p>
      <w:pPr>
        <w:pStyle w:val="Heading5"/>
        <w:spacing w:before="180"/>
        <w:rPr>
          <w:snapToGrid w:val="0"/>
        </w:rPr>
      </w:pPr>
      <w:bookmarkStart w:id="677" w:name="_Toc501861795"/>
      <w:bookmarkStart w:id="678" w:name="_Toc113772554"/>
      <w:bookmarkStart w:id="679" w:name="_Toc170190648"/>
      <w:bookmarkStart w:id="680" w:name="_Toc157933623"/>
      <w:r>
        <w:rPr>
          <w:rStyle w:val="CharSectno"/>
        </w:rPr>
        <w:t>106</w:t>
      </w:r>
      <w:r>
        <w:rPr>
          <w:snapToGrid w:val="0"/>
        </w:rPr>
        <w:t>.</w:t>
      </w:r>
      <w:r>
        <w:rPr>
          <w:snapToGrid w:val="0"/>
        </w:rPr>
        <w:tab/>
        <w:t>Cancellation of permit, etc., not affected by other provisions</w:t>
      </w:r>
      <w:bookmarkEnd w:id="677"/>
      <w:bookmarkEnd w:id="678"/>
      <w:bookmarkEnd w:id="679"/>
      <w:bookmarkEnd w:id="680"/>
      <w:r>
        <w:rPr>
          <w:snapToGrid w:val="0"/>
        </w:rPr>
        <w:t xml:space="preserve"> </w:t>
      </w:r>
    </w:p>
    <w:p>
      <w:pPr>
        <w:pStyle w:val="Subsection"/>
        <w:spacing w:before="120"/>
        <w:rPr>
          <w:snapToGrid w:val="0"/>
        </w:rPr>
      </w:pPr>
      <w:r>
        <w:rPr>
          <w:snapToGrid w:val="0"/>
        </w:rPr>
        <w:tab/>
        <w:t>(1)</w:t>
      </w:r>
      <w:r>
        <w:rPr>
          <w:snapToGrid w:val="0"/>
        </w:rPr>
        <w:tab/>
        <w:t>A permit, licence or pipeline licence may be wholly cancelled or partly cancelled, and a lease may be wholly cancelled, on the ground that the registered holder of the permit, lease, licence or pipeline licence has not complied with a provision of this Part or of the regulations notwithstanding that he has been convicted of an offence by reason of his failure to comply with the provision.</w:t>
      </w:r>
    </w:p>
    <w:p>
      <w:pPr>
        <w:pStyle w:val="Subsection"/>
        <w:spacing w:before="120"/>
        <w:rPr>
          <w:snapToGrid w:val="0"/>
        </w:rPr>
      </w:pPr>
      <w:r>
        <w:rPr>
          <w:snapToGrid w:val="0"/>
        </w:rPr>
        <w:tab/>
        <w:t>(2)</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complied with a provision of this Part or of the regulations may be convicted of an offence by reason of his failure to comply with the provision, notwithstanding that the permit, lease, licence or pipeline licence has been so cancelled.</w:t>
      </w:r>
    </w:p>
    <w:p>
      <w:pPr>
        <w:pStyle w:val="Subsection"/>
        <w:spacing w:before="120"/>
        <w:rPr>
          <w:snapToGrid w:val="0"/>
        </w:rPr>
      </w:pPr>
      <w:r>
        <w:rPr>
          <w:snapToGrid w:val="0"/>
        </w:rPr>
        <w:tab/>
        <w:t>(3)</w:t>
      </w:r>
      <w:r>
        <w:rPr>
          <w:snapToGrid w:val="0"/>
        </w:rPr>
        <w:tab/>
        <w:t>A permit, licence or pipeline licence may be wholly cancelled or partly cancelled, and a lease may be wholly cancelled, on the ground that the registered holder of the permit, lease, licence or pipeline licence has not paid an amount payable by him under this Act or the Registration Fees Act within a period of 3 months after the day on which the amount became payable, notwithstanding that judgment for the amount has been obtained or that the amount, or any part of the amount, has been paid or recovered.</w:t>
      </w:r>
    </w:p>
    <w:p>
      <w:pPr>
        <w:pStyle w:val="Subsection"/>
        <w:spacing w:before="120"/>
        <w:rPr>
          <w:snapToGrid w:val="0"/>
        </w:rPr>
      </w:pPr>
      <w:r>
        <w:rPr>
          <w:snapToGrid w:val="0"/>
        </w:rPr>
        <w:tab/>
        <w:t>(4)</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paid an amount payable by him under this Act or the Registration Fees Act within a period of 3 months after the day on which the amount became payable continues to be liable to pay that amount, together with any additional amount payable by reason of late payment of that amount, notwithstanding that the permit, lease, licence or pipeline licence has been so cancelled.</w:t>
      </w:r>
    </w:p>
    <w:p>
      <w:pPr>
        <w:pStyle w:val="Footnotesection"/>
        <w:spacing w:before="80"/>
        <w:ind w:left="890" w:hanging="890"/>
      </w:pPr>
      <w:r>
        <w:tab/>
        <w:t xml:space="preserve">[Section 106 amended by No. 12 of 1990 s.223.] </w:t>
      </w:r>
    </w:p>
    <w:p>
      <w:pPr>
        <w:pStyle w:val="Heading5"/>
        <w:spacing w:before="180"/>
        <w:rPr>
          <w:snapToGrid w:val="0"/>
        </w:rPr>
      </w:pPr>
      <w:bookmarkStart w:id="681" w:name="_Toc501861796"/>
      <w:bookmarkStart w:id="682" w:name="_Toc113772555"/>
      <w:bookmarkStart w:id="683" w:name="_Toc170190649"/>
      <w:bookmarkStart w:id="684" w:name="_Toc157933624"/>
      <w:r>
        <w:rPr>
          <w:rStyle w:val="CharSectno"/>
        </w:rPr>
        <w:t>107</w:t>
      </w:r>
      <w:r>
        <w:rPr>
          <w:snapToGrid w:val="0"/>
        </w:rPr>
        <w:t>.</w:t>
      </w:r>
      <w:r>
        <w:rPr>
          <w:snapToGrid w:val="0"/>
        </w:rPr>
        <w:tab/>
        <w:t>Removal of property, etc., by permittee, etc.</w:t>
      </w:r>
      <w:bookmarkEnd w:id="681"/>
      <w:bookmarkEnd w:id="682"/>
      <w:bookmarkEnd w:id="683"/>
      <w:bookmarkEnd w:id="684"/>
      <w:r>
        <w:rPr>
          <w:snapToGrid w:val="0"/>
        </w:rPr>
        <w:t xml:space="preserve"> </w:t>
      </w:r>
    </w:p>
    <w:p>
      <w:pPr>
        <w:pStyle w:val="Subsection"/>
        <w:spacing w:before="120"/>
        <w:rPr>
          <w:snapToGrid w:val="0"/>
        </w:rPr>
      </w:pPr>
      <w:r>
        <w:rPr>
          <w:snapToGrid w:val="0"/>
        </w:rPr>
        <w:tab/>
        <w:t>(1)</w:t>
      </w:r>
      <w:r>
        <w:rPr>
          <w:snapToGrid w:val="0"/>
        </w:rPr>
        <w:tab/>
        <w:t>Where a permit, licence or pipeline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lessee, licensee or pipeline licensee, direct that person to do any one or more of the following things — </w:t>
      </w:r>
    </w:p>
    <w:p>
      <w:pPr>
        <w:pStyle w:val="Indenta"/>
        <w:spacing w:before="60"/>
        <w:rPr>
          <w:snapToGrid w:val="0"/>
        </w:rPr>
      </w:pPr>
      <w:r>
        <w:rPr>
          <w:snapToGrid w:val="0"/>
        </w:rPr>
        <w:tab/>
        <w:t>(a)</w:t>
      </w:r>
      <w:r>
        <w:rPr>
          <w:snapToGrid w:val="0"/>
        </w:rPr>
        <w:tab/>
        <w:t xml:space="preserve">to remove or cause to be removed from the relinquished area all property brought into that area by any person engaged or concerned in the operations authorized by the permit, lease, licence or pipeline licence or to make arrangements that are satisfactory to the Minister with respect to that property; </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(2)</w:t>
      </w:r>
      <w:r>
        <w:rPr>
          <w:snapToGrid w:val="0"/>
        </w:rPr>
        <w:tab/>
        <w:t>The Minister may, by instrument in writing served on a permittee, lessee, licensee or pipeline licensee, direct him to do any one or more of the following things — </w:t>
      </w:r>
    </w:p>
    <w:p>
      <w:pPr>
        <w:pStyle w:val="Indenta"/>
        <w:spacing w:before="100"/>
        <w:rPr>
          <w:snapToGrid w:val="0"/>
        </w:rPr>
      </w:pPr>
      <w:r>
        <w:rPr>
          <w:snapToGrid w:val="0"/>
        </w:rPr>
        <w:tab/>
        <w:t>(a)</w:t>
      </w:r>
      <w:r>
        <w:rPr>
          <w:snapToGrid w:val="0"/>
        </w:rPr>
        <w:tab/>
        <w:t>to remove or cause to be removed from the permit area, lease area, licence area or part of the adjacent area in which the pipeline is constructed, as the case may be, all property brought into that area or part by any person engaged or concerned in the operations authorized by the permit, lease, licence or pipeline licence or to make arrangements that are satisfactory to the Minister with respect to that property;</w:t>
      </w:r>
    </w:p>
    <w:p>
      <w:pPr>
        <w:pStyle w:val="Indenta"/>
        <w:spacing w:before="100"/>
        <w:rPr>
          <w:snapToGrid w:val="0"/>
        </w:rPr>
      </w:pPr>
      <w:r>
        <w:rPr>
          <w:snapToGrid w:val="0"/>
        </w:rPr>
        <w:tab/>
        <w:t>(b)</w:t>
      </w:r>
      <w:r>
        <w:rPr>
          <w:snapToGrid w:val="0"/>
        </w:rPr>
        <w:tab/>
        <w:t>to plug or close off, to the satisfaction of the Minister, all wells made in that area or part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or part caused by any person engaged or concerned in those operations.</w:t>
      </w:r>
    </w:p>
    <w:p>
      <w:pPr>
        <w:pStyle w:val="Subsection"/>
        <w:spacing w:before="180"/>
        <w:rPr>
          <w:snapToGrid w:val="0"/>
        </w:rPr>
      </w:pPr>
      <w:r>
        <w:rPr>
          <w:snapToGrid w:val="0"/>
        </w:rPr>
        <w:tab/>
        <w:t>(3)</w:t>
      </w:r>
      <w:r>
        <w:rPr>
          <w:snapToGrid w:val="0"/>
        </w:rPr>
        <w:tab/>
        <w:t xml:space="preserve">A </w:t>
      </w:r>
      <w:r>
        <w:t>person</w:t>
      </w:r>
      <w:r>
        <w:rPr>
          <w:snapToGrid w:val="0"/>
        </w:rPr>
        <w:t xml:space="preserve"> to whom a direction is given under subsection (1) or (2) shall comply with the direction — </w:t>
      </w:r>
    </w:p>
    <w:p>
      <w:pPr>
        <w:pStyle w:val="Indenta"/>
        <w:spacing w:before="100"/>
        <w:rPr>
          <w:snapToGrid w:val="0"/>
        </w:rPr>
      </w:pPr>
      <w:r>
        <w:rPr>
          <w:snapToGrid w:val="0"/>
        </w:rPr>
        <w:tab/>
        <w:t>(a)</w:t>
      </w:r>
      <w:r>
        <w:rPr>
          <w:snapToGrid w:val="0"/>
        </w:rPr>
        <w:tab/>
        <w:t xml:space="preserve">in the </w:t>
      </w:r>
      <w:r>
        <w:t>case</w:t>
      </w:r>
      <w:r>
        <w:rPr>
          <w:snapToGrid w:val="0"/>
        </w:rPr>
        <w:t xml:space="preserve"> of a direction given under subsection (1), within the period specified in the instrument by which the direction was given; or</w:t>
      </w:r>
    </w:p>
    <w:p>
      <w:pPr>
        <w:pStyle w:val="Indenta"/>
        <w:keepNext/>
        <w:rPr>
          <w:snapToGrid w:val="0"/>
        </w:rPr>
      </w:pPr>
      <w:r>
        <w:rPr>
          <w:snapToGrid w:val="0"/>
        </w:rPr>
        <w:tab/>
        <w:t>(b)</w:t>
      </w:r>
      <w:r>
        <w:rPr>
          <w:snapToGrid w:val="0"/>
        </w:rPr>
        <w:tab/>
        <w:t xml:space="preserve">in </w:t>
      </w:r>
      <w:r>
        <w:t>the</w:t>
      </w:r>
      <w:r>
        <w:rPr>
          <w:snapToGrid w:val="0"/>
        </w:rPr>
        <w:t xml:space="preserve"> case of a direction given under subsection (2), on or before the date of expiration of the permit, lease, licence or pipeline licence concerned.</w:t>
      </w:r>
    </w:p>
    <w:p>
      <w:pPr>
        <w:pStyle w:val="Penstart"/>
        <w:rPr>
          <w:snapToGrid w:val="0"/>
        </w:rPr>
      </w:pPr>
      <w:r>
        <w:rPr>
          <w:snapToGrid w:val="0"/>
        </w:rPr>
        <w:tab/>
        <w:t>Penalty: $10 000.</w:t>
      </w:r>
    </w:p>
    <w:p>
      <w:pPr>
        <w:pStyle w:val="Footnotesection"/>
      </w:pPr>
      <w:r>
        <w:tab/>
        <w:t xml:space="preserve">[Section 107 amended by No. 12 of 1990 s.224.] </w:t>
      </w:r>
    </w:p>
    <w:p>
      <w:pPr>
        <w:pStyle w:val="Heading5"/>
        <w:rPr>
          <w:snapToGrid w:val="0"/>
        </w:rPr>
      </w:pPr>
      <w:bookmarkStart w:id="685" w:name="_Toc501861797"/>
      <w:bookmarkStart w:id="686" w:name="_Toc113772556"/>
      <w:bookmarkStart w:id="687" w:name="_Toc170190650"/>
      <w:bookmarkStart w:id="688" w:name="_Toc157933625"/>
      <w:r>
        <w:rPr>
          <w:rStyle w:val="CharSectno"/>
        </w:rPr>
        <w:t>108</w:t>
      </w:r>
      <w:r>
        <w:rPr>
          <w:snapToGrid w:val="0"/>
        </w:rPr>
        <w:t>.</w:t>
      </w:r>
      <w:r>
        <w:rPr>
          <w:snapToGrid w:val="0"/>
        </w:rPr>
        <w:tab/>
        <w:t>Removal of property, etc., by Minister</w:t>
      </w:r>
      <w:bookmarkEnd w:id="685"/>
      <w:bookmarkEnd w:id="686"/>
      <w:bookmarkEnd w:id="687"/>
      <w:bookmarkEnd w:id="688"/>
      <w:r>
        <w:rPr>
          <w:snapToGrid w:val="0"/>
        </w:rPr>
        <w:t xml:space="preserve"> </w:t>
      </w:r>
    </w:p>
    <w:p>
      <w:pPr>
        <w:pStyle w:val="Subsection"/>
        <w:rPr>
          <w:snapToGrid w:val="0"/>
        </w:rPr>
      </w:pPr>
      <w:r>
        <w:rPr>
          <w:snapToGrid w:val="0"/>
        </w:rPr>
        <w:tab/>
      </w:r>
      <w:r>
        <w:rPr>
          <w:snapToGrid w:val="0"/>
        </w:rPr>
        <w:tab/>
        <w:t>Where a permit, licence or pipeline licence has been wholly determined, partly determined, wholly cancelled or partly cancelled, or has expired, or a lease has been wholly determined, partly determined or wholly cancelled or has expired, and a direction under section 107 has not been complied with, or an arrangement under that section has not been carried out, in relation to the relinquished area — </w:t>
      </w:r>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authorized by the permit, lease, licence or pipeline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 xml:space="preserve">[Section 108 amended by No. 12 of 1990 s.225.] </w:t>
      </w:r>
    </w:p>
    <w:p>
      <w:pPr>
        <w:pStyle w:val="Heading5"/>
        <w:rPr>
          <w:snapToGrid w:val="0"/>
        </w:rPr>
      </w:pPr>
      <w:bookmarkStart w:id="689" w:name="_Toc501861798"/>
      <w:bookmarkStart w:id="690" w:name="_Toc113772557"/>
      <w:bookmarkStart w:id="691" w:name="_Toc170190651"/>
      <w:bookmarkStart w:id="692" w:name="_Toc157933626"/>
      <w:r>
        <w:rPr>
          <w:rStyle w:val="CharSectno"/>
        </w:rPr>
        <w:t>109</w:t>
      </w:r>
      <w:r>
        <w:rPr>
          <w:snapToGrid w:val="0"/>
        </w:rPr>
        <w:t>.</w:t>
      </w:r>
      <w:r>
        <w:rPr>
          <w:snapToGrid w:val="0"/>
        </w:rPr>
        <w:tab/>
        <w:t>Payment by instalments</w:t>
      </w:r>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The Minister and a person who may request, or has requested, that a permit under section 27 or a licence under section 50 be granted to him may enter into an agreement in writing for or in relation to the payment, by instalments, of the amount to be paid in respect of the grant of the permit or licence, together with interest at the rate that is the specified rate from time to time on so much of that amount as from time to time remains unpaid.</w:t>
      </w:r>
    </w:p>
    <w:p>
      <w:pPr>
        <w:pStyle w:val="Subsection"/>
        <w:rPr>
          <w:snapToGrid w:val="0"/>
        </w:rPr>
      </w:pPr>
      <w:r>
        <w:rPr>
          <w:snapToGrid w:val="0"/>
        </w:rPr>
        <w:tab/>
        <w:t>(2)</w:t>
      </w:r>
      <w:r>
        <w:rPr>
          <w:snapToGrid w:val="0"/>
        </w:rPr>
        <w:tab/>
        <w:t>For the purposes of subsection (1), the specified rate is 10% per annum or, if a lower rate is prescribed by regulations, that lower rate.</w:t>
      </w:r>
    </w:p>
    <w:p>
      <w:pPr>
        <w:pStyle w:val="Subsection"/>
        <w:rPr>
          <w:snapToGrid w:val="0"/>
        </w:rPr>
      </w:pPr>
      <w:r>
        <w:rPr>
          <w:snapToGrid w:val="0"/>
        </w:rPr>
        <w:tab/>
        <w:t>(3)</w:t>
      </w:r>
      <w:r>
        <w:rPr>
          <w:snapToGrid w:val="0"/>
        </w:rPr>
        <w:tab/>
        <w:t>The period specified in an agreement under this section as the period within which an amount payable by instalments is to be paid shall not be greater than 21 years.</w:t>
      </w:r>
    </w:p>
    <w:p>
      <w:pPr>
        <w:pStyle w:val="Subsection"/>
        <w:rPr>
          <w:snapToGrid w:val="0"/>
        </w:rPr>
      </w:pPr>
      <w:r>
        <w:rPr>
          <w:snapToGrid w:val="0"/>
        </w:rPr>
        <w:tab/>
        <w:t>(4)</w:t>
      </w:r>
      <w:r>
        <w:rPr>
          <w:snapToGrid w:val="0"/>
        </w:rPr>
        <w:tab/>
        <w:t>Where a person enters into an agreement under this section for or in relation to the payment of an amount in respect of the grant of a permit or licence, any instalment or interest that is due under the agreement and has not been paid is payable by the registered holder of the permit or licence, as the case may be.</w:t>
      </w:r>
    </w:p>
    <w:p>
      <w:pPr>
        <w:pStyle w:val="Heading5"/>
        <w:rPr>
          <w:snapToGrid w:val="0"/>
        </w:rPr>
      </w:pPr>
      <w:bookmarkStart w:id="693" w:name="_Toc501861799"/>
      <w:bookmarkStart w:id="694" w:name="_Toc113772558"/>
      <w:bookmarkStart w:id="695" w:name="_Toc170190652"/>
      <w:bookmarkStart w:id="696" w:name="_Toc157933627"/>
      <w:r>
        <w:rPr>
          <w:rStyle w:val="CharSectno"/>
        </w:rPr>
        <w:t>110</w:t>
      </w:r>
      <w:r>
        <w:rPr>
          <w:snapToGrid w:val="0"/>
        </w:rPr>
        <w:t>.</w:t>
      </w:r>
      <w:r>
        <w:rPr>
          <w:snapToGrid w:val="0"/>
        </w:rPr>
        <w:tab/>
        <w:t>Penalty for late payments of instalments, etc.</w:t>
      </w:r>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Where the liability of a person under section 109 to pay an amount, being an instalment or any interest, is not discharged at or before the time when the amount is payable, there is payable by that person an additional amount calculated at the rate of one</w:t>
      </w:r>
      <w:r>
        <w:rPr>
          <w:snapToGrid w:val="0"/>
        </w:rPr>
        <w:noBreakHyphen/>
        <w:t>third of 1% per day upon so much of the first</w:t>
      </w:r>
      <w:r>
        <w:rPr>
          <w:snapToGrid w:val="0"/>
        </w:rPr>
        <w:noBreakHyphen/>
        <w:t>mentioned amount as from time to time remains unpaid, to be computed from the time when the first</w:t>
      </w:r>
      <w:r>
        <w:rPr>
          <w:snapToGrid w:val="0"/>
        </w:rPr>
        <w:noBreakHyphen/>
        <w:t>mentioned amount became payable until it is paid.</w:t>
      </w:r>
    </w:p>
    <w:p>
      <w:pPr>
        <w:pStyle w:val="Subsection"/>
        <w:rPr>
          <w:snapToGrid w:val="0"/>
        </w:rPr>
      </w:pPr>
      <w:r>
        <w:rPr>
          <w:snapToGrid w:val="0"/>
        </w:rPr>
        <w:tab/>
        <w:t>(2)</w:t>
      </w:r>
      <w:r>
        <w:rPr>
          <w:snapToGrid w:val="0"/>
        </w:rPr>
        <w:tab/>
        <w:t>The Minister may, in a particular case, for reasons that he thinks sufficient, remit the whole or part of an amount payable under this section.</w:t>
      </w:r>
    </w:p>
    <w:p>
      <w:pPr>
        <w:pStyle w:val="Heading5"/>
        <w:rPr>
          <w:snapToGrid w:val="0"/>
        </w:rPr>
      </w:pPr>
      <w:bookmarkStart w:id="697" w:name="_Toc501861800"/>
      <w:bookmarkStart w:id="698" w:name="_Toc113772559"/>
      <w:bookmarkStart w:id="699" w:name="_Toc170190653"/>
      <w:bookmarkStart w:id="700" w:name="_Toc157933628"/>
      <w:r>
        <w:rPr>
          <w:rStyle w:val="CharSectno"/>
        </w:rPr>
        <w:t>111</w:t>
      </w:r>
      <w:r>
        <w:rPr>
          <w:snapToGrid w:val="0"/>
        </w:rPr>
        <w:t>.</w:t>
      </w:r>
      <w:r>
        <w:rPr>
          <w:snapToGrid w:val="0"/>
        </w:rPr>
        <w:tab/>
        <w:t>Special prospecting authorities</w:t>
      </w:r>
      <w:bookmarkEnd w:id="697"/>
      <w:bookmarkEnd w:id="698"/>
      <w:bookmarkEnd w:id="699"/>
      <w:bookmarkEnd w:id="700"/>
      <w:r>
        <w:rPr>
          <w:snapToGrid w:val="0"/>
        </w:rPr>
        <w:t xml:space="preserve"> </w:t>
      </w:r>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keepNext/>
        <w:rPr>
          <w:snapToGrid w:val="0"/>
        </w:rPr>
      </w:pPr>
      <w:r>
        <w:rPr>
          <w:snapToGrid w:val="0"/>
        </w:rPr>
        <w:tab/>
        <w:t>(2)</w:t>
      </w:r>
      <w:r>
        <w:rPr>
          <w:snapToGrid w:val="0"/>
        </w:rPr>
        <w:tab/>
        <w:t>An application under this section — </w:t>
      </w:r>
    </w:p>
    <w:p>
      <w:pPr>
        <w:pStyle w:val="Indenta"/>
        <w:spacing w:before="100"/>
        <w:rPr>
          <w:snapToGrid w:val="0"/>
        </w:rPr>
      </w:pPr>
      <w:r>
        <w:rPr>
          <w:snapToGrid w:val="0"/>
        </w:rPr>
        <w:tab/>
        <w:t>(a)</w:t>
      </w:r>
      <w:r>
        <w:rPr>
          <w:snapToGrid w:val="0"/>
        </w:rPr>
        <w:tab/>
        <w:t>shall be in accordance with an approved form;</w:t>
      </w:r>
    </w:p>
    <w:p>
      <w:pPr>
        <w:pStyle w:val="Indenta"/>
        <w:spacing w:before="100"/>
        <w:rPr>
          <w:snapToGrid w:val="0"/>
        </w:rPr>
      </w:pPr>
      <w:r>
        <w:rPr>
          <w:snapToGrid w:val="0"/>
        </w:rPr>
        <w:tab/>
        <w:t>(b)</w:t>
      </w:r>
      <w:r>
        <w:rPr>
          <w:snapToGrid w:val="0"/>
        </w:rPr>
        <w:tab/>
        <w:t>shall be made in an approved manner;</w:t>
      </w:r>
    </w:p>
    <w:p>
      <w:pPr>
        <w:pStyle w:val="Indenta"/>
        <w:spacing w:before="100"/>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spacing w:before="100"/>
        <w:rPr>
          <w:snapToGrid w:val="0"/>
        </w:rPr>
      </w:pPr>
      <w:r>
        <w:rPr>
          <w:snapToGrid w:val="0"/>
        </w:rPr>
        <w:tab/>
        <w:t>(d)</w:t>
      </w:r>
      <w:r>
        <w:rPr>
          <w:snapToGrid w:val="0"/>
        </w:rPr>
        <w:tab/>
        <w:t>shall be accompanied by the prescribed fee.</w:t>
      </w:r>
    </w:p>
    <w:p>
      <w:pPr>
        <w:pStyle w:val="Subsection"/>
        <w:spacing w:before="180"/>
        <w:rPr>
          <w:snapToGrid w:val="0"/>
        </w:rPr>
      </w:pPr>
      <w:r>
        <w:rPr>
          <w:snapToGrid w:val="0"/>
        </w:rPr>
        <w:tab/>
        <w:t>(3)</w:t>
      </w:r>
      <w:r>
        <w:rPr>
          <w:snapToGrid w:val="0"/>
        </w:rPr>
        <w:tab/>
        <w:t>The Minister — </w:t>
      </w:r>
    </w:p>
    <w:p>
      <w:pPr>
        <w:pStyle w:val="Indenta"/>
        <w:spacing w:before="100"/>
        <w:rPr>
          <w:snapToGrid w:val="0"/>
        </w:rPr>
      </w:pPr>
      <w:r>
        <w:rPr>
          <w:snapToGrid w:val="0"/>
        </w:rPr>
        <w:tab/>
        <w:t>(a)</w:t>
      </w:r>
      <w:r>
        <w:rPr>
          <w:snapToGrid w:val="0"/>
        </w:rPr>
        <w:tab/>
        <w:t>may grant to the applicant a special prospecting authority subject to such conditions as the Minister thinks fit and specifies in the authority; or</w:t>
      </w:r>
    </w:p>
    <w:p>
      <w:pPr>
        <w:pStyle w:val="Indenta"/>
        <w:spacing w:before="100"/>
        <w:rPr>
          <w:snapToGrid w:val="0"/>
        </w:rPr>
      </w:pPr>
      <w:r>
        <w:rPr>
          <w:snapToGrid w:val="0"/>
        </w:rPr>
        <w:tab/>
        <w:t>(b)</w:t>
      </w:r>
      <w:r>
        <w:rPr>
          <w:snapToGrid w:val="0"/>
        </w:rPr>
        <w:tab/>
        <w:t>may refuse to grant the application.</w:t>
      </w:r>
    </w:p>
    <w:p>
      <w:pPr>
        <w:pStyle w:val="Subsection"/>
        <w:spacing w:before="180"/>
        <w:rPr>
          <w:snapToGrid w:val="0"/>
        </w:rPr>
      </w:pPr>
      <w:r>
        <w:rPr>
          <w:snapToGrid w:val="0"/>
        </w:rPr>
        <w:tab/>
        <w:t>(4)</w:t>
      </w:r>
      <w:r>
        <w:rPr>
          <w:snapToGrid w:val="0"/>
        </w:rPr>
        <w:tab/>
        <w:t>A special prospecting authority, while it remains in force, authorizes the holder, subject to this Act</w:t>
      </w:r>
      <w:del w:id="701" w:author="svcMRProcess" w:date="2020-02-19T21:14:00Z">
        <w:r>
          <w:rPr>
            <w:snapToGrid w:val="0"/>
          </w:rPr>
          <w:delText xml:space="preserve"> and the regulations</w:delText>
        </w:r>
      </w:del>
      <w:r>
        <w:rPr>
          <w:snapToGrid w:val="0"/>
        </w:rPr>
        <w:t xml:space="preserve"> and in accordance with the conditions to which the special prospecting authority is subject, to carry on in the blocks specified in the special prospecting authority the petroleum exploration operations so specified.</w:t>
      </w:r>
    </w:p>
    <w:p>
      <w:pPr>
        <w:pStyle w:val="Subsection"/>
        <w:spacing w:before="180"/>
        <w:rPr>
          <w:snapToGrid w:val="0"/>
        </w:rPr>
      </w:pPr>
      <w:r>
        <w:rPr>
          <w:snapToGrid w:val="0"/>
        </w:rPr>
        <w:tab/>
        <w:t>(5)</w:t>
      </w:r>
      <w:r>
        <w:rPr>
          <w:snapToGrid w:val="0"/>
        </w:rPr>
        <w:tab/>
        <w:t>Nothing in a special prospecting authority authorizes the holder to make a well.</w:t>
      </w:r>
    </w:p>
    <w:p>
      <w:pPr>
        <w:pStyle w:val="Subsection"/>
        <w:spacing w:before="180"/>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spacing w:before="180"/>
        <w:rPr>
          <w:snapToGrid w:val="0"/>
        </w:rPr>
      </w:pPr>
      <w:r>
        <w:rPr>
          <w:snapToGrid w:val="0"/>
        </w:rPr>
        <w:tab/>
        <w:t>(6a)</w:t>
      </w:r>
      <w:r>
        <w:rPr>
          <w:snapToGrid w:val="0"/>
        </w:rPr>
        <w:tab/>
        <w:t>A special prospecting authority is not capable of being transferred.</w:t>
      </w:r>
    </w:p>
    <w:p>
      <w:pPr>
        <w:pStyle w:val="Subsection"/>
        <w:spacing w:before="180"/>
        <w:rPr>
          <w:snapToGrid w:val="0"/>
        </w:rPr>
      </w:pPr>
      <w:r>
        <w:rPr>
          <w:snapToGrid w:val="0"/>
        </w:rPr>
        <w:tab/>
        <w:t>(6b)</w:t>
      </w:r>
      <w:r>
        <w:rPr>
          <w:snapToGrid w:val="0"/>
        </w:rPr>
        <w:tab/>
        <w:t>Where — </w:t>
      </w:r>
    </w:p>
    <w:p>
      <w:pPr>
        <w:pStyle w:val="Indenta"/>
        <w:spacing w:before="100"/>
        <w:rPr>
          <w:snapToGrid w:val="0"/>
        </w:rPr>
      </w:pPr>
      <w:r>
        <w:rPr>
          <w:snapToGrid w:val="0"/>
        </w:rPr>
        <w:tab/>
        <w:t>(a)</w:t>
      </w:r>
      <w:r>
        <w:rPr>
          <w:snapToGrid w:val="0"/>
        </w:rPr>
        <w:tab/>
        <w:t>a person holds a special prospecting authority in respect of a block; and</w:t>
      </w:r>
    </w:p>
    <w:p>
      <w:pPr>
        <w:pStyle w:val="Indenta"/>
        <w:keepNext/>
        <w:rPr>
          <w:snapToGrid w:val="0"/>
        </w:rPr>
      </w:pPr>
      <w:r>
        <w:rPr>
          <w:snapToGrid w:val="0"/>
        </w:rPr>
        <w:tab/>
        <w:t>(b)</w:t>
      </w:r>
      <w:r>
        <w:rPr>
          <w:snapToGrid w:val="0"/>
        </w:rPr>
        <w:tab/>
        <w:t>another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 </w:t>
      </w:r>
    </w:p>
    <w:p>
      <w:pPr>
        <w:pStyle w:val="Indenta"/>
        <w:rPr>
          <w:snapToGrid w:val="0"/>
        </w:rPr>
      </w:pPr>
      <w:r>
        <w:rPr>
          <w:snapToGrid w:val="0"/>
        </w:rPr>
        <w:tab/>
        <w:t>(c)</w:t>
      </w:r>
      <w:r>
        <w:rPr>
          <w:snapToGrid w:val="0"/>
        </w:rPr>
        <w:tab/>
        <w:t>the petroleum exploration operations authorized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authorized by the special prospecting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(9)</w:t>
      </w:r>
      <w:r>
        <w:rPr>
          <w:snapToGrid w:val="0"/>
        </w:rPr>
        <w:tab/>
        <w:t>A person to whom a direction is given under subsection (8) shall comply with the direction.</w:t>
      </w:r>
    </w:p>
    <w:p>
      <w:pPr>
        <w:pStyle w:val="Penstart"/>
        <w:spacing w:before="100"/>
        <w:rPr>
          <w:snapToGrid w:val="0"/>
        </w:rPr>
      </w:pPr>
      <w:r>
        <w:rPr>
          <w:snapToGrid w:val="0"/>
        </w:rPr>
        <w:tab/>
        <w:t>Penalty: $10 000.</w:t>
      </w:r>
    </w:p>
    <w:p>
      <w:pPr>
        <w:pStyle w:val="Subsection"/>
        <w:spacing w:before="180"/>
        <w:rPr>
          <w:snapToGrid w:val="0"/>
        </w:rPr>
      </w:pPr>
      <w:r>
        <w:rPr>
          <w:snapToGrid w:val="0"/>
        </w:rPr>
        <w:tab/>
        <w:t>(10)</w:t>
      </w:r>
      <w:r>
        <w:rPr>
          <w:snapToGrid w:val="0"/>
        </w:rPr>
        <w:tab/>
        <w:t>Section 108 applies to and in relation to a special prospecting authority as if — </w:t>
      </w:r>
    </w:p>
    <w:p>
      <w:pPr>
        <w:pStyle w:val="Indenta"/>
        <w:spacing w:before="100"/>
        <w:rPr>
          <w:snapToGrid w:val="0"/>
        </w:rPr>
      </w:pPr>
      <w:r>
        <w:rPr>
          <w:snapToGrid w:val="0"/>
        </w:rPr>
        <w:tab/>
        <w:t>(a)</w:t>
      </w:r>
      <w:r>
        <w:rPr>
          <w:snapToGrid w:val="0"/>
        </w:rPr>
        <w:tab/>
        <w:t>a reference in that section to a permit were a reference to a special prospecting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(8).</w:t>
      </w:r>
    </w:p>
    <w:p>
      <w:pPr>
        <w:pStyle w:val="Footnotesection"/>
        <w:spacing w:before="140"/>
        <w:ind w:left="890" w:hanging="890"/>
      </w:pPr>
      <w:r>
        <w:tab/>
        <w:t>[Section 111 amended by No. 12 of 1990 s.</w:t>
      </w:r>
      <w:del w:id="702" w:author="svcMRProcess" w:date="2020-02-19T21:14:00Z">
        <w:r>
          <w:delText>226.]</w:delText>
        </w:r>
      </w:del>
      <w:ins w:id="703" w:author="svcMRProcess" w:date="2020-02-19T21:14:00Z">
        <w:r>
          <w:t> 226; No. 13 of 2005 s. 46(1).]</w:t>
        </w:r>
      </w:ins>
      <w:r>
        <w:t xml:space="preserve"> </w:t>
      </w:r>
    </w:p>
    <w:p>
      <w:pPr>
        <w:pStyle w:val="Heading5"/>
        <w:spacing w:before="260"/>
        <w:rPr>
          <w:snapToGrid w:val="0"/>
        </w:rPr>
      </w:pPr>
      <w:bookmarkStart w:id="704" w:name="_Toc501861801"/>
      <w:bookmarkStart w:id="705" w:name="_Toc113772560"/>
      <w:bookmarkStart w:id="706" w:name="_Toc170190654"/>
      <w:bookmarkStart w:id="707" w:name="_Toc157933629"/>
      <w:r>
        <w:rPr>
          <w:rStyle w:val="CharSectno"/>
        </w:rPr>
        <w:t>112</w:t>
      </w:r>
      <w:r>
        <w:rPr>
          <w:snapToGrid w:val="0"/>
        </w:rPr>
        <w:t>.</w:t>
      </w:r>
      <w:r>
        <w:rPr>
          <w:snapToGrid w:val="0"/>
        </w:rPr>
        <w:tab/>
        <w:t>Access authorities</w:t>
      </w:r>
      <w:bookmarkEnd w:id="704"/>
      <w:bookmarkEnd w:id="705"/>
      <w:bookmarkEnd w:id="706"/>
      <w:bookmarkEnd w:id="707"/>
      <w:r>
        <w:rPr>
          <w:snapToGrid w:val="0"/>
        </w:rPr>
        <w:t xml:space="preserve"> </w:t>
      </w:r>
    </w:p>
    <w:p>
      <w:pPr>
        <w:pStyle w:val="Subsection"/>
        <w:spacing w:before="180"/>
        <w:rPr>
          <w:snapToGrid w:val="0"/>
        </w:rPr>
      </w:pPr>
      <w:r>
        <w:rPr>
          <w:snapToGrid w:val="0"/>
        </w:rPr>
        <w:tab/>
        <w:t>(1)</w:t>
      </w:r>
      <w:r>
        <w:rPr>
          <w:snapToGrid w:val="0"/>
        </w:rPr>
        <w:tab/>
        <w:t>A permittee, lessee, licensee or holder of a special prospecting authority may make an application to the Minister for the grant of an access authority to enable him to carry on in an area, being part of the adjacent area that is not part of the permit area, lease area or licence area or area of the blocks specified in the special prospecting authority, petroleum exploration operations or operations related to the recovery of petroleum in or from the permit area, lease area or licence area or area of the blocks so specified.</w:t>
      </w:r>
    </w:p>
    <w:p>
      <w:pPr>
        <w:pStyle w:val="Subsection"/>
        <w:spacing w:before="180"/>
        <w:rPr>
          <w:snapToGrid w:val="0"/>
        </w:rPr>
      </w:pPr>
      <w:r>
        <w:rPr>
          <w:snapToGrid w:val="0"/>
        </w:rPr>
        <w:tab/>
        <w:t>(1a)</w:t>
      </w:r>
      <w:r>
        <w:rPr>
          <w:snapToGrid w:val="0"/>
        </w:rPr>
        <w:tab/>
        <w:t>A holder of a petroleum title outside the adjacent area may make an application to the Minister for the grant of an access authority to enable the holder to carry on, in a part of the adjacent area, petroleum exploration operations or operations related to the recovery of petroleum in or from the area to which that petroleum title relates.</w:t>
      </w:r>
    </w:p>
    <w:p>
      <w:pPr>
        <w:pStyle w:val="Subsection"/>
        <w:keepNext/>
        <w:rPr>
          <w:snapToGrid w:val="0"/>
        </w:rPr>
      </w:pPr>
      <w:r>
        <w:rPr>
          <w:snapToGrid w:val="0"/>
        </w:rPr>
        <w:tab/>
        <w:t>(2)</w:t>
      </w:r>
      <w:r>
        <w:rPr>
          <w:snapToGrid w:val="0"/>
        </w:rPr>
        <w:tab/>
        <w:t>An application under this section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lessee, licensee or holder of a special prospecting authority or a petroleum title 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rPr>
          <w:snapToGrid w:val="0"/>
        </w:rPr>
      </w:pPr>
      <w:r>
        <w:rPr>
          <w:snapToGrid w:val="0"/>
        </w:rPr>
        <w:tab/>
        <w:t>(4)</w:t>
      </w:r>
      <w:r>
        <w:rPr>
          <w:snapToGrid w:val="0"/>
        </w:rPr>
        <w:tab/>
        <w:t>The Minister shall not grant an access authority on an application under this section in respect of a block that is the subject of a permit, lease or licence of which the registered holder is a person other than the applicant, or vary an access authority as in force in respect of a block that is the subject of a permit, lease or licence of which the registered holder is a person other than the registered holder of the access authority, unless —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p>
    <w:p>
      <w:pPr>
        <w:pStyle w:val="Indenta"/>
        <w:rPr>
          <w:snapToGrid w:val="0"/>
        </w:rPr>
      </w:pPr>
      <w:r>
        <w:rPr>
          <w:snapToGrid w:val="0"/>
        </w:rPr>
        <w:tab/>
        <w:t>(b)</w:t>
      </w:r>
      <w:r>
        <w:rPr>
          <w:snapToGrid w:val="0"/>
        </w:rPr>
        <w:tab/>
        <w:t>he has served a copy of the instrument —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on the registered holder of the access authority;</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 xml:space="preserve">specified a date on or before which a person on whom the instrument, or a copy of the instrument, is served may, by instrument in writing served on the Minister submit any matters that he wishes the Minister to consider;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rPr>
          <w:snapToGrid w:val="0"/>
        </w:rPr>
      </w:pPr>
      <w:r>
        <w:rPr>
          <w:snapToGrid w:val="0"/>
        </w:rPr>
        <w:tab/>
        <w:t>(5)</w:t>
      </w:r>
      <w:r>
        <w:rPr>
          <w:snapToGrid w:val="0"/>
        </w:rPr>
        <w:tab/>
        <w:t>An access authority, while it remains in force, authorizes the holder, subject to this Act</w:t>
      </w:r>
      <w:del w:id="708" w:author="svcMRProcess" w:date="2020-02-19T21:14:00Z">
        <w:r>
          <w:rPr>
            <w:snapToGrid w:val="0"/>
          </w:rPr>
          <w:delText xml:space="preserve"> and the regulations</w:delText>
        </w:r>
      </w:del>
      <w:r>
        <w:rPr>
          <w:snapToGrid w:val="0"/>
        </w:rPr>
        <w:t xml:space="preserve">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 xml:space="preserve">Nothing in an access authority authorizes the holder to make a well other than a deviation well into an adjacent permit area, lease area or licence area held by him under this Act or the </w:t>
      </w:r>
      <w:r>
        <w:rPr>
          <w:i/>
          <w:snapToGrid w:val="0"/>
        </w:rPr>
        <w:t>Petroleum Act 1967</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period.</w:t>
      </w:r>
    </w:p>
    <w:p>
      <w:pPr>
        <w:pStyle w:val="Subsection"/>
        <w:rPr>
          <w:snapToGrid w:val="0"/>
        </w:rPr>
      </w:pPr>
      <w:r>
        <w:rPr>
          <w:snapToGrid w:val="0"/>
        </w:rPr>
        <w:tab/>
        <w:t>(8)</w:t>
      </w:r>
      <w:r>
        <w:rPr>
          <w:snapToGrid w:val="0"/>
        </w:rPr>
        <w:tab/>
        <w:t>An access authority —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lease area or licence area operations may be carried on in pursuance of the access authority.</w:t>
      </w:r>
    </w:p>
    <w:p>
      <w:pPr>
        <w:pStyle w:val="Subsection"/>
        <w:spacing w:before="180"/>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 </w:t>
      </w:r>
    </w:p>
    <w:p>
      <w:pPr>
        <w:pStyle w:val="Indenta"/>
        <w:spacing w:before="100"/>
        <w:rPr>
          <w:snapToGrid w:val="0"/>
        </w:rPr>
      </w:pPr>
      <w:r>
        <w:rPr>
          <w:snapToGrid w:val="0"/>
        </w:rPr>
        <w:tab/>
        <w:t>(a)</w:t>
      </w:r>
      <w:r>
        <w:rPr>
          <w:snapToGrid w:val="0"/>
        </w:rPr>
        <w:tab/>
        <w:t>to remove or cause to be removed from the relinquished area all property brought into that area by any person engaged or concerned in the operations authorized by the access authority or to make arrangements that are satisfactory to the Minister with respect to that property;</w:t>
      </w:r>
    </w:p>
    <w:p>
      <w:pPr>
        <w:pStyle w:val="Indenta"/>
        <w:spacing w:before="100"/>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spacing w:before="100"/>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 $10 000.</w:t>
      </w:r>
    </w:p>
    <w:p>
      <w:pPr>
        <w:pStyle w:val="Subsection"/>
        <w:spacing w:before="180"/>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lease or licence of which he is not the registered holder, furnish to the registered holder of that permit, lease or licence, within 28 days after the end of each month during which the access authority is in force in respect of that block, a full report, in writing, of the operations (not being operations related to the recovery of petroleum by means of a deviation well referred to in subsection (6)) carried on in that block during that month and a summary of the facts ascertained from those operations.</w:t>
      </w:r>
    </w:p>
    <w:p>
      <w:pPr>
        <w:pStyle w:val="Penstart"/>
        <w:spacing w:before="100"/>
        <w:rPr>
          <w:snapToGrid w:val="0"/>
        </w:rPr>
      </w:pPr>
      <w:r>
        <w:rPr>
          <w:snapToGrid w:val="0"/>
        </w:rPr>
        <w:tab/>
        <w:t>Penalty: $5 000.</w:t>
      </w:r>
    </w:p>
    <w:p>
      <w:pPr>
        <w:pStyle w:val="Subsection"/>
        <w:spacing w:before="180"/>
        <w:rPr>
          <w:snapToGrid w:val="0"/>
        </w:rPr>
      </w:pPr>
      <w:r>
        <w:rPr>
          <w:snapToGrid w:val="0"/>
        </w:rPr>
        <w:tab/>
        <w:t>(12)</w:t>
      </w:r>
      <w:r>
        <w:rPr>
          <w:snapToGrid w:val="0"/>
        </w:rPr>
        <w:tab/>
        <w:t>Section 108 applies to and in relation to an access authority as if — </w:t>
      </w:r>
    </w:p>
    <w:p>
      <w:pPr>
        <w:pStyle w:val="Indenta"/>
        <w:spacing w:before="100"/>
        <w:rPr>
          <w:snapToGrid w:val="0"/>
        </w:rPr>
      </w:pPr>
      <w:r>
        <w:rPr>
          <w:snapToGrid w:val="0"/>
        </w:rPr>
        <w:tab/>
        <w:t>(a)</w:t>
      </w:r>
      <w:r>
        <w:rPr>
          <w:snapToGrid w:val="0"/>
        </w:rPr>
        <w:tab/>
        <w:t>a reference in that section to a permit were a reference to an access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(9).</w:t>
      </w:r>
    </w:p>
    <w:p>
      <w:pPr>
        <w:pStyle w:val="Subsection"/>
        <w:spacing w:before="120"/>
        <w:rPr>
          <w:snapToGrid w:val="0"/>
        </w:rPr>
      </w:pPr>
      <w:r>
        <w:rPr>
          <w:snapToGrid w:val="0"/>
        </w:rPr>
        <w:tab/>
        <w:t>(13)</w:t>
      </w:r>
      <w:r>
        <w:rPr>
          <w:snapToGrid w:val="0"/>
        </w:rPr>
        <w:tab/>
        <w:t xml:space="preserve">In this section, </w:t>
      </w:r>
      <w:r>
        <w:rPr>
          <w:b/>
          <w:snapToGrid w:val="0"/>
        </w:rPr>
        <w:t>“</w:t>
      </w:r>
      <w:r>
        <w:rPr>
          <w:rStyle w:val="CharDefText"/>
        </w:rPr>
        <w:t>petroleum title</w:t>
      </w:r>
      <w:r>
        <w:rPr>
          <w:b/>
          <w:snapToGrid w:val="0"/>
        </w:rPr>
        <w:t>”</w:t>
      </w:r>
      <w:r>
        <w:rPr>
          <w:snapToGrid w:val="0"/>
        </w:rPr>
        <w:t xml:space="preserve"> means an authority, however described, under the </w:t>
      </w:r>
      <w:r>
        <w:rPr>
          <w:i/>
          <w:snapToGrid w:val="0"/>
        </w:rPr>
        <w:t>Petroleum Act 1967</w:t>
      </w:r>
      <w:r>
        <w:rPr>
          <w:snapToGrid w:val="0"/>
        </w:rPr>
        <w:t xml:space="preserve"> or a law of the Commonwealth, of another State or of the Northern Territory, to explore for, or to recover, petroleum.</w:t>
      </w:r>
    </w:p>
    <w:p>
      <w:pPr>
        <w:pStyle w:val="Footnotesection"/>
      </w:pPr>
      <w:r>
        <w:tab/>
        <w:t>[Section 112 amended by No. 12 of 1990 s.227; No. 28 of 1994 s.</w:t>
      </w:r>
      <w:del w:id="709" w:author="svcMRProcess" w:date="2020-02-19T21:14:00Z">
        <w:r>
          <w:delText>108.]</w:delText>
        </w:r>
      </w:del>
      <w:ins w:id="710" w:author="svcMRProcess" w:date="2020-02-19T21:14:00Z">
        <w:r>
          <w:t> 108; No. 13 of 2005 s. 46(1).]</w:t>
        </w:r>
      </w:ins>
      <w:r>
        <w:t xml:space="preserve"> </w:t>
      </w:r>
    </w:p>
    <w:p>
      <w:pPr>
        <w:pStyle w:val="Heading5"/>
        <w:rPr>
          <w:snapToGrid w:val="0"/>
        </w:rPr>
      </w:pPr>
      <w:bookmarkStart w:id="711" w:name="_Toc501861802"/>
      <w:bookmarkStart w:id="712" w:name="_Toc113772561"/>
      <w:bookmarkStart w:id="713" w:name="_Toc170190655"/>
      <w:bookmarkStart w:id="714" w:name="_Toc157933630"/>
      <w:r>
        <w:rPr>
          <w:rStyle w:val="CharSectno"/>
        </w:rPr>
        <w:t>113</w:t>
      </w:r>
      <w:r>
        <w:rPr>
          <w:snapToGrid w:val="0"/>
        </w:rPr>
        <w:t>.</w:t>
      </w:r>
      <w:r>
        <w:rPr>
          <w:snapToGrid w:val="0"/>
        </w:rPr>
        <w:tab/>
        <w:t>Sale of property</w:t>
      </w:r>
      <w:bookmarkEnd w:id="711"/>
      <w:bookmarkEnd w:id="712"/>
      <w:bookmarkEnd w:id="713"/>
      <w:bookmarkEnd w:id="714"/>
      <w:r>
        <w:rPr>
          <w:snapToGrid w:val="0"/>
        </w:rPr>
        <w:t xml:space="preserve"> </w:t>
      </w:r>
    </w:p>
    <w:p>
      <w:pPr>
        <w:pStyle w:val="Subsection"/>
        <w:spacing w:before="120"/>
        <w:rPr>
          <w:snapToGrid w:val="0"/>
        </w:rPr>
      </w:pPr>
      <w:r>
        <w:rPr>
          <w:snapToGrid w:val="0"/>
        </w:rPr>
        <w:tab/>
        <w:t>(1)</w:t>
      </w:r>
      <w:r>
        <w:rPr>
          <w:snapToGrid w:val="0"/>
        </w:rPr>
        <w:tab/>
        <w:t>Where a direction under section 108 has not been complied with in relation to any property, the Minister may do all or any of the following things — </w:t>
      </w:r>
    </w:p>
    <w:p>
      <w:pPr>
        <w:pStyle w:val="Indenta"/>
        <w:spacing w:before="100"/>
        <w:rPr>
          <w:snapToGrid w:val="0"/>
        </w:rPr>
      </w:pPr>
      <w:r>
        <w:rPr>
          <w:snapToGrid w:val="0"/>
        </w:rPr>
        <w:tab/>
        <w:t>(a)</w:t>
      </w:r>
      <w:r>
        <w:rPr>
          <w:snapToGrid w:val="0"/>
        </w:rPr>
        <w:tab/>
        <w:t>remove, in such manner as he thinks fit, all or any of that property from the relinquished area concerned;</w:t>
      </w:r>
    </w:p>
    <w:p>
      <w:pPr>
        <w:pStyle w:val="Indenta"/>
        <w:spacing w:before="100"/>
        <w:rPr>
          <w:snapToGrid w:val="0"/>
        </w:rPr>
      </w:pPr>
      <w:r>
        <w:rPr>
          <w:snapToGrid w:val="0"/>
        </w:rPr>
        <w:tab/>
        <w:t>(b)</w:t>
      </w:r>
      <w:r>
        <w:rPr>
          <w:snapToGrid w:val="0"/>
        </w:rPr>
        <w:tab/>
        <w:t>dispose of, in such manner as he thinks fit, all or any of that property; and</w:t>
      </w:r>
    </w:p>
    <w:p>
      <w:pPr>
        <w:pStyle w:val="Indenta"/>
        <w:spacing w:before="100"/>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of that property that belongs, or that he believes to belong, to that person.</w:t>
      </w:r>
    </w:p>
    <w:p>
      <w:pPr>
        <w:pStyle w:val="Subsection"/>
        <w:spacing w:before="120"/>
        <w:rPr>
          <w:snapToGrid w:val="0"/>
        </w:rPr>
      </w:pPr>
      <w:r>
        <w:rPr>
          <w:snapToGrid w:val="0"/>
        </w:rPr>
        <w:tab/>
        <w:t>(2)</w:t>
      </w:r>
      <w:r>
        <w:rPr>
          <w:snapToGrid w:val="0"/>
        </w:rPr>
        <w:tab/>
        <w:t>The Minister may deduct from the proceeds of a sale under subsection (1) of property that belongs, or that he believes to belong, to a particular person — </w:t>
      </w:r>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107, 111 or 112, as the case may be, to be done by that person; and</w:t>
      </w:r>
    </w:p>
    <w:p>
      <w:pPr>
        <w:pStyle w:val="Indenta"/>
        <w:rPr>
          <w:snapToGrid w:val="0"/>
        </w:rPr>
      </w:pPr>
      <w:r>
        <w:rPr>
          <w:snapToGrid w:val="0"/>
        </w:rPr>
        <w:tab/>
        <w:t>(c)</w:t>
      </w:r>
      <w:r>
        <w:rPr>
          <w:snapToGrid w:val="0"/>
        </w:rPr>
        <w:tab/>
        <w:t>all or any part of any fees or amounts due and payable under this Act or the Registration Fees Act by that person.</w:t>
      </w:r>
    </w:p>
    <w:p>
      <w:pPr>
        <w:pStyle w:val="Subsection"/>
        <w:rPr>
          <w:snapToGrid w:val="0"/>
        </w:rPr>
      </w:pPr>
      <w:r>
        <w:rPr>
          <w:snapToGrid w:val="0"/>
        </w:rPr>
        <w:tab/>
        <w:t>(3)</w:t>
      </w:r>
      <w:r>
        <w:rPr>
          <w:snapToGrid w:val="0"/>
        </w:rPr>
        <w:tab/>
        <w:t>Costs and expenses incurred by the Minister under subsection (1) — </w:t>
      </w:r>
    </w:p>
    <w:p>
      <w:pPr>
        <w:pStyle w:val="Indenta"/>
        <w:rPr>
          <w:snapToGrid w:val="0"/>
        </w:rPr>
      </w:pPr>
      <w:r>
        <w:rPr>
          <w:snapToGrid w:val="0"/>
        </w:rPr>
        <w:tab/>
        <w:t>(a)</w:t>
      </w:r>
      <w:r>
        <w:rPr>
          <w:snapToGrid w:val="0"/>
        </w:rPr>
        <w:tab/>
        <w:t>if incurred in relation to the removal, disposal or sale of property, are a debt due by the owner of the property to the State; or</w:t>
      </w:r>
    </w:p>
    <w:p>
      <w:pPr>
        <w:pStyle w:val="Indenta"/>
        <w:rPr>
          <w:snapToGrid w:val="0"/>
        </w:rPr>
      </w:pPr>
      <w:r>
        <w:rPr>
          <w:snapToGrid w:val="0"/>
        </w:rPr>
        <w:tab/>
        <w:t>(b)</w:t>
      </w:r>
      <w:r>
        <w:rPr>
          <w:snapToGrid w:val="0"/>
        </w:rPr>
        <w:tab/>
        <w:t>if incurred in relation to the doing of any thing required by a direction under section 107, 111 or 112, as the case may be, to be done by a person who is or was a permittee, lessee, licensee, pipeline licensee or holder of a special prospecting authority or access authority, are a debt due by that person to the State,</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 xml:space="preserve">[Section 113 amended by No. 12 of 1990 s.228.] </w:t>
      </w:r>
    </w:p>
    <w:p>
      <w:pPr>
        <w:pStyle w:val="Ednotesection"/>
      </w:pPr>
      <w:r>
        <w:t>[</w:t>
      </w:r>
      <w:r>
        <w:rPr>
          <w:b/>
        </w:rPr>
        <w:t>114.</w:t>
      </w:r>
      <w:r>
        <w:tab/>
        <w:t xml:space="preserve">Repealed by No. 28 of 1994 s.109.] </w:t>
      </w:r>
    </w:p>
    <w:p>
      <w:pPr>
        <w:pStyle w:val="Heading5"/>
        <w:rPr>
          <w:snapToGrid w:val="0"/>
        </w:rPr>
      </w:pPr>
      <w:bookmarkStart w:id="715" w:name="_Toc501861803"/>
      <w:bookmarkStart w:id="716" w:name="_Toc113772562"/>
      <w:bookmarkStart w:id="717" w:name="_Toc170190656"/>
      <w:bookmarkStart w:id="718" w:name="_Toc157933631"/>
      <w:r>
        <w:rPr>
          <w:rStyle w:val="CharSectno"/>
        </w:rPr>
        <w:t>115</w:t>
      </w:r>
      <w:r>
        <w:rPr>
          <w:snapToGrid w:val="0"/>
        </w:rPr>
        <w:t>.</w:t>
      </w:r>
      <w:r>
        <w:rPr>
          <w:snapToGrid w:val="0"/>
        </w:rPr>
        <w:tab/>
        <w:t>Minister, etc., may require information to be furnished, etc.</w:t>
      </w:r>
      <w:bookmarkEnd w:id="715"/>
      <w:bookmarkEnd w:id="716"/>
      <w:bookmarkEnd w:id="717"/>
      <w:bookmarkEnd w:id="718"/>
      <w:r>
        <w:rPr>
          <w:snapToGrid w:val="0"/>
        </w:rPr>
        <w:t xml:space="preserve"> </w:t>
      </w:r>
    </w:p>
    <w:p>
      <w:pPr>
        <w:pStyle w:val="Subsection"/>
        <w:spacing w:before="120"/>
        <w:rPr>
          <w:snapToGrid w:val="0"/>
        </w:rPr>
      </w:pPr>
      <w:r>
        <w:rPr>
          <w:snapToGrid w:val="0"/>
        </w:rPr>
        <w:tab/>
        <w:t>(1)</w:t>
      </w:r>
      <w:r>
        <w:rPr>
          <w:snapToGrid w:val="0"/>
        </w:rPr>
        <w:tab/>
        <w:t>Where the Minister or an inspector has reason to believe that a person is capable of giving information or producing documents relating to petroleum exploration operations, operations for the recovery of petroleum or operations connected with the construction or operation of a pipeline in the adjacent area, he may, by instrument in writing served on that person, require that person — </w:t>
      </w:r>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spacing w:before="180"/>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117.</w:t>
      </w:r>
    </w:p>
    <w:p>
      <w:pPr>
        <w:pStyle w:val="Heading5"/>
        <w:rPr>
          <w:snapToGrid w:val="0"/>
        </w:rPr>
      </w:pPr>
      <w:bookmarkStart w:id="719" w:name="_Toc501861804"/>
      <w:bookmarkStart w:id="720" w:name="_Toc113772563"/>
      <w:bookmarkStart w:id="721" w:name="_Toc170190657"/>
      <w:bookmarkStart w:id="722" w:name="_Toc157933632"/>
      <w:r>
        <w:rPr>
          <w:rStyle w:val="CharSectno"/>
        </w:rPr>
        <w:t>116</w:t>
      </w:r>
      <w:r>
        <w:rPr>
          <w:snapToGrid w:val="0"/>
        </w:rPr>
        <w:t>.</w:t>
      </w:r>
      <w:r>
        <w:rPr>
          <w:snapToGrid w:val="0"/>
        </w:rPr>
        <w:tab/>
        <w:t>Power to examine on oath</w:t>
      </w:r>
      <w:bookmarkEnd w:id="719"/>
      <w:bookmarkEnd w:id="720"/>
      <w:bookmarkEnd w:id="721"/>
      <w:bookmarkEnd w:id="722"/>
      <w:r>
        <w:rPr>
          <w:snapToGrid w:val="0"/>
        </w:rPr>
        <w:t xml:space="preserve"> </w:t>
      </w:r>
    </w:p>
    <w:p>
      <w:pPr>
        <w:pStyle w:val="Subsection"/>
        <w:spacing w:before="180"/>
        <w:rPr>
          <w:snapToGrid w:val="0"/>
        </w:rPr>
      </w:pPr>
      <w:r>
        <w:rPr>
          <w:snapToGrid w:val="0"/>
        </w:rPr>
        <w:tab/>
        <w:t>(1)</w:t>
      </w:r>
      <w:r>
        <w:rPr>
          <w:snapToGrid w:val="0"/>
        </w:rPr>
        <w:tab/>
        <w:t>The Minister or an inspector may administer an oath to a person required to attend before him in pursuance of section 115 and may examine that person on oath.</w:t>
      </w:r>
    </w:p>
    <w:p>
      <w:pPr>
        <w:pStyle w:val="Subsection"/>
        <w:spacing w:before="180"/>
        <w:rPr>
          <w:snapToGrid w:val="0"/>
        </w:rPr>
      </w:pPr>
      <w:r>
        <w:rPr>
          <w:snapToGrid w:val="0"/>
        </w:rPr>
        <w:tab/>
        <w:t>(2)</w:t>
      </w:r>
      <w:r>
        <w:rPr>
          <w:snapToGrid w:val="0"/>
        </w:rPr>
        <w:tab/>
        <w:t>Where a person attending before the Minister or an inspector in pursuance of section 115 conscientiously objects to take an oath, he may make an affirmation that he conscientiously objects to take an oath and that he will state the truth, the whole truth and nothing but the truth to all questions asked him.</w:t>
      </w:r>
    </w:p>
    <w:p>
      <w:pPr>
        <w:pStyle w:val="Subsection"/>
        <w:spacing w:before="180"/>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723" w:name="_Toc501861805"/>
      <w:bookmarkStart w:id="724" w:name="_Toc113772564"/>
      <w:bookmarkStart w:id="725" w:name="_Toc170190658"/>
      <w:bookmarkStart w:id="726" w:name="_Toc157933633"/>
      <w:r>
        <w:rPr>
          <w:rStyle w:val="CharSectno"/>
        </w:rPr>
        <w:t>117</w:t>
      </w:r>
      <w:r>
        <w:rPr>
          <w:snapToGrid w:val="0"/>
        </w:rPr>
        <w:t>.</w:t>
      </w:r>
      <w:r>
        <w:rPr>
          <w:snapToGrid w:val="0"/>
        </w:rPr>
        <w:tab/>
        <w:t>Failing to furnish information, etc.</w:t>
      </w:r>
      <w:bookmarkEnd w:id="723"/>
      <w:bookmarkEnd w:id="724"/>
      <w:bookmarkEnd w:id="725"/>
      <w:bookmarkEnd w:id="726"/>
      <w:r>
        <w:rPr>
          <w:snapToGrid w:val="0"/>
        </w:rPr>
        <w:t xml:space="preserve"> </w:t>
      </w:r>
    </w:p>
    <w:p>
      <w:pPr>
        <w:pStyle w:val="Subsection"/>
        <w:spacing w:before="180"/>
        <w:rPr>
          <w:snapToGrid w:val="0"/>
        </w:rPr>
      </w:pPr>
      <w:r>
        <w:rPr>
          <w:snapToGrid w:val="0"/>
        </w:rPr>
        <w:tab/>
      </w:r>
      <w:r>
        <w:rPr>
          <w:snapToGrid w:val="0"/>
        </w:rPr>
        <w:tab/>
        <w:t>A person shall not — </w:t>
      </w:r>
    </w:p>
    <w:p>
      <w:pPr>
        <w:pStyle w:val="Indenta"/>
        <w:spacing w:before="100"/>
        <w:rPr>
          <w:snapToGrid w:val="0"/>
        </w:rPr>
      </w:pPr>
      <w:r>
        <w:rPr>
          <w:snapToGrid w:val="0"/>
        </w:rPr>
        <w:tab/>
        <w:t>(a)</w:t>
      </w:r>
      <w:r>
        <w:rPr>
          <w:snapToGrid w:val="0"/>
        </w:rPr>
        <w:tab/>
        <w:t>refuse or fail to comply with a requirement in an instrument under section 115 to the extent to which he is capable of complying with it;</w:t>
      </w:r>
    </w:p>
    <w:p>
      <w:pPr>
        <w:pStyle w:val="Indenta"/>
        <w:spacing w:before="100"/>
        <w:rPr>
          <w:snapToGrid w:val="0"/>
        </w:rPr>
      </w:pPr>
      <w:r>
        <w:rPr>
          <w:snapToGrid w:val="0"/>
        </w:rPr>
        <w:tab/>
        <w:t>(b)</w:t>
      </w:r>
      <w:r>
        <w:rPr>
          <w:snapToGrid w:val="0"/>
        </w:rPr>
        <w:tab/>
        <w:t>in purported compliance with such a requirement, furnish information that is to his knowledge false or misleading in a material particular; or</w:t>
      </w:r>
    </w:p>
    <w:p>
      <w:pPr>
        <w:pStyle w:val="Indenta"/>
        <w:spacing w:before="100"/>
        <w:rPr>
          <w:snapToGrid w:val="0"/>
        </w:rPr>
      </w:pPr>
      <w:r>
        <w:rPr>
          <w:snapToGrid w:val="0"/>
        </w:rPr>
        <w:tab/>
        <w:t>(c)</w:t>
      </w:r>
      <w:r>
        <w:rPr>
          <w:snapToGrid w:val="0"/>
        </w:rPr>
        <w:tab/>
        <w:t>when attending before the Minister or an inspector in pursuance of such a requirement, make a statement or produce a document that is to his knowledge false or misleading in a material particular.</w:t>
      </w:r>
    </w:p>
    <w:p>
      <w:pPr>
        <w:pStyle w:val="Penstart"/>
        <w:spacing w:before="140"/>
        <w:rPr>
          <w:snapToGrid w:val="0"/>
        </w:rPr>
      </w:pPr>
      <w:r>
        <w:rPr>
          <w:snapToGrid w:val="0"/>
        </w:rPr>
        <w:tab/>
        <w:t>Penalty: $10 000.</w:t>
      </w:r>
    </w:p>
    <w:p>
      <w:pPr>
        <w:pStyle w:val="Heading5"/>
        <w:spacing w:before="240"/>
        <w:rPr>
          <w:snapToGrid w:val="0"/>
        </w:rPr>
      </w:pPr>
      <w:bookmarkStart w:id="727" w:name="_Toc501861806"/>
      <w:bookmarkStart w:id="728" w:name="_Toc113772565"/>
      <w:bookmarkStart w:id="729" w:name="_Toc170190659"/>
      <w:bookmarkStart w:id="730" w:name="_Toc157933634"/>
      <w:r>
        <w:rPr>
          <w:rStyle w:val="CharSectno"/>
        </w:rPr>
        <w:t>118</w:t>
      </w:r>
      <w:r>
        <w:rPr>
          <w:snapToGrid w:val="0"/>
        </w:rPr>
        <w:t>.</w:t>
      </w:r>
      <w:r>
        <w:rPr>
          <w:snapToGrid w:val="0"/>
        </w:rPr>
        <w:tab/>
        <w:t>Release of information</w:t>
      </w:r>
      <w:bookmarkEnd w:id="727"/>
      <w:bookmarkEnd w:id="728"/>
      <w:bookmarkEnd w:id="729"/>
      <w:bookmarkEnd w:id="730"/>
      <w:r>
        <w:rPr>
          <w:snapToGrid w:val="0"/>
        </w:rPr>
        <w:t xml:space="preserve"> </w:t>
      </w:r>
    </w:p>
    <w:p>
      <w:pPr>
        <w:pStyle w:val="Subsection"/>
        <w:spacing w:before="180"/>
        <w:rPr>
          <w:snapToGrid w:val="0"/>
          <w:spacing w:val="2"/>
        </w:rPr>
      </w:pPr>
      <w:r>
        <w:rPr>
          <w:snapToGrid w:val="0"/>
          <w:spacing w:val="2"/>
        </w:rPr>
        <w:tab/>
        <w:t>(1)</w:t>
      </w:r>
      <w:r>
        <w:rPr>
          <w:snapToGrid w:val="0"/>
          <w:spacing w:val="2"/>
        </w:rPr>
        <w:tab/>
        <w:t>The Minister may, at any time, make available to another Minister of the Crown of the State or a Minister of the Crown of another State or to a Minister of State of the Commonwealth — </w:t>
      </w:r>
    </w:p>
    <w:p>
      <w:pPr>
        <w:pStyle w:val="Indenta"/>
        <w:spacing w:before="100"/>
        <w:rPr>
          <w:snapToGrid w:val="0"/>
        </w:rPr>
      </w:pPr>
      <w:r>
        <w:rPr>
          <w:snapToGrid w:val="0"/>
        </w:rPr>
        <w:tab/>
        <w:t>(a)</w:t>
      </w:r>
      <w:r>
        <w:rPr>
          <w:snapToGrid w:val="0"/>
        </w:rPr>
        <w:tab/>
        <w:t>any information contained in a document to which this section applies that has been furnished to the Minister; and</w:t>
      </w:r>
    </w:p>
    <w:p>
      <w:pPr>
        <w:pStyle w:val="Indenta"/>
        <w:spacing w:before="100"/>
        <w:rPr>
          <w:snapToGrid w:val="0"/>
          <w:spacing w:val="2"/>
        </w:rPr>
      </w:pPr>
      <w:r>
        <w:rPr>
          <w:snapToGrid w:val="0"/>
          <w:spacing w:val="2"/>
        </w:rPr>
        <w:tab/>
        <w:t>(b)</w:t>
      </w:r>
      <w:r>
        <w:rPr>
          <w:snapToGrid w:val="0"/>
          <w:spacing w:val="2"/>
        </w:rPr>
        <w:tab/>
        <w:t>any cores or cuttings from, or samples of, the sea</w:t>
      </w:r>
      <w:r>
        <w:rPr>
          <w:snapToGrid w:val="0"/>
          <w:spacing w:val="2"/>
        </w:rPr>
        <w:noBreakHyphen/>
        <w:t>bed or subsoil in a block, or samples of petroleum recovered in a block, that have been furnished to the Minister.</w:t>
      </w:r>
    </w:p>
    <w:p>
      <w:pPr>
        <w:pStyle w:val="Subsection"/>
        <w:spacing w:before="180"/>
        <w:rPr>
          <w:snapToGrid w:val="0"/>
        </w:rPr>
      </w:pPr>
      <w:r>
        <w:rPr>
          <w:snapToGrid w:val="0"/>
        </w:rPr>
        <w:tab/>
        <w:t>(1a)</w:t>
      </w:r>
      <w:r>
        <w:rPr>
          <w:snapToGrid w:val="0"/>
        </w:rPr>
        <w:tab/>
        <w:t>The Minister may, at any time after the grant or renewal, or refusal to grant or renew, a permit, lease, licence, pipeline licence, access authority or special prospecting authority — </w:t>
      </w:r>
    </w:p>
    <w:p>
      <w:pPr>
        <w:pStyle w:val="Indenta"/>
        <w:spacing w:before="100"/>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r>
      <w:r>
        <w:rPr>
          <w:snapToGrid w:val="0"/>
          <w:spacing w:val="-2"/>
        </w:rPr>
        <w:t>on request by a person and, if the Minister so requires, on payment of the prescribed fee, make available to that person,</w:t>
      </w:r>
    </w:p>
    <w:p>
      <w:pPr>
        <w:pStyle w:val="Subsection"/>
        <w:spacing w:before="80"/>
        <w:rPr>
          <w:snapToGrid w:val="0"/>
          <w:spacing w:val="-2"/>
        </w:rPr>
      </w:pPr>
      <w:r>
        <w:rPr>
          <w:snapToGrid w:val="0"/>
          <w:spacing w:val="-2"/>
        </w:rPr>
        <w:tab/>
      </w:r>
      <w:r>
        <w:rPr>
          <w:snapToGrid w:val="0"/>
          <w:spacing w:val="-2"/>
        </w:rPr>
        <w:tab/>
        <w:t>any information contained in, or accompanying, the application for the grant or renewal, as the case may be, but not including — </w:t>
      </w:r>
    </w:p>
    <w:p>
      <w:pPr>
        <w:pStyle w:val="Indenta"/>
        <w:spacing w:before="60"/>
        <w:rPr>
          <w:snapToGrid w:val="0"/>
        </w:rPr>
      </w:pPr>
      <w:r>
        <w:rPr>
          <w:snapToGrid w:val="0"/>
        </w:rPr>
        <w:tab/>
        <w:t>(c)</w:t>
      </w:r>
      <w:r>
        <w:rPr>
          <w:snapToGrid w:val="0"/>
        </w:rPr>
        <w:tab/>
        <w:t>information of a kind referred to in subsection (2) or (5a); or</w:t>
      </w:r>
    </w:p>
    <w:p>
      <w:pPr>
        <w:pStyle w:val="Indenta"/>
        <w:spacing w:before="60"/>
        <w:rPr>
          <w:snapToGrid w:val="0"/>
        </w:rPr>
      </w:pPr>
      <w:r>
        <w:rPr>
          <w:snapToGrid w:val="0"/>
        </w:rPr>
        <w:tab/>
        <w:t>(d)</w:t>
      </w:r>
      <w:r>
        <w:rPr>
          <w:snapToGrid w:val="0"/>
        </w:rPr>
        <w:tab/>
        <w:t>particulars of — </w:t>
      </w:r>
    </w:p>
    <w:p>
      <w:pPr>
        <w:pStyle w:val="Indenti"/>
        <w:spacing w:before="60"/>
        <w:rPr>
          <w:snapToGrid w:val="0"/>
        </w:rPr>
      </w:pPr>
      <w:r>
        <w:rPr>
          <w:snapToGrid w:val="0"/>
        </w:rPr>
        <w:tab/>
        <w:t>(i)</w:t>
      </w:r>
      <w:r>
        <w:rPr>
          <w:snapToGrid w:val="0"/>
        </w:rPr>
        <w:tab/>
        <w:t>the technical qualifications of the applicant and of the employees of the applicant;</w:t>
      </w:r>
    </w:p>
    <w:p>
      <w:pPr>
        <w:pStyle w:val="Indenti"/>
        <w:spacing w:before="60"/>
        <w:rPr>
          <w:snapToGrid w:val="0"/>
        </w:rPr>
      </w:pPr>
      <w:r>
        <w:rPr>
          <w:snapToGrid w:val="0"/>
        </w:rPr>
        <w:tab/>
        <w:t>(ii)</w:t>
      </w:r>
      <w:r>
        <w:rPr>
          <w:snapToGrid w:val="0"/>
        </w:rPr>
        <w:tab/>
        <w:t>the technical advice available to the applicant; or</w:t>
      </w:r>
    </w:p>
    <w:p>
      <w:pPr>
        <w:pStyle w:val="Indenti"/>
        <w:spacing w:before="60"/>
        <w:rPr>
          <w:snapToGrid w:val="0"/>
        </w:rPr>
      </w:pPr>
      <w:r>
        <w:rPr>
          <w:snapToGrid w:val="0"/>
        </w:rPr>
        <w:tab/>
        <w:t>(iii)</w:t>
      </w:r>
      <w:r>
        <w:rPr>
          <w:snapToGrid w:val="0"/>
        </w:rPr>
        <w:tab/>
        <w:t>the financial resources available to the applicant.</w:t>
      </w:r>
    </w:p>
    <w:p>
      <w:pPr>
        <w:pStyle w:val="Subsection"/>
        <w:spacing w:before="120"/>
        <w:rPr>
          <w:snapToGrid w:val="0"/>
        </w:rPr>
      </w:pPr>
      <w:r>
        <w:rPr>
          <w:snapToGrid w:val="0"/>
        </w:rPr>
        <w:tab/>
        <w:t>(2)</w:t>
      </w:r>
      <w:r>
        <w:rPr>
          <w:snapToGrid w:val="0"/>
        </w:rPr>
        <w:tab/>
        <w:t xml:space="preserve">The </w:t>
      </w:r>
      <w:r>
        <w:rPr>
          <w:snapToGrid w:val="0"/>
          <w:spacing w:val="-2"/>
        </w:rPr>
        <w:t>Minister</w:t>
      </w:r>
      <w:r>
        <w:rPr>
          <w:snapToGrid w:val="0"/>
        </w:rPr>
        <w:t xml:space="preserve"> may, at any time after the relevant day — </w:t>
      </w:r>
    </w:p>
    <w:p>
      <w:pPr>
        <w:pStyle w:val="Indenta"/>
        <w:spacing w:before="60"/>
        <w:rPr>
          <w:snapToGrid w:val="0"/>
        </w:rPr>
      </w:pPr>
      <w:r>
        <w:rPr>
          <w:snapToGrid w:val="0"/>
        </w:rPr>
        <w:tab/>
        <w:t>(a)</w:t>
      </w:r>
      <w:r>
        <w:rPr>
          <w:snapToGrid w:val="0"/>
        </w:rPr>
        <w:tab/>
        <w:t>make publicly known; or</w:t>
      </w:r>
    </w:p>
    <w:p>
      <w:pPr>
        <w:pStyle w:val="Indenta"/>
        <w:spacing w:before="60"/>
        <w:rPr>
          <w:snapToGrid w:val="0"/>
        </w:rPr>
      </w:pPr>
      <w:r>
        <w:rPr>
          <w:snapToGrid w:val="0"/>
        </w:rPr>
        <w:tab/>
        <w:t>(b)</w:t>
      </w:r>
      <w:r>
        <w:rPr>
          <w:snapToGrid w:val="0"/>
        </w:rPr>
        <w:tab/>
        <w:t>on request by a person and, if the Minister so requires, on payment of the prescribed fee, make available to that person,</w:t>
      </w:r>
    </w:p>
    <w:p>
      <w:pPr>
        <w:pStyle w:val="Subsection"/>
        <w:spacing w:before="80"/>
        <w:rPr>
          <w:snapToGrid w:val="0"/>
        </w:rPr>
      </w:pPr>
      <w:r>
        <w:rPr>
          <w:snapToGrid w:val="0"/>
        </w:rPr>
        <w:tab/>
      </w:r>
      <w:r>
        <w:rPr>
          <w:snapToGrid w:val="0"/>
        </w:rPr>
        <w:tab/>
        <w:t>any information contained in a document to which this section applies that has been furnished to the Minister, being information that relates to the sea</w:t>
      </w:r>
      <w:r>
        <w:rPr>
          <w:snapToGrid w:val="0"/>
        </w:rPr>
        <w:noBreakHyphen/>
        <w:t>bed or subsoil, or to petroleum, 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spacing w:before="120"/>
        <w:rPr>
          <w:snapToGrid w:val="0"/>
        </w:rPr>
      </w:pPr>
      <w:r>
        <w:rPr>
          <w:snapToGrid w:val="0"/>
        </w:rPr>
        <w:tab/>
        <w:t>(3)</w:t>
      </w:r>
      <w:r>
        <w:rPr>
          <w:snapToGrid w:val="0"/>
        </w:rPr>
        <w:tab/>
        <w:t xml:space="preserve">The </w:t>
      </w:r>
      <w:r>
        <w:rPr>
          <w:snapToGrid w:val="0"/>
          <w:spacing w:val="-2"/>
        </w:rPr>
        <w:t>Minister</w:t>
      </w:r>
      <w:r>
        <w:rPr>
          <w:snapToGrid w:val="0"/>
        </w:rPr>
        <w:t xml:space="preserve"> or another Minister of the Crown of the State may, at any time after the relevant day — </w:t>
      </w:r>
    </w:p>
    <w:p>
      <w:pPr>
        <w:pStyle w:val="Indenta"/>
        <w:spacing w:before="60"/>
        <w:rPr>
          <w:snapToGrid w:val="0"/>
        </w:rPr>
      </w:pPr>
      <w:r>
        <w:rPr>
          <w:snapToGrid w:val="0"/>
        </w:rPr>
        <w:tab/>
        <w:t>(a)</w:t>
      </w:r>
      <w:r>
        <w:rPr>
          <w:snapToGrid w:val="0"/>
        </w:rPr>
        <w:tab/>
        <w:t>make publicly known any particulars of; or</w:t>
      </w:r>
    </w:p>
    <w:p>
      <w:pPr>
        <w:pStyle w:val="Indenta"/>
        <w:spacing w:before="60"/>
        <w:rPr>
          <w:snapToGrid w:val="0"/>
        </w:rPr>
      </w:pPr>
      <w:r>
        <w:rPr>
          <w:snapToGrid w:val="0"/>
        </w:rPr>
        <w:tab/>
        <w:t>(b)</w:t>
      </w:r>
      <w:r>
        <w:rPr>
          <w:snapToGrid w:val="0"/>
        </w:rPr>
        <w:tab/>
        <w:t>on request by a person and, if the Minister or the other Minister so requires, on payment of the prescribed fee, permit that person to inspect,</w:t>
      </w:r>
    </w:p>
    <w:p>
      <w:pPr>
        <w:pStyle w:val="Subsection"/>
        <w:spacing w:before="80"/>
        <w:rPr>
          <w:snapToGrid w:val="0"/>
        </w:rPr>
      </w:pPr>
      <w:r>
        <w:rPr>
          <w:snapToGrid w:val="0"/>
        </w:rPr>
        <w:tab/>
      </w:r>
      <w:r>
        <w:rPr>
          <w:snapToGrid w:val="0"/>
        </w:rPr>
        <w:tab/>
        <w:t xml:space="preserve">any </w:t>
      </w:r>
      <w:r>
        <w:rPr>
          <w:snapToGrid w:val="0"/>
          <w:spacing w:val="-2"/>
        </w:rPr>
        <w:t>cores</w:t>
      </w:r>
      <w:r>
        <w:rPr>
          <w:snapToGrid w:val="0"/>
        </w:rPr>
        <w:t xml:space="preserve"> or cuttings from, or samples of, the sea</w:t>
      </w:r>
      <w:r>
        <w:rPr>
          <w:snapToGrid w:val="0"/>
        </w:rPr>
        <w:noBreakHyphen/>
        <w:t>bed or subsoil in a block, or samples of petroleum recovered in a block, that have been furnished to the Minister or have been made available to the other Minister under subsection (1).</w:t>
      </w:r>
    </w:p>
    <w:p>
      <w:pPr>
        <w:pStyle w:val="Subsection"/>
        <w:rPr>
          <w:snapToGrid w:val="0"/>
        </w:rPr>
      </w:pPr>
      <w:r>
        <w:rPr>
          <w:snapToGrid w:val="0"/>
        </w:rPr>
        <w:tab/>
        <w:t>(4)</w:t>
      </w:r>
      <w:r>
        <w:rPr>
          <w:snapToGrid w:val="0"/>
        </w:rPr>
        <w:tab/>
        <w:t>For the purposes of subsections (2) and (3) — </w:t>
      </w:r>
    </w:p>
    <w:p>
      <w:pPr>
        <w:pStyle w:val="Indenta"/>
        <w:rPr>
          <w:snapToGrid w:val="0"/>
        </w:rPr>
      </w:pPr>
      <w:r>
        <w:rPr>
          <w:snapToGrid w:val="0"/>
        </w:rPr>
        <w:tab/>
        <w:t>(a)</w:t>
      </w:r>
      <w:r>
        <w:rPr>
          <w:snapToGrid w:val="0"/>
        </w:rPr>
        <w:tab/>
        <w:t>where — </w:t>
      </w:r>
    </w:p>
    <w:p>
      <w:pPr>
        <w:pStyle w:val="Indenti"/>
        <w:rPr>
          <w:snapToGrid w:val="0"/>
        </w:rPr>
      </w:pPr>
      <w:r>
        <w:rPr>
          <w:snapToGrid w:val="0"/>
        </w:rPr>
        <w:tab/>
        <w:t>(i)</w:t>
      </w:r>
      <w:r>
        <w:rPr>
          <w:snapToGrid w:val="0"/>
        </w:rPr>
        <w:tab/>
        <w:t>a permit or lease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 </w:t>
      </w:r>
    </w:p>
    <w:p>
      <w:pPr>
        <w:pStyle w:val="IndentI0"/>
        <w:rPr>
          <w:snapToGrid w:val="0"/>
        </w:rPr>
      </w:pPr>
      <w:r>
        <w:rPr>
          <w:snapToGrid w:val="0"/>
        </w:rPr>
        <w:tab/>
        <w:t>(A)</w:t>
      </w:r>
      <w:r>
        <w:rPr>
          <w:snapToGrid w:val="0"/>
        </w:rPr>
        <w:tab/>
        <w:t>the permit or lease;</w:t>
      </w:r>
    </w:p>
    <w:p>
      <w:pPr>
        <w:pStyle w:val="IndentI0"/>
        <w:rPr>
          <w:snapToGrid w:val="0"/>
        </w:rPr>
      </w:pPr>
      <w:r>
        <w:rPr>
          <w:snapToGrid w:val="0"/>
        </w:rPr>
        <w:tab/>
        <w:t>(B)</w:t>
      </w:r>
      <w:r>
        <w:rPr>
          <w:snapToGrid w:val="0"/>
        </w:rPr>
        <w:tab/>
        <w:t>in a case where a lease is in force in respect of the block, the permit that ceased to be in force in respect of the block by virtue of section 38B(7) on the day on which the lease came into force,</w:t>
      </w:r>
    </w:p>
    <w:p>
      <w:pPr>
        <w:pStyle w:val="Indenta"/>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p>
    <w:p>
      <w:pPr>
        <w:pStyle w:val="Indenta"/>
        <w:rPr>
          <w:snapToGrid w:val="0"/>
        </w:rPr>
      </w:pPr>
      <w:r>
        <w:rPr>
          <w:snapToGrid w:val="0"/>
        </w:rPr>
        <w:tab/>
        <w:t>(b)</w:t>
      </w:r>
      <w:r>
        <w:rPr>
          <w:snapToGrid w:val="0"/>
        </w:rPr>
        <w:tab/>
        <w:t>where — </w:t>
      </w:r>
    </w:p>
    <w:p>
      <w:pPr>
        <w:pStyle w:val="Indenti"/>
        <w:rPr>
          <w:snapToGrid w:val="0"/>
        </w:rPr>
      </w:pPr>
      <w:r>
        <w:rPr>
          <w:snapToGrid w:val="0"/>
        </w:rPr>
        <w:tab/>
        <w:t>(i)</w:t>
      </w:r>
      <w:r>
        <w:rPr>
          <w:snapToGrid w:val="0"/>
        </w:rPr>
        <w:tab/>
        <w:t>a licence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 </w:t>
      </w:r>
    </w:p>
    <w:p>
      <w:pPr>
        <w:pStyle w:val="IndentI0"/>
        <w:rPr>
          <w:snapToGrid w:val="0"/>
        </w:rPr>
      </w:pPr>
      <w:r>
        <w:rPr>
          <w:snapToGrid w:val="0"/>
        </w:rPr>
        <w:tab/>
        <w:t>(A)</w:t>
      </w:r>
      <w:r>
        <w:rPr>
          <w:snapToGrid w:val="0"/>
        </w:rPr>
        <w:tab/>
        <w:t>the licence;</w:t>
      </w:r>
    </w:p>
    <w:p>
      <w:pPr>
        <w:pStyle w:val="IndentI0"/>
        <w:rPr>
          <w:snapToGrid w:val="0"/>
        </w:rPr>
      </w:pPr>
      <w:r>
        <w:rPr>
          <w:snapToGrid w:val="0"/>
        </w:rPr>
        <w:tab/>
        <w:t>(B)</w:t>
      </w:r>
      <w:r>
        <w:rPr>
          <w:snapToGrid w:val="0"/>
        </w:rPr>
        <w:tab/>
        <w:t>the permit or lease that ceased to be in force in respect of the block by virtue of section 44(5) on the day on which the licence came into force,</w:t>
      </w:r>
    </w:p>
    <w:p>
      <w:pPr>
        <w:pStyle w:val="Indenta"/>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p>
    <w:p>
      <w:pPr>
        <w:pStyle w:val="Indenta"/>
        <w:spacing w:before="100"/>
        <w:rPr>
          <w:snapToGrid w:val="0"/>
        </w:rPr>
      </w:pPr>
      <w:r>
        <w:rPr>
          <w:snapToGrid w:val="0"/>
        </w:rPr>
        <w:tab/>
        <w:t>(c)</w:t>
      </w:r>
      <w:r>
        <w:rPr>
          <w:snapToGrid w:val="0"/>
        </w:rPr>
        <w:tab/>
        <w:t>where the document, core, cutting or sample was furnished to the Minister during a period during which a permit, lease or licence was in force in respect of the block and — </w:t>
      </w:r>
    </w:p>
    <w:p>
      <w:pPr>
        <w:pStyle w:val="Indenti"/>
        <w:spacing w:before="100"/>
        <w:rPr>
          <w:snapToGrid w:val="0"/>
        </w:rPr>
      </w:pPr>
      <w:r>
        <w:rPr>
          <w:snapToGrid w:val="0"/>
        </w:rPr>
        <w:tab/>
        <w:t>(i)</w:t>
      </w:r>
      <w:r>
        <w:rPr>
          <w:snapToGrid w:val="0"/>
        </w:rPr>
        <w:tab/>
        <w:t>the permit, lease or licence is surrendered, cancelled or determined as to the block; or</w:t>
      </w:r>
    </w:p>
    <w:p>
      <w:pPr>
        <w:pStyle w:val="Indenti"/>
        <w:spacing w:before="100"/>
        <w:rPr>
          <w:snapToGrid w:val="0"/>
        </w:rPr>
      </w:pPr>
      <w:r>
        <w:rPr>
          <w:snapToGrid w:val="0"/>
        </w:rPr>
        <w:tab/>
        <w:t>(ii)</w:t>
      </w:r>
      <w:r>
        <w:rPr>
          <w:snapToGrid w:val="0"/>
        </w:rPr>
        <w:tab/>
        <w:t>the permit, lease or licence expires but is not renewed in respect of the block,</w:t>
      </w:r>
    </w:p>
    <w:p>
      <w:pPr>
        <w:pStyle w:val="Indenta"/>
        <w:spacing w:before="100"/>
        <w:rPr>
          <w:snapToGrid w:val="0"/>
        </w:rPr>
      </w:pPr>
      <w:r>
        <w:rPr>
          <w:snapToGrid w:val="0"/>
        </w:rPr>
        <w:tab/>
      </w:r>
      <w:r>
        <w:rPr>
          <w:snapToGrid w:val="0"/>
        </w:rPr>
        <w:tab/>
        <w:t>the relevant day is the day on which the permit, lease or licence is so surrendered, cancelled or determined or expires, as the case may be, whether another permit, lease or licence is subsequently in force in respect of the block or not;</w:t>
      </w:r>
    </w:p>
    <w:p>
      <w:pPr>
        <w:pStyle w:val="Indenta"/>
        <w:spacing w:before="100"/>
        <w:rPr>
          <w:snapToGrid w:val="0"/>
        </w:rPr>
      </w:pPr>
      <w:r>
        <w:rPr>
          <w:snapToGrid w:val="0"/>
        </w:rPr>
        <w:tab/>
        <w:t>(d)</w:t>
      </w:r>
      <w:r>
        <w:rPr>
          <w:snapToGrid w:val="0"/>
        </w:rPr>
        <w:tab/>
        <w:t>where — </w:t>
      </w:r>
    </w:p>
    <w:p>
      <w:pPr>
        <w:pStyle w:val="Indenti"/>
        <w:spacing w:before="100"/>
        <w:rPr>
          <w:snapToGrid w:val="0"/>
        </w:rPr>
      </w:pPr>
      <w:r>
        <w:rPr>
          <w:snapToGrid w:val="0"/>
        </w:rPr>
        <w:tab/>
        <w:t>(i)</w:t>
      </w:r>
      <w:r>
        <w:rPr>
          <w:snapToGrid w:val="0"/>
        </w:rPr>
        <w:tab/>
        <w:t>the document, core, cutting or sample was furnished to the Minister at a time when a permit, lease or licence was not in force in respect of the block; and</w:t>
      </w:r>
    </w:p>
    <w:p>
      <w:pPr>
        <w:pStyle w:val="Indenti"/>
        <w:spacing w:before="100"/>
        <w:rPr>
          <w:snapToGrid w:val="0"/>
        </w:rPr>
      </w:pPr>
      <w:r>
        <w:rPr>
          <w:snapToGrid w:val="0"/>
        </w:rPr>
        <w:tab/>
        <w:t>(ii)</w:t>
      </w:r>
      <w:r>
        <w:rPr>
          <w:snapToGrid w:val="0"/>
        </w:rPr>
        <w:tab/>
        <w:t>the information in the document or the core, cutting or sample was collected for the sale of information on a non</w:t>
      </w:r>
      <w:r>
        <w:rPr>
          <w:snapToGrid w:val="0"/>
        </w:rPr>
        <w:noBreakHyphen/>
        <w:t>exclusive basis,</w:t>
      </w:r>
    </w:p>
    <w:p>
      <w:pPr>
        <w:pStyle w:val="Indenta"/>
        <w:spacing w:before="100"/>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spacing w:before="100"/>
        <w:rPr>
          <w:snapToGrid w:val="0"/>
        </w:rPr>
      </w:pPr>
      <w:r>
        <w:rPr>
          <w:snapToGrid w:val="0"/>
        </w:rPr>
        <w:tab/>
        <w:t>(e)</w:t>
      </w:r>
      <w:r>
        <w:rPr>
          <w:snapToGrid w:val="0"/>
        </w:rPr>
        <w:tab/>
        <w:t>where — </w:t>
      </w:r>
    </w:p>
    <w:p>
      <w:pPr>
        <w:pStyle w:val="Indenti"/>
        <w:spacing w:before="100"/>
        <w:rPr>
          <w:snapToGrid w:val="0"/>
        </w:rPr>
      </w:pPr>
      <w:r>
        <w:rPr>
          <w:snapToGrid w:val="0"/>
        </w:rPr>
        <w:tab/>
        <w:t>(i)</w:t>
      </w:r>
      <w:r>
        <w:rPr>
          <w:snapToGrid w:val="0"/>
        </w:rPr>
        <w:tab/>
        <w:t>the document, core, cutting or sample was furnished to the Minister during a period during which a permit, lease or licence was not in force in respect of the block; and</w:t>
      </w:r>
    </w:p>
    <w:p>
      <w:pPr>
        <w:pStyle w:val="Indenti"/>
        <w:keepNext/>
        <w:spacing w:before="100"/>
        <w:rPr>
          <w:snapToGrid w:val="0"/>
        </w:rPr>
      </w:pPr>
      <w:r>
        <w:rPr>
          <w:snapToGrid w:val="0"/>
        </w:rPr>
        <w:tab/>
        <w:t>(ii)</w:t>
      </w:r>
      <w:r>
        <w:rPr>
          <w:snapToGrid w:val="0"/>
        </w:rPr>
        <w:tab/>
        <w:t>subparagraph (d)(ii) does not apply,</w:t>
      </w:r>
    </w:p>
    <w:p>
      <w:pPr>
        <w:pStyle w:val="Indenta"/>
        <w:spacing w:before="60"/>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spacing w:before="120"/>
        <w:rPr>
          <w:snapToGrid w:val="0"/>
        </w:rPr>
      </w:pPr>
      <w:r>
        <w:rPr>
          <w:snapToGrid w:val="0"/>
        </w:rPr>
        <w:tab/>
        <w:t>(5)</w:t>
      </w:r>
      <w:r>
        <w:rPr>
          <w:snapToGrid w:val="0"/>
        </w:rPr>
        <w:tab/>
        <w:t>Where — </w:t>
      </w:r>
    </w:p>
    <w:p>
      <w:pPr>
        <w:pStyle w:val="Indenta"/>
        <w:spacing w:before="60"/>
        <w:rPr>
          <w:snapToGrid w:val="0"/>
        </w:rPr>
      </w:pPr>
      <w:r>
        <w:rPr>
          <w:snapToGrid w:val="0"/>
        </w:rPr>
        <w:tab/>
        <w:t>(a)</w:t>
      </w:r>
      <w:r>
        <w:rPr>
          <w:snapToGrid w:val="0"/>
        </w:rPr>
        <w:tab/>
        <w:t>a document, core, cutting or sample referred to in subsection (1) was furnished to the Minister — </w:t>
      </w:r>
    </w:p>
    <w:p>
      <w:pPr>
        <w:pStyle w:val="Indenti"/>
        <w:spacing w:before="60"/>
        <w:rPr>
          <w:snapToGrid w:val="0"/>
        </w:rPr>
      </w:pPr>
      <w:r>
        <w:rPr>
          <w:snapToGrid w:val="0"/>
        </w:rPr>
        <w:tab/>
        <w:t>(i)</w:t>
      </w:r>
      <w:r>
        <w:rPr>
          <w:snapToGrid w:val="0"/>
        </w:rPr>
        <w:tab/>
      </w:r>
      <w:r>
        <w:rPr>
          <w:snapToGrid w:val="0"/>
          <w:spacing w:val="-2"/>
        </w:rPr>
        <w:t>during</w:t>
      </w:r>
      <w:r>
        <w:rPr>
          <w:snapToGrid w:val="0"/>
        </w:rPr>
        <w:t xml:space="preserve"> or in respect of a period during which a permit, lease or licence was in force in respect of the block; or</w:t>
      </w:r>
    </w:p>
    <w:p>
      <w:pPr>
        <w:pStyle w:val="Indenti"/>
        <w:spacing w:before="60"/>
        <w:rPr>
          <w:snapToGrid w:val="0"/>
        </w:rPr>
      </w:pPr>
      <w:r>
        <w:rPr>
          <w:snapToGrid w:val="0"/>
        </w:rPr>
        <w:tab/>
        <w:t>(ii)</w:t>
      </w:r>
      <w:r>
        <w:rPr>
          <w:snapToGrid w:val="0"/>
        </w:rPr>
        <w:tab/>
      </w:r>
      <w:r>
        <w:rPr>
          <w:snapToGrid w:val="0"/>
          <w:spacing w:val="-2"/>
        </w:rPr>
        <w:t>during</w:t>
      </w:r>
      <w:r>
        <w:rPr>
          <w:snapToGrid w:val="0"/>
        </w:rPr>
        <w:t xml:space="preserve"> or in respect of a period during which a special prospecting authority or access authority was in force in respect of the block but during which a permit, lease or licence was not in force in respect of the block;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permittee, lessee, licensee or holder of the special prospecting authority or access authority or, if the permit, lease, licence, special prospecting authority or access authority has ceased to be in force, the person who was the holder of the permit, lease, licence, special prospecting authority or access authority — </w:t>
      </w:r>
    </w:p>
    <w:p>
      <w:pPr>
        <w:pStyle w:val="Indenti"/>
        <w:spacing w:before="60"/>
        <w:rPr>
          <w:snapToGrid w:val="0"/>
        </w:rPr>
      </w:pPr>
      <w:r>
        <w:rPr>
          <w:snapToGrid w:val="0"/>
        </w:rPr>
        <w:tab/>
        <w:t>(i)</w:t>
      </w:r>
      <w:r>
        <w:rPr>
          <w:snapToGrid w:val="0"/>
        </w:rPr>
        <w:tab/>
        <w:t xml:space="preserve">has </w:t>
      </w:r>
      <w:r>
        <w:rPr>
          <w:snapToGrid w:val="0"/>
          <w:spacing w:val="-2"/>
        </w:rPr>
        <w:t>made</w:t>
      </w:r>
      <w:r>
        <w:rPr>
          <w:snapToGrid w:val="0"/>
        </w:rPr>
        <w:t xml:space="preserve"> publicly known any information contained in the document or has consented in writing to any of that information being made publicly known; or</w:t>
      </w:r>
    </w:p>
    <w:p>
      <w:pPr>
        <w:pStyle w:val="Indenti"/>
        <w:spacing w:before="60"/>
        <w:rPr>
          <w:snapToGrid w:val="0"/>
          <w:spacing w:val="-2"/>
        </w:rPr>
      </w:pPr>
      <w:r>
        <w:rPr>
          <w:snapToGrid w:val="0"/>
          <w:spacing w:val="-2"/>
        </w:rPr>
        <w:tab/>
        <w:t>(ii)</w:t>
      </w:r>
      <w:r>
        <w:rPr>
          <w:snapToGrid w:val="0"/>
          <w:spacing w:val="-2"/>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rPr>
          <w:snapToGrid w:val="0"/>
        </w:rPr>
      </w:pPr>
      <w:r>
        <w:rPr>
          <w:snapToGrid w:val="0"/>
        </w:rPr>
        <w:tab/>
      </w:r>
      <w:r>
        <w:rPr>
          <w:snapToGrid w:val="0"/>
        </w:rPr>
        <w:tab/>
        <w:t>the Minister, or any other Minister to whom that information, core, cutting or sample has been made available under subsection (1) may, at any time after that information has, or those particulars have, been made publicly known or after that consent has been given — </w:t>
      </w:r>
    </w:p>
    <w:p>
      <w:pPr>
        <w:pStyle w:val="Indenta"/>
        <w:rPr>
          <w:snapToGrid w:val="0"/>
        </w:rPr>
      </w:pPr>
      <w:r>
        <w:rPr>
          <w:snapToGrid w:val="0"/>
        </w:rPr>
        <w:tab/>
        <w:t>(c)</w:t>
      </w:r>
      <w:r>
        <w:rPr>
          <w:snapToGrid w:val="0"/>
        </w:rPr>
        <w:tab/>
        <w:t>make publicly known that information or, on request by another person and, if the Minister or the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the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the document, being information that relates to the sea</w:t>
      </w:r>
      <w:r>
        <w:rPr>
          <w:snapToGrid w:val="0"/>
        </w:rPr>
        <w:noBreakHyphen/>
        <w:t>bed or subsoil, or to petroleum, 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 </w:t>
      </w:r>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 </w:t>
      </w:r>
    </w:p>
    <w:p>
      <w:pPr>
        <w:pStyle w:val="Indenti"/>
        <w:rPr>
          <w:snapToGrid w:val="0"/>
        </w:rPr>
      </w:pPr>
      <w:r>
        <w:rPr>
          <w:snapToGrid w:val="0"/>
        </w:rPr>
        <w:tab/>
        <w:t>(i)</w:t>
      </w:r>
      <w:r>
        <w:rPr>
          <w:snapToGrid w:val="0"/>
        </w:rPr>
        <w:tab/>
        <w:t>stating that the Minister proposes to make the information available or publicly known;</w:t>
      </w:r>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rPr>
          <w:snapToGrid w:val="0"/>
        </w:rPr>
      </w:pPr>
      <w:r>
        <w:rPr>
          <w:snapToGrid w:val="0"/>
        </w:rPr>
        <w:tab/>
        <w:t>(iii)</w:t>
      </w:r>
      <w:r>
        <w:rPr>
          <w:snapToGrid w:val="0"/>
        </w:rPr>
        <w:tab/>
        <w:t xml:space="preserve">stating that, if a person does not make an objection in accordance with the invitation, the person will be taken to have consented to the information being made available or publicly known;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 </w:t>
      </w:r>
    </w:p>
    <w:p>
      <w:pPr>
        <w:pStyle w:val="Indenta"/>
        <w:rPr>
          <w:snapToGrid w:val="0"/>
        </w:rPr>
      </w:pPr>
      <w:r>
        <w:rPr>
          <w:snapToGrid w:val="0"/>
        </w:rPr>
        <w:tab/>
        <w:t>(a)</w:t>
      </w:r>
      <w:r>
        <w:rPr>
          <w:snapToGrid w:val="0"/>
        </w:rPr>
        <w:tab/>
        <w:t>a trade secret; or</w:t>
      </w:r>
    </w:p>
    <w:p>
      <w:pPr>
        <w:pStyle w:val="Indenta"/>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or the Registration Fees Act and the regulations, the Minister or any other Minister to whom any information, core, cutting or sample has been made available under subsection (1), shall not — </w:t>
      </w:r>
    </w:p>
    <w:p>
      <w:pPr>
        <w:pStyle w:val="Indenta"/>
        <w:rPr>
          <w:snapToGrid w:val="0"/>
        </w:rPr>
      </w:pPr>
      <w:r>
        <w:rPr>
          <w:snapToGrid w:val="0"/>
        </w:rPr>
        <w:tab/>
        <w:t>(a)</w:t>
      </w:r>
      <w:r>
        <w:rPr>
          <w:snapToGrid w:val="0"/>
        </w:rPr>
        <w:tab/>
        <w:t>make publicly known, or make available to any person (not being a Minister referred to in subsection (1)),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referred to in subsection (1)) to inspect, any core, cutting or sample so referred to.</w:t>
      </w:r>
    </w:p>
    <w:p>
      <w:pPr>
        <w:pStyle w:val="Subsection"/>
        <w:rPr>
          <w:snapToGrid w:val="0"/>
        </w:rPr>
      </w:pPr>
      <w:r>
        <w:rPr>
          <w:snapToGrid w:val="0"/>
        </w:rPr>
        <w:tab/>
        <w:t>(6a)</w:t>
      </w:r>
      <w:r>
        <w:rPr>
          <w:snapToGrid w:val="0"/>
        </w:rPr>
        <w:tab/>
        <w:t>This section applies to the following documents — </w:t>
      </w:r>
    </w:p>
    <w:p>
      <w:pPr>
        <w:pStyle w:val="Indenta"/>
        <w:rPr>
          <w:snapToGrid w:val="0"/>
        </w:rPr>
      </w:pPr>
      <w:r>
        <w:rPr>
          <w:snapToGrid w:val="0"/>
        </w:rPr>
        <w:tab/>
        <w:t>(a)</w:t>
      </w:r>
      <w:r>
        <w:rPr>
          <w:snapToGrid w:val="0"/>
        </w:rPr>
        <w:tab/>
        <w:t>an application made to the Minister under this Act or a document accompanying such an application;</w:t>
      </w:r>
    </w:p>
    <w:p>
      <w:pPr>
        <w:pStyle w:val="Indenta"/>
        <w:rPr>
          <w:snapToGrid w:val="0"/>
        </w:rPr>
      </w:pPr>
      <w:r>
        <w:rPr>
          <w:snapToGrid w:val="0"/>
        </w:rPr>
        <w:tab/>
        <w:t>(b)</w:t>
      </w:r>
      <w:r>
        <w:rPr>
          <w:snapToGrid w:val="0"/>
        </w:rPr>
        <w:tab/>
        <w:t>a report, return or other document relating to a block that has been furnished to the Minister under this Act.</w:t>
      </w:r>
    </w:p>
    <w:p>
      <w:pPr>
        <w:pStyle w:val="Subsection"/>
        <w:rPr>
          <w:snapToGrid w:val="0"/>
        </w:rPr>
      </w:pPr>
      <w:r>
        <w:rPr>
          <w:snapToGrid w:val="0"/>
        </w:rPr>
        <w:tab/>
        <w:t>(7)</w:t>
      </w:r>
      <w:r>
        <w:rPr>
          <w:snapToGrid w:val="0"/>
        </w:rPr>
        <w:tab/>
        <w:t>In this section, a reference to a core, cutting or sample includes a reference to a portion of a core, cutting or sample.</w:t>
      </w:r>
    </w:p>
    <w:p>
      <w:pPr>
        <w:pStyle w:val="Subsection"/>
        <w:rPr>
          <w:snapToGrid w:val="0"/>
        </w:rPr>
      </w:pPr>
      <w:r>
        <w:rPr>
          <w:snapToGrid w:val="0"/>
        </w:rPr>
        <w:tab/>
        <w:t>(8)</w:t>
      </w:r>
      <w:r>
        <w:rPr>
          <w:snapToGrid w:val="0"/>
        </w:rPr>
        <w:tab/>
        <w:t>For the purposes of this section — </w:t>
      </w:r>
    </w:p>
    <w:p>
      <w:pPr>
        <w:pStyle w:val="Indenta"/>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rPr>
          <w:snapToGrid w:val="0"/>
        </w:rPr>
      </w:pPr>
      <w:r>
        <w:rPr>
          <w:snapToGrid w:val="0"/>
        </w:rPr>
        <w:tab/>
        <w:t>(8a)</w:t>
      </w:r>
      <w:r>
        <w:rPr>
          <w:snapToGrid w:val="0"/>
        </w:rPr>
        <w:tab/>
        <w:t xml:space="preserve">Subsections (2) and (5a) apply to information contained in a document to which this section applies that was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(8b)</w:t>
      </w:r>
      <w:r>
        <w:rPr>
          <w:snapToGrid w:val="0"/>
        </w:rPr>
        <w:tab/>
        <w:t xml:space="preserve">Subsection (3) applies to cores, cuttings and samples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(9)</w:t>
      </w:r>
      <w:r>
        <w:rPr>
          <w:snapToGrid w:val="0"/>
        </w:rPr>
        <w:tab/>
        <w:t xml:space="preserve">In this section a reference to a Minister of the Crown of another State includes a reference to a Minister of the Crown of the Northern Territory. </w:t>
      </w:r>
    </w:p>
    <w:p>
      <w:pPr>
        <w:pStyle w:val="Footnotesection"/>
      </w:pPr>
      <w:r>
        <w:tab/>
        <w:t xml:space="preserve">[Section 118 amended by No. 12 of 1990 s.230; No. 28 of 1994 s.110.] </w:t>
      </w:r>
    </w:p>
    <w:p>
      <w:pPr>
        <w:pStyle w:val="Heading5"/>
        <w:rPr>
          <w:snapToGrid w:val="0"/>
        </w:rPr>
      </w:pPr>
      <w:bookmarkStart w:id="731" w:name="_Toc501861807"/>
      <w:bookmarkStart w:id="732" w:name="_Toc113772566"/>
      <w:bookmarkStart w:id="733" w:name="_Toc170190660"/>
      <w:bookmarkStart w:id="734" w:name="_Toc157933635"/>
      <w:r>
        <w:rPr>
          <w:rStyle w:val="CharSectno"/>
        </w:rPr>
        <w:t>119</w:t>
      </w:r>
      <w:r>
        <w:rPr>
          <w:snapToGrid w:val="0"/>
        </w:rPr>
        <w:t>.</w:t>
      </w:r>
      <w:r>
        <w:rPr>
          <w:snapToGrid w:val="0"/>
        </w:rPr>
        <w:tab/>
        <w:t>Safety zones</w:t>
      </w:r>
      <w:bookmarkEnd w:id="731"/>
      <w:bookmarkEnd w:id="732"/>
      <w:bookmarkEnd w:id="733"/>
      <w:bookmarkEnd w:id="734"/>
      <w:r>
        <w:rPr>
          <w:snapToGrid w:val="0"/>
        </w:rPr>
        <w:t xml:space="preserve"> </w:t>
      </w:r>
    </w:p>
    <w:p>
      <w:pPr>
        <w:pStyle w:val="Subsection"/>
        <w:rPr>
          <w:snapToGrid w:val="0"/>
        </w:rPr>
      </w:pPr>
      <w:r>
        <w:rPr>
          <w:snapToGrid w:val="0"/>
        </w:rPr>
        <w:tab/>
        <w:t>(1)</w:t>
      </w:r>
      <w:r>
        <w:rPr>
          <w:snapToGrid w:val="0"/>
        </w:rPr>
        <w:tab/>
        <w:t xml:space="preserve">For the purpose of protecting a well or structure, or any equipment, in the adjacent area, the Minister may, by instrument published in the </w:t>
      </w:r>
      <w:r>
        <w:rPr>
          <w:i/>
          <w:snapToGrid w:val="0"/>
        </w:rPr>
        <w:t>Gazette</w:t>
      </w:r>
      <w:r>
        <w:rPr>
          <w:snapToGrid w:val="0"/>
        </w:rPr>
        <w:t>, prohibit — </w:t>
      </w:r>
    </w:p>
    <w:p>
      <w:pPr>
        <w:pStyle w:val="Indenta"/>
        <w:rPr>
          <w:snapToGrid w:val="0"/>
        </w:rPr>
      </w:pPr>
      <w:r>
        <w:rPr>
          <w:snapToGrid w:val="0"/>
        </w:rPr>
        <w:tab/>
        <w:t>(a)</w:t>
      </w:r>
      <w:r>
        <w:rPr>
          <w:snapToGrid w:val="0"/>
        </w:rPr>
        <w:tab/>
        <w:t>all vessels;</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b/>
          <w:snapToGrid w:val="0"/>
        </w:rPr>
        <w:t>“</w:t>
      </w:r>
      <w:r>
        <w:rPr>
          <w:rStyle w:val="CharDefText"/>
        </w:rPr>
        <w:t>safety zone</w:t>
      </w:r>
      <w:r>
        <w:rPr>
          <w:b/>
          <w:snapToGrid w:val="0"/>
        </w:rPr>
        <w:t>”</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metres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Where a vessel enters or remains in a safety zone specified in an instrument under subsection (1) in contravention of the instrument, the owner and the person in command or in charge of the vessel are each guilty of an offence against this section and are punishable, upon conviction, by a fine not exceeding $100 000 or imprisonment for a term not exceeding 10 years, or both.</w:t>
      </w:r>
    </w:p>
    <w:p>
      <w:pPr>
        <w:pStyle w:val="Heading5"/>
        <w:rPr>
          <w:snapToGrid w:val="0"/>
        </w:rPr>
      </w:pPr>
      <w:bookmarkStart w:id="735" w:name="_Toc501861808"/>
      <w:bookmarkStart w:id="736" w:name="_Toc113772567"/>
      <w:bookmarkStart w:id="737" w:name="_Toc170190661"/>
      <w:bookmarkStart w:id="738" w:name="_Toc157933636"/>
      <w:r>
        <w:rPr>
          <w:rStyle w:val="CharSectno"/>
        </w:rPr>
        <w:t>120</w:t>
      </w:r>
      <w:r>
        <w:rPr>
          <w:snapToGrid w:val="0"/>
        </w:rPr>
        <w:t>.</w:t>
      </w:r>
      <w:r>
        <w:rPr>
          <w:snapToGrid w:val="0"/>
        </w:rPr>
        <w:tab/>
        <w:t>Discovery and use of water</w:t>
      </w:r>
      <w:bookmarkEnd w:id="735"/>
      <w:bookmarkEnd w:id="736"/>
      <w:bookmarkEnd w:id="737"/>
      <w:bookmarkEnd w:id="738"/>
      <w:r>
        <w:rPr>
          <w:snapToGrid w:val="0"/>
        </w:rPr>
        <w:t xml:space="preserve"> </w:t>
      </w:r>
    </w:p>
    <w:p>
      <w:pPr>
        <w:pStyle w:val="Subsection"/>
        <w:rPr>
          <w:snapToGrid w:val="0"/>
        </w:rPr>
      </w:pPr>
      <w:r>
        <w:rPr>
          <w:snapToGrid w:val="0"/>
        </w:rPr>
        <w:tab/>
      </w:r>
      <w:r>
        <w:rPr>
          <w:snapToGrid w:val="0"/>
        </w:rPr>
        <w:tab/>
        <w:t>Where water is discovered in a permit area, a lease area or a licence area, the permittee,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 $10 000.</w:t>
      </w:r>
    </w:p>
    <w:p>
      <w:pPr>
        <w:pStyle w:val="Footnotesection"/>
      </w:pPr>
      <w:r>
        <w:tab/>
        <w:t xml:space="preserve">[Section 120 amended by No. 12 of 1990 s.231.] </w:t>
      </w:r>
    </w:p>
    <w:p>
      <w:pPr>
        <w:pStyle w:val="Heading5"/>
        <w:rPr>
          <w:snapToGrid w:val="0"/>
        </w:rPr>
      </w:pPr>
      <w:bookmarkStart w:id="739" w:name="_Toc501861809"/>
      <w:bookmarkStart w:id="740" w:name="_Toc113772568"/>
      <w:bookmarkStart w:id="741" w:name="_Toc170190662"/>
      <w:bookmarkStart w:id="742" w:name="_Toc157933637"/>
      <w:r>
        <w:rPr>
          <w:rStyle w:val="CharSectno"/>
        </w:rPr>
        <w:t>121</w:t>
      </w:r>
      <w:r>
        <w:rPr>
          <w:snapToGrid w:val="0"/>
        </w:rPr>
        <w:t>.</w:t>
      </w:r>
      <w:r>
        <w:rPr>
          <w:snapToGrid w:val="0"/>
        </w:rPr>
        <w:tab/>
        <w:t>Survey of wells, etc.</w:t>
      </w:r>
      <w:bookmarkEnd w:id="739"/>
      <w:bookmarkEnd w:id="740"/>
      <w:bookmarkEnd w:id="741"/>
      <w:bookmarkEnd w:id="742"/>
      <w:r>
        <w:rPr>
          <w:snapToGrid w:val="0"/>
        </w:rPr>
        <w:t xml:space="preserve"> </w:t>
      </w:r>
    </w:p>
    <w:p>
      <w:pPr>
        <w:pStyle w:val="Subsection"/>
        <w:rPr>
          <w:snapToGrid w:val="0"/>
        </w:rPr>
      </w:pPr>
      <w:r>
        <w:rPr>
          <w:snapToGrid w:val="0"/>
        </w:rPr>
        <w:tab/>
        <w:t>(1)</w:t>
      </w:r>
      <w:r>
        <w:rPr>
          <w:snapToGrid w:val="0"/>
        </w:rPr>
        <w:tab/>
        <w:t>The Minister may, at any time, by instrument in writing served on a permittee, lessee or licensee, direct the permittee, lessee or licensee — </w:t>
      </w:r>
    </w:p>
    <w:p>
      <w:pPr>
        <w:pStyle w:val="Indenta"/>
        <w:rPr>
          <w:snapToGrid w:val="0"/>
        </w:rPr>
      </w:pPr>
      <w:r>
        <w:rPr>
          <w:snapToGrid w:val="0"/>
        </w:rPr>
        <w:tab/>
        <w:t>(a)</w:t>
      </w:r>
      <w:r>
        <w:rPr>
          <w:snapToGrid w:val="0"/>
        </w:rPr>
        <w:tab/>
        <w:t>to carry out a survey of the position of the well, structure or equipment specified in the instrument; and</w:t>
      </w:r>
    </w:p>
    <w:p>
      <w:pPr>
        <w:pStyle w:val="Indenta"/>
        <w:rPr>
          <w:snapToGrid w:val="0"/>
        </w:rPr>
      </w:pPr>
      <w:r>
        <w:rPr>
          <w:snapToGrid w:val="0"/>
        </w:rPr>
        <w:tab/>
        <w:t>(b)</w:t>
      </w:r>
      <w:r>
        <w:rPr>
          <w:snapToGrid w:val="0"/>
        </w:rPr>
        <w:tab/>
        <w:t>to furnish to him a report in writing of the survey.</w:t>
      </w:r>
    </w:p>
    <w:p>
      <w:pPr>
        <w:pStyle w:val="Subsection"/>
        <w:rPr>
          <w:snapToGrid w:val="0"/>
        </w:rPr>
      </w:pPr>
      <w:r>
        <w:rPr>
          <w:snapToGrid w:val="0"/>
        </w:rPr>
        <w:tab/>
        <w:t>(2)</w:t>
      </w:r>
      <w:r>
        <w:rPr>
          <w:snapToGrid w:val="0"/>
        </w:rPr>
        <w:tab/>
        <w:t>Where the Minister is not satisfied with a report of a survey furnished to him under subsection (1) by a permittee, lessee or licensee, he may, by instrument in writing served on the permittee, lessee or licensee, direct the permittee, lessee or licensee to furnish further information in writing in connection with the survey.</w:t>
      </w:r>
    </w:p>
    <w:p>
      <w:pPr>
        <w:pStyle w:val="Subsection"/>
        <w:rPr>
          <w:snapToGrid w:val="0"/>
        </w:rPr>
      </w:pPr>
      <w:r>
        <w:rPr>
          <w:snapToGrid w:val="0"/>
        </w:rPr>
        <w:tab/>
        <w:t>(3)</w:t>
      </w:r>
      <w:r>
        <w:rPr>
          <w:snapToGrid w:val="0"/>
        </w:rPr>
        <w:tab/>
        <w:t>A person to whom a direction is given under subsection (1) or (2) shall comply with the direction.</w:t>
      </w:r>
    </w:p>
    <w:p>
      <w:pPr>
        <w:pStyle w:val="Penstart"/>
        <w:rPr>
          <w:snapToGrid w:val="0"/>
        </w:rPr>
      </w:pPr>
      <w:r>
        <w:rPr>
          <w:snapToGrid w:val="0"/>
        </w:rPr>
        <w:tab/>
        <w:t>Penalty: $10 000.</w:t>
      </w:r>
    </w:p>
    <w:p>
      <w:pPr>
        <w:pStyle w:val="Footnotesection"/>
      </w:pPr>
      <w:r>
        <w:tab/>
        <w:t xml:space="preserve">[Section 121 amended by No. 12 of 1990 s.232.] </w:t>
      </w:r>
    </w:p>
    <w:p>
      <w:pPr>
        <w:pStyle w:val="Heading5"/>
        <w:rPr>
          <w:snapToGrid w:val="0"/>
        </w:rPr>
      </w:pPr>
      <w:bookmarkStart w:id="743" w:name="_Toc501861810"/>
      <w:bookmarkStart w:id="744" w:name="_Toc113772569"/>
      <w:bookmarkStart w:id="745" w:name="_Toc170190663"/>
      <w:bookmarkStart w:id="746" w:name="_Toc157933638"/>
      <w:r>
        <w:rPr>
          <w:rStyle w:val="CharSectno"/>
        </w:rPr>
        <w:t>122</w:t>
      </w:r>
      <w:r>
        <w:rPr>
          <w:snapToGrid w:val="0"/>
        </w:rPr>
        <w:t>.</w:t>
      </w:r>
      <w:r>
        <w:rPr>
          <w:snapToGrid w:val="0"/>
        </w:rPr>
        <w:tab/>
        <w:t>Records, etc., to be kept</w:t>
      </w:r>
      <w:bookmarkEnd w:id="743"/>
      <w:bookmarkEnd w:id="744"/>
      <w:bookmarkEnd w:id="745"/>
      <w:bookmarkEnd w:id="746"/>
      <w:r>
        <w:rPr>
          <w:snapToGrid w:val="0"/>
        </w:rPr>
        <w:t xml:space="preserve"> </w:t>
      </w:r>
    </w:p>
    <w:p>
      <w:pPr>
        <w:pStyle w:val="Subsection"/>
        <w:rPr>
          <w:snapToGrid w:val="0"/>
        </w:rPr>
      </w:pPr>
      <w:r>
        <w:rPr>
          <w:snapToGrid w:val="0"/>
        </w:rPr>
        <w:tab/>
        <w:t>(1)</w:t>
      </w:r>
      <w:r>
        <w:rPr>
          <w:snapToGrid w:val="0"/>
        </w:rPr>
        <w:tab/>
        <w:t>The Minister may, by instrument in writing served on a person carrying on operations in the adjacent area under a permit, lease, licence, pipeline licence, special prospecting authority, access authority or instrument of consent under section 123, direct that person to do any one or more of the following things — </w:t>
      </w:r>
    </w:p>
    <w:p>
      <w:pPr>
        <w:pStyle w:val="Indenta"/>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 and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pPr>
      <w:r>
        <w:tab/>
        <w:t xml:space="preserve">[Section 122 amended by No. 12 of 1990 s.233.] </w:t>
      </w:r>
    </w:p>
    <w:p>
      <w:pPr>
        <w:pStyle w:val="Heading5"/>
        <w:rPr>
          <w:snapToGrid w:val="0"/>
        </w:rPr>
      </w:pPr>
      <w:bookmarkStart w:id="747" w:name="_Toc501861811"/>
      <w:bookmarkStart w:id="748" w:name="_Toc113772570"/>
      <w:bookmarkStart w:id="749" w:name="_Toc170190664"/>
      <w:bookmarkStart w:id="750" w:name="_Toc157933639"/>
      <w:r>
        <w:rPr>
          <w:rStyle w:val="CharSectno"/>
        </w:rPr>
        <w:t>123</w:t>
      </w:r>
      <w:r>
        <w:rPr>
          <w:snapToGrid w:val="0"/>
        </w:rPr>
        <w:t>.</w:t>
      </w:r>
      <w:r>
        <w:rPr>
          <w:snapToGrid w:val="0"/>
        </w:rPr>
        <w:tab/>
        <w:t>Scientific investigation</w:t>
      </w:r>
      <w:bookmarkEnd w:id="747"/>
      <w:bookmarkEnd w:id="748"/>
      <w:bookmarkEnd w:id="749"/>
      <w:bookmarkEnd w:id="750"/>
      <w:r>
        <w:rPr>
          <w:snapToGrid w:val="0"/>
        </w:rPr>
        <w:t xml:space="preserve"> </w:t>
      </w:r>
    </w:p>
    <w:p>
      <w:pPr>
        <w:pStyle w:val="Subsection"/>
        <w:rPr>
          <w:snapToGrid w:val="0"/>
        </w:rPr>
      </w:pPr>
      <w:r>
        <w:rPr>
          <w:snapToGrid w:val="0"/>
        </w:rPr>
        <w:tab/>
        <w:t>(1)</w:t>
      </w:r>
      <w:r>
        <w:rPr>
          <w:snapToGrid w:val="0"/>
        </w:rPr>
        <w:tab/>
        <w:t>The Minister may, by instrument in writing, consent to the carrying on in the adjacent area by any person of petroleum exploration operations in the course of a scientific investigation.</w:t>
      </w:r>
    </w:p>
    <w:p>
      <w:pPr>
        <w:pStyle w:val="Subsection"/>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rPr>
          <w:snapToGrid w:val="0"/>
        </w:rPr>
      </w:pPr>
      <w:r>
        <w:rPr>
          <w:snapToGrid w:val="0"/>
        </w:rPr>
        <w:tab/>
        <w:t>(3)</w:t>
      </w:r>
      <w:r>
        <w:rPr>
          <w:snapToGrid w:val="0"/>
        </w:rPr>
        <w:tab/>
        <w:t>An instrument of consent in force under subsection (1) authorizes the person specified in the instrument, subject to section 124 and in accordance with the conditions, if any, to which the instrument is subject, to carry on, in the adjacent area, petroleum exploration operations so specified in the course of the scientific investigation so specified.</w:t>
      </w:r>
    </w:p>
    <w:p>
      <w:pPr>
        <w:pStyle w:val="Heading5"/>
      </w:pPr>
      <w:bookmarkStart w:id="751" w:name="_Toc501861812"/>
      <w:bookmarkStart w:id="752" w:name="_Toc113772571"/>
      <w:bookmarkStart w:id="753" w:name="_Toc170190665"/>
      <w:bookmarkStart w:id="754" w:name="_Toc157933640"/>
      <w:r>
        <w:rPr>
          <w:rStyle w:val="CharSectno"/>
        </w:rPr>
        <w:t>124</w:t>
      </w:r>
      <w:r>
        <w:t>.</w:t>
      </w:r>
      <w:r>
        <w:tab/>
        <w:t>Interference with other rights</w:t>
      </w:r>
      <w:bookmarkEnd w:id="751"/>
      <w:bookmarkEnd w:id="752"/>
      <w:bookmarkEnd w:id="753"/>
      <w:bookmarkEnd w:id="754"/>
      <w:r>
        <w:t xml:space="preserve"> </w:t>
      </w:r>
    </w:p>
    <w:p>
      <w:pPr>
        <w:pStyle w:val="Subsection"/>
      </w:pPr>
      <w:r>
        <w:tab/>
      </w:r>
      <w:r>
        <w:tab/>
        <w:t>A person carrying on operations in the adjacent area under a permit, lease, licence, pipeline licence, special prospecting authority, access authority or instrument of consent under section 60(2) or (3) or section 123 shall carry on those operations in a manner that does not interfere with — </w:t>
      </w:r>
    </w:p>
    <w:p>
      <w:pPr>
        <w:pStyle w:val="Indenta"/>
      </w:pPr>
      <w:r>
        <w:tab/>
        <w:t>(a)</w:t>
      </w:r>
      <w:r>
        <w:tab/>
        <w:t>navigation;</w:t>
      </w:r>
    </w:p>
    <w:p>
      <w:pPr>
        <w:pStyle w:val="Indenta"/>
      </w:pPr>
      <w:r>
        <w:tab/>
        <w:t>(b)</w:t>
      </w:r>
      <w:r>
        <w:tab/>
        <w:t>fishing;</w:t>
      </w:r>
    </w:p>
    <w:p>
      <w:pPr>
        <w:pStyle w:val="Indenta"/>
      </w:pPr>
      <w:r>
        <w:tab/>
        <w:t>(c)</w:t>
      </w:r>
      <w:r>
        <w:tab/>
        <w:t>the conservation of the resources of the sea and sea</w:t>
      </w:r>
      <w:r>
        <w:noBreakHyphen/>
        <w:t>bed;</w:t>
      </w:r>
    </w:p>
    <w:p>
      <w:pPr>
        <w:pStyle w:val="Indenta"/>
      </w:pPr>
      <w:r>
        <w:tab/>
        <w:t>(d)</w:t>
      </w:r>
      <w:r>
        <w:tab/>
        <w:t>any operations of another person being lawfully carried on by way of exploration for, recovery of or conveyance of a mineral, whether petroleum or not, or by way of construction or operation of a pipeline; or</w:t>
      </w:r>
    </w:p>
    <w:p>
      <w:pPr>
        <w:pStyle w:val="Indenta"/>
      </w:pPr>
      <w:r>
        <w:tab/>
        <w:t>(e)</w:t>
      </w:r>
      <w:r>
        <w:tab/>
        <w:t xml:space="preserve">the enjoyment of native title rights and interests (within the meaning of the </w:t>
      </w:r>
      <w:r>
        <w:rPr>
          <w:i/>
        </w:rPr>
        <w:t>Native Title Act 1993</w:t>
      </w:r>
      <w:r>
        <w:t xml:space="preserve"> of the Commonwealth),</w:t>
      </w:r>
    </w:p>
    <w:p>
      <w:pPr>
        <w:pStyle w:val="Subsection"/>
        <w:rPr>
          <w:snapToGrid w:val="0"/>
          <w:spacing w:val="-2"/>
        </w:rPr>
      </w:pPr>
      <w:r>
        <w:rPr>
          <w:snapToGrid w:val="0"/>
          <w:spacing w:val="-2"/>
        </w:rPr>
        <w:tab/>
      </w:r>
      <w:r>
        <w:rPr>
          <w:snapToGrid w:val="0"/>
          <w:spacing w:val="-2"/>
        </w:rPr>
        <w:tab/>
        <w:t xml:space="preserve">to a </w:t>
      </w:r>
      <w:r>
        <w:rPr>
          <w:snapToGrid w:val="0"/>
        </w:rPr>
        <w:t>greater</w:t>
      </w:r>
      <w:r>
        <w:rPr>
          <w:snapToGrid w:val="0"/>
          <w:spacing w:val="-2"/>
        </w:rPr>
        <w:t xml:space="preserve"> </w:t>
      </w:r>
      <w:r>
        <w:t>extent</w:t>
      </w:r>
      <w:r>
        <w:rPr>
          <w:snapToGrid w:val="0"/>
          <w:spacing w:val="-2"/>
        </w:rPr>
        <w:t xml:space="preserve"> than is necessary for the reasonable exercise of the rights and performance of the duties of that first</w:t>
      </w:r>
      <w:r>
        <w:rPr>
          <w:snapToGrid w:val="0"/>
          <w:spacing w:val="-2"/>
        </w:rPr>
        <w:noBreakHyphen/>
        <w:t>mentioned person.</w:t>
      </w:r>
    </w:p>
    <w:p>
      <w:pPr>
        <w:pStyle w:val="Penstart"/>
        <w:rPr>
          <w:snapToGrid w:val="0"/>
        </w:rPr>
      </w:pPr>
      <w:r>
        <w:rPr>
          <w:snapToGrid w:val="0"/>
        </w:rPr>
        <w:tab/>
        <w:t>Penalty: $10 000.</w:t>
      </w:r>
    </w:p>
    <w:p>
      <w:pPr>
        <w:pStyle w:val="Footnotesection"/>
      </w:pPr>
      <w:r>
        <w:tab/>
        <w:t xml:space="preserve">[Section 124 amended by No. 12 of 1990 s.234; No. 17 of 1999 s.29.] </w:t>
      </w:r>
    </w:p>
    <w:p>
      <w:pPr>
        <w:pStyle w:val="Heading5"/>
      </w:pPr>
      <w:bookmarkStart w:id="755" w:name="_Toc501861813"/>
      <w:bookmarkStart w:id="756" w:name="_Toc113772572"/>
      <w:bookmarkStart w:id="757" w:name="_Toc170190666"/>
      <w:bookmarkStart w:id="758" w:name="_Toc157933641"/>
      <w:r>
        <w:rPr>
          <w:rStyle w:val="CharSectno"/>
        </w:rPr>
        <w:t>124A</w:t>
      </w:r>
      <w:r>
        <w:t>.</w:t>
      </w:r>
      <w:r>
        <w:tab/>
        <w:t>Liability for payment of compensation to native title holders</w:t>
      </w:r>
      <w:bookmarkEnd w:id="755"/>
      <w:bookmarkEnd w:id="756"/>
      <w:bookmarkEnd w:id="757"/>
      <w:bookmarkEnd w:id="758"/>
    </w:p>
    <w:p>
      <w:pPr>
        <w:pStyle w:val="Subsection"/>
        <w:keepNext/>
        <w:spacing w:before="80"/>
      </w:pPr>
      <w:r>
        <w:tab/>
        <w:t>(1)</w:t>
      </w:r>
      <w:r>
        <w:tab/>
        <w:t>If compensation is payable to native title holders for or in respect of the grant of an authorization, the person liable to pay the compensation is —</w:t>
      </w:r>
    </w:p>
    <w:p>
      <w:pPr>
        <w:pStyle w:val="Indenta"/>
      </w:pPr>
      <w:r>
        <w:tab/>
        <w:t>(a)</w:t>
      </w:r>
      <w:r>
        <w:tab/>
        <w:t>if an amount is to be paid and held in trust, the applicant for the grant of, or the holder of, the authorization at the time the amount is required to be paid; or</w:t>
      </w:r>
    </w:p>
    <w:p>
      <w:pPr>
        <w:pStyle w:val="Indenta"/>
      </w:pPr>
      <w:r>
        <w:tab/>
        <w:t>(b)</w:t>
      </w:r>
      <w:r>
        <w:tab/>
        <w:t>otherwise, the applicant for the grant of, or the holder of, the authorization at the time a determination of compensation is made.</w:t>
      </w:r>
    </w:p>
    <w:p>
      <w:pPr>
        <w:pStyle w:val="Subsection"/>
      </w:pPr>
      <w:r>
        <w:tab/>
        <w:t>(2)</w:t>
      </w:r>
      <w:r>
        <w:tab/>
        <w:t>If, at the relevant time, there is no holder of the authorization because the authorization has been surrendered or cancelled or has expired, a reference in subsection (1) to the holder of the authorization is a reference to the holder of the authorization immediately before its surrender, cancellation or expiry.</w:t>
      </w:r>
    </w:p>
    <w:p>
      <w:pPr>
        <w:pStyle w:val="Subsection"/>
      </w:pPr>
      <w:r>
        <w:tab/>
        <w:t>(3)</w:t>
      </w:r>
      <w:r>
        <w:tab/>
        <w:t>In this section —</w:t>
      </w:r>
    </w:p>
    <w:p>
      <w:pPr>
        <w:pStyle w:val="Defstart"/>
      </w:pPr>
      <w:r>
        <w:tab/>
      </w:r>
      <w:r>
        <w:rPr>
          <w:b/>
        </w:rPr>
        <w:t>“</w:t>
      </w:r>
      <w:r>
        <w:rPr>
          <w:rStyle w:val="CharDefText"/>
        </w:rPr>
        <w:t>authorization</w:t>
      </w:r>
      <w:r>
        <w:rPr>
          <w:b/>
        </w:rPr>
        <w:t>”</w:t>
      </w:r>
      <w:r>
        <w:t xml:space="preserve"> means a permit, lease, licence, pipeline licence, special prospecting authority or access authority;</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124A inserted by No. 61 of 1998 s.18.]</w:t>
      </w:r>
    </w:p>
    <w:p>
      <w:pPr>
        <w:pStyle w:val="Heading5"/>
        <w:rPr>
          <w:ins w:id="759" w:author="svcMRProcess" w:date="2020-02-19T21:14:00Z"/>
        </w:rPr>
      </w:pPr>
      <w:bookmarkStart w:id="760" w:name="_Toc170190667"/>
      <w:bookmarkStart w:id="761" w:name="_Toc501861814"/>
      <w:bookmarkStart w:id="762" w:name="_Toc113772573"/>
      <w:ins w:id="763" w:author="svcMRProcess" w:date="2020-02-19T21:14:00Z">
        <w:r>
          <w:rPr>
            <w:rStyle w:val="CharSectno"/>
          </w:rPr>
          <w:t>124B</w:t>
        </w:r>
        <w:r>
          <w:t>.</w:t>
        </w:r>
        <w:r>
          <w:tab/>
          <w:t>Interfering with offshore petroleum installation or operation</w:t>
        </w:r>
        <w:bookmarkEnd w:id="760"/>
      </w:ins>
    </w:p>
    <w:p>
      <w:pPr>
        <w:pStyle w:val="Subsection"/>
        <w:rPr>
          <w:ins w:id="764" w:author="svcMRProcess" w:date="2020-02-19T21:14:00Z"/>
        </w:rPr>
      </w:pPr>
      <w:ins w:id="765" w:author="svcMRProcess" w:date="2020-02-19T21:14:00Z">
        <w:r>
          <w:tab/>
          <w:t>(1)</w:t>
        </w:r>
        <w:r>
          <w:tab/>
          <w:t xml:space="preserve">A person must not intentionally or recklessly — </w:t>
        </w:r>
      </w:ins>
    </w:p>
    <w:p>
      <w:pPr>
        <w:pStyle w:val="Indenta"/>
        <w:rPr>
          <w:ins w:id="766" w:author="svcMRProcess" w:date="2020-02-19T21:14:00Z"/>
        </w:rPr>
      </w:pPr>
      <w:ins w:id="767" w:author="svcMRProcess" w:date="2020-02-19T21:14:00Z">
        <w:r>
          <w:tab/>
          <w:t>(a)</w:t>
        </w:r>
        <w:r>
          <w:tab/>
          <w:t>cause damage to, or interfere with, any structure or vessel in the adjacent area that is, or is to be, used in an offshore petroleum operation; or</w:t>
        </w:r>
      </w:ins>
    </w:p>
    <w:p>
      <w:pPr>
        <w:pStyle w:val="Indenta"/>
        <w:rPr>
          <w:ins w:id="768" w:author="svcMRProcess" w:date="2020-02-19T21:14:00Z"/>
        </w:rPr>
      </w:pPr>
      <w:ins w:id="769" w:author="svcMRProcess" w:date="2020-02-19T21:14:00Z">
        <w:r>
          <w:tab/>
          <w:t>(b)</w:t>
        </w:r>
        <w:r>
          <w:tab/>
          <w:t>interfere with any offshore petroleum operation.</w:t>
        </w:r>
      </w:ins>
    </w:p>
    <w:p>
      <w:pPr>
        <w:pStyle w:val="Penstart"/>
        <w:rPr>
          <w:ins w:id="770" w:author="svcMRProcess" w:date="2020-02-19T21:14:00Z"/>
        </w:rPr>
      </w:pPr>
      <w:ins w:id="771" w:author="svcMRProcess" w:date="2020-02-19T21:14:00Z">
        <w:r>
          <w:tab/>
          <w:t>Penalty:</w:t>
        </w:r>
        <w:r>
          <w:tab/>
          <w:t>imprisonment for 10 years.</w:t>
        </w:r>
      </w:ins>
    </w:p>
    <w:p>
      <w:pPr>
        <w:pStyle w:val="Subsection"/>
        <w:rPr>
          <w:ins w:id="772" w:author="svcMRProcess" w:date="2020-02-19T21:14:00Z"/>
        </w:rPr>
      </w:pPr>
      <w:ins w:id="773" w:author="svcMRProcess" w:date="2020-02-19T21:14:00Z">
        <w:r>
          <w:tab/>
          <w:t>(2)</w:t>
        </w:r>
        <w:r>
          <w:tab/>
          <w:t xml:space="preserve">In this section — </w:t>
        </w:r>
      </w:ins>
    </w:p>
    <w:p>
      <w:pPr>
        <w:pStyle w:val="Defstart"/>
        <w:rPr>
          <w:ins w:id="774" w:author="svcMRProcess" w:date="2020-02-19T21:14:00Z"/>
        </w:rPr>
      </w:pPr>
      <w:ins w:id="775" w:author="svcMRProcess" w:date="2020-02-19T21:14:00Z">
        <w:r>
          <w:rPr>
            <w:b/>
          </w:rPr>
          <w:tab/>
          <w:t>“</w:t>
        </w:r>
        <w:r>
          <w:rPr>
            <w:rStyle w:val="CharDefText"/>
          </w:rPr>
          <w:t>structure</w:t>
        </w:r>
        <w:r>
          <w:rPr>
            <w:b/>
          </w:rPr>
          <w:t>”</w:t>
        </w:r>
        <w:r>
          <w:t xml:space="preserve"> means any fixed, moveable or floating structure or installation and includes a pipeline, pumping station, tank station and valve station.</w:t>
        </w:r>
      </w:ins>
    </w:p>
    <w:p>
      <w:pPr>
        <w:pStyle w:val="Footnotesection"/>
        <w:rPr>
          <w:ins w:id="776" w:author="svcMRProcess" w:date="2020-02-19T21:14:00Z"/>
        </w:rPr>
      </w:pPr>
      <w:ins w:id="777" w:author="svcMRProcess" w:date="2020-02-19T21:14:00Z">
        <w:r>
          <w:tab/>
          <w:t>[Section 124B inserted by No. 13 of 2005 s. 39.]</w:t>
        </w:r>
      </w:ins>
    </w:p>
    <w:p>
      <w:pPr>
        <w:pStyle w:val="Heading5"/>
        <w:rPr>
          <w:snapToGrid w:val="0"/>
        </w:rPr>
      </w:pPr>
      <w:bookmarkStart w:id="778" w:name="_Toc170190668"/>
      <w:bookmarkStart w:id="779" w:name="_Toc157933642"/>
      <w:r>
        <w:rPr>
          <w:rStyle w:val="CharSectno"/>
        </w:rPr>
        <w:t>125</w:t>
      </w:r>
      <w:r>
        <w:rPr>
          <w:snapToGrid w:val="0"/>
        </w:rPr>
        <w:t>.</w:t>
      </w:r>
      <w:r>
        <w:rPr>
          <w:snapToGrid w:val="0"/>
        </w:rPr>
        <w:tab/>
        <w:t>Inspectors</w:t>
      </w:r>
      <w:bookmarkEnd w:id="761"/>
      <w:bookmarkEnd w:id="762"/>
      <w:bookmarkEnd w:id="778"/>
      <w:bookmarkEnd w:id="779"/>
      <w:r>
        <w:rPr>
          <w:snapToGrid w:val="0"/>
        </w:rPr>
        <w:t xml:space="preserve"> </w:t>
      </w:r>
    </w:p>
    <w:p>
      <w:pPr>
        <w:pStyle w:val="Subsection"/>
        <w:rPr>
          <w:snapToGrid w:val="0"/>
        </w:rPr>
      </w:pPr>
      <w:r>
        <w:rPr>
          <w:snapToGrid w:val="0"/>
        </w:rPr>
        <w:tab/>
        <w:t>(1)</w:t>
      </w:r>
      <w:r>
        <w:rPr>
          <w:snapToGrid w:val="0"/>
        </w:rPr>
        <w:tab/>
        <w:t xml:space="preserve">The Minister may, by instrument in writing, appoint a </w:t>
      </w:r>
      <w:del w:id="780" w:author="svcMRProcess" w:date="2020-02-19T21:14:00Z">
        <w:r>
          <w:rPr>
            <w:snapToGrid w:val="0"/>
          </w:rPr>
          <w:delText xml:space="preserve">public service officer within the meaning of the </w:delText>
        </w:r>
        <w:r>
          <w:rPr>
            <w:i/>
            <w:snapToGrid w:val="0"/>
          </w:rPr>
          <w:delText>Public Sector Management Act 1994</w:delText>
        </w:r>
        <w:r>
          <w:rPr>
            <w:snapToGrid w:val="0"/>
          </w:rPr>
          <w:delText xml:space="preserve"> to</w:delText>
        </w:r>
      </w:del>
      <w:ins w:id="781" w:author="svcMRProcess" w:date="2020-02-19T21:14:00Z">
        <w:r>
          <w:t>person to</w:t>
        </w:r>
      </w:ins>
      <w:r>
        <w:t xml:space="preserve"> be an inspector for </w:t>
      </w:r>
      <w:ins w:id="782" w:author="svcMRProcess" w:date="2020-02-19T21:14:00Z">
        <w:r>
          <w:t xml:space="preserve">such or all of </w:t>
        </w:r>
      </w:ins>
      <w:r>
        <w:t xml:space="preserve">the purposes of this Act </w:t>
      </w:r>
      <w:del w:id="783" w:author="svcMRProcess" w:date="2020-02-19T21:14:00Z">
        <w:r>
          <w:rPr>
            <w:snapToGrid w:val="0"/>
          </w:rPr>
          <w:delText>and the regulations</w:delText>
        </w:r>
      </w:del>
      <w:ins w:id="784" w:author="svcMRProcess" w:date="2020-02-19T21:14:00Z">
        <w:r>
          <w:t>except Part IIIA as are specified in the instrument of appointment</w:t>
        </w:r>
      </w:ins>
      <w:r>
        <w:t>.</w:t>
      </w:r>
    </w:p>
    <w:p>
      <w:pPr>
        <w:pStyle w:val="Subsection"/>
        <w:rPr>
          <w:snapToGrid w:val="0"/>
        </w:rPr>
      </w:pPr>
      <w:r>
        <w:rPr>
          <w:snapToGrid w:val="0"/>
        </w:rPr>
        <w:tab/>
        <w:t>(2)</w:t>
      </w:r>
      <w:r>
        <w:rPr>
          <w:snapToGrid w:val="0"/>
        </w:rPr>
        <w:tab/>
        <w:t xml:space="preserve">The Minister may furnish to an inspector a certificate stating that </w:t>
      </w:r>
      <w:del w:id="785" w:author="svcMRProcess" w:date="2020-02-19T21:14:00Z">
        <w:r>
          <w:rPr>
            <w:snapToGrid w:val="0"/>
          </w:rPr>
          <w:delText>he</w:delText>
        </w:r>
      </w:del>
      <w:ins w:id="786" w:author="svcMRProcess" w:date="2020-02-19T21:14:00Z">
        <w:r>
          <w:t>the person</w:t>
        </w:r>
      </w:ins>
      <w:r>
        <w:t xml:space="preserve"> is an inspector for the purposes </w:t>
      </w:r>
      <w:del w:id="787" w:author="svcMRProcess" w:date="2020-02-19T21:14:00Z">
        <w:r>
          <w:rPr>
            <w:snapToGrid w:val="0"/>
          </w:rPr>
          <w:delText>of this Act and</w:delText>
        </w:r>
      </w:del>
      <w:ins w:id="788" w:author="svcMRProcess" w:date="2020-02-19T21:14:00Z">
        <w:r>
          <w:t>specified in</w:t>
        </w:r>
      </w:ins>
      <w:r>
        <w:t xml:space="preserve"> the </w:t>
      </w:r>
      <w:del w:id="789" w:author="svcMRProcess" w:date="2020-02-19T21:14:00Z">
        <w:r>
          <w:rPr>
            <w:snapToGrid w:val="0"/>
          </w:rPr>
          <w:delText>regulations</w:delText>
        </w:r>
      </w:del>
      <w:ins w:id="790" w:author="svcMRProcess" w:date="2020-02-19T21:14:00Z">
        <w:r>
          <w:t>certificate</w:t>
        </w:r>
      </w:ins>
      <w:r>
        <w:t>.</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rPr>
          <w:snapToGrid w:val="0"/>
        </w:rPr>
      </w:pPr>
      <w:r>
        <w:rPr>
          <w:snapToGrid w:val="0"/>
        </w:rPr>
        <w:tab/>
        <w:t>Penalty: $500.</w:t>
      </w:r>
    </w:p>
    <w:p>
      <w:pPr>
        <w:pStyle w:val="Footnotesection"/>
      </w:pPr>
      <w:r>
        <w:tab/>
        <w:t>[Section 125 amended by No. 32 of 1994 s.</w:t>
      </w:r>
      <w:ins w:id="791" w:author="svcMRProcess" w:date="2020-02-19T21:14:00Z">
        <w:r>
          <w:t> </w:t>
        </w:r>
      </w:ins>
      <w:r>
        <w:t>19</w:t>
      </w:r>
      <w:del w:id="792" w:author="svcMRProcess" w:date="2020-02-19T21:14:00Z">
        <w:r>
          <w:delText>.]</w:delText>
        </w:r>
      </w:del>
      <w:ins w:id="793" w:author="svcMRProcess" w:date="2020-02-19T21:14:00Z">
        <w:r>
          <w:t>; No. 13 of 2005 s. 40.]</w:t>
        </w:r>
      </w:ins>
      <w:r>
        <w:t xml:space="preserve"> </w:t>
      </w:r>
    </w:p>
    <w:p>
      <w:pPr>
        <w:pStyle w:val="Heading5"/>
        <w:rPr>
          <w:snapToGrid w:val="0"/>
        </w:rPr>
      </w:pPr>
      <w:bookmarkStart w:id="794" w:name="_Toc501861815"/>
      <w:bookmarkStart w:id="795" w:name="_Toc113772574"/>
      <w:bookmarkStart w:id="796" w:name="_Toc170190669"/>
      <w:bookmarkStart w:id="797" w:name="_Toc157933643"/>
      <w:r>
        <w:rPr>
          <w:rStyle w:val="CharSectno"/>
        </w:rPr>
        <w:t>126</w:t>
      </w:r>
      <w:r>
        <w:rPr>
          <w:snapToGrid w:val="0"/>
        </w:rPr>
        <w:t>.</w:t>
      </w:r>
      <w:r>
        <w:rPr>
          <w:snapToGrid w:val="0"/>
        </w:rPr>
        <w:tab/>
        <w:t>Powers of inspectors</w:t>
      </w:r>
      <w:bookmarkEnd w:id="794"/>
      <w:bookmarkEnd w:id="795"/>
      <w:bookmarkEnd w:id="796"/>
      <w:bookmarkEnd w:id="797"/>
      <w:r>
        <w:rPr>
          <w:snapToGrid w:val="0"/>
        </w:rPr>
        <w:t xml:space="preserve"> </w:t>
      </w:r>
    </w:p>
    <w:p>
      <w:pPr>
        <w:pStyle w:val="Subsection"/>
        <w:rPr>
          <w:snapToGrid w:val="0"/>
        </w:rPr>
      </w:pPr>
      <w:r>
        <w:rPr>
          <w:snapToGrid w:val="0"/>
        </w:rPr>
        <w:tab/>
        <w:t>(1)</w:t>
      </w:r>
      <w:r>
        <w:rPr>
          <w:snapToGrid w:val="0"/>
        </w:rPr>
        <w:tab/>
        <w:t xml:space="preserve">For the purposes of this Act </w:t>
      </w:r>
      <w:del w:id="798" w:author="svcMRProcess" w:date="2020-02-19T21:14:00Z">
        <w:r>
          <w:rPr>
            <w:snapToGrid w:val="0"/>
          </w:rPr>
          <w:delText>and the regulations</w:delText>
        </w:r>
      </w:del>
      <w:ins w:id="799" w:author="svcMRProcess" w:date="2020-02-19T21:14:00Z">
        <w:r>
          <w:t>other than Part IIIA</w:t>
        </w:r>
      </w:ins>
      <w:r>
        <w:t xml:space="preserve">, </w:t>
      </w:r>
      <w:r>
        <w:rPr>
          <w:snapToGrid w:val="0"/>
        </w:rPr>
        <w:t>an inspector, at all reasonable times and on production of the certificate furnished to him under section 125 — </w:t>
      </w:r>
    </w:p>
    <w:p>
      <w:pPr>
        <w:pStyle w:val="Indenta"/>
        <w:rPr>
          <w:snapToGrid w:val="0"/>
        </w:rPr>
      </w:pPr>
      <w:r>
        <w:rPr>
          <w:snapToGrid w:val="0"/>
        </w:rPr>
        <w:tab/>
        <w:t>(a)</w:t>
      </w:r>
      <w:r>
        <w:rPr>
          <w:snapToGrid w:val="0"/>
        </w:rPr>
        <w:tab/>
        <w:t>shall have access to any part of the adjacent area and to any structure, ship, aircraft or building in that area that, in his opinion, has been, is being or is to be used in connection with petroleum exploration operations, operations for the recovery of petroleum or operations connected with the construction or operation of a pipeline in that area;</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ship, aircraft, building or place in that area or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ship,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Subsection"/>
        <w:rPr>
          <w:snapToGrid w:val="0"/>
        </w:rPr>
      </w:pPr>
      <w:r>
        <w:rPr>
          <w:snapToGrid w:val="0"/>
        </w:rPr>
        <w:tab/>
        <w:t>(4)</w:t>
      </w:r>
      <w:r>
        <w:rPr>
          <w:snapToGrid w:val="0"/>
        </w:rPr>
        <w:tab/>
        <w:t xml:space="preserve">In this section and in section 125 </w:t>
      </w:r>
      <w:r>
        <w:rPr>
          <w:b/>
          <w:snapToGrid w:val="0"/>
        </w:rPr>
        <w:t>“</w:t>
      </w:r>
      <w:r>
        <w:rPr>
          <w:rStyle w:val="CharDefText"/>
        </w:rPr>
        <w:t>this Act</w:t>
      </w:r>
      <w:r>
        <w:rPr>
          <w:b/>
          <w:snapToGrid w:val="0"/>
        </w:rPr>
        <w:t>”</w:t>
      </w:r>
      <w:r>
        <w:rPr>
          <w:snapToGrid w:val="0"/>
        </w:rPr>
        <w:t xml:space="preserve"> includes the Registration Fees Act.</w:t>
      </w:r>
    </w:p>
    <w:p>
      <w:pPr>
        <w:pStyle w:val="Footnotesection"/>
        <w:rPr>
          <w:ins w:id="800" w:author="svcMRProcess" w:date="2020-02-19T21:14:00Z"/>
        </w:rPr>
      </w:pPr>
      <w:ins w:id="801" w:author="svcMRProcess" w:date="2020-02-19T21:14:00Z">
        <w:r>
          <w:tab/>
          <w:t>[Section 126 amended by No. 13 of 2005 s. 41.]</w:t>
        </w:r>
      </w:ins>
    </w:p>
    <w:p>
      <w:pPr>
        <w:pStyle w:val="Heading5"/>
        <w:rPr>
          <w:ins w:id="802" w:author="svcMRProcess" w:date="2020-02-19T21:14:00Z"/>
        </w:rPr>
      </w:pPr>
      <w:bookmarkStart w:id="803" w:name="_Toc170190670"/>
      <w:bookmarkStart w:id="804" w:name="_Toc501861816"/>
      <w:bookmarkStart w:id="805" w:name="_Toc113772575"/>
      <w:ins w:id="806" w:author="svcMRProcess" w:date="2020-02-19T21:14:00Z">
        <w:r>
          <w:rPr>
            <w:rStyle w:val="CharSectno"/>
          </w:rPr>
          <w:t>126A</w:t>
        </w:r>
        <w:r>
          <w:t>.</w:t>
        </w:r>
        <w:r>
          <w:tab/>
          <w:t>Protection from liability for wrongdoing</w:t>
        </w:r>
        <w:bookmarkEnd w:id="803"/>
      </w:ins>
    </w:p>
    <w:p>
      <w:pPr>
        <w:pStyle w:val="Subsection"/>
        <w:rPr>
          <w:ins w:id="807" w:author="svcMRProcess" w:date="2020-02-19T21:14:00Z"/>
        </w:rPr>
      </w:pPr>
      <w:ins w:id="808" w:author="svcMRProcess" w:date="2020-02-19T21:14:00Z">
        <w:r>
          <w:tab/>
          <w:t>(1)</w:t>
        </w:r>
        <w:r>
          <w:tab/>
          <w:t>An action in tort does not lie against a person for anything that the person has done, in good faith, in the performance or purported performance of a function under this Act.</w:t>
        </w:r>
      </w:ins>
    </w:p>
    <w:p>
      <w:pPr>
        <w:pStyle w:val="Subsection"/>
        <w:rPr>
          <w:ins w:id="809" w:author="svcMRProcess" w:date="2020-02-19T21:14:00Z"/>
        </w:rPr>
      </w:pPr>
      <w:ins w:id="810" w:author="svcMRProcess" w:date="2020-02-19T21:14:00Z">
        <w:r>
          <w:tab/>
          <w:t>(2)</w:t>
        </w:r>
        <w:r>
          <w:tab/>
          <w:t>The protection given by subsection (1) applies even though the thing done as described in that subsection may have been capable of being done whether or not this Act had been enacted.</w:t>
        </w:r>
      </w:ins>
    </w:p>
    <w:p>
      <w:pPr>
        <w:pStyle w:val="Subsection"/>
        <w:rPr>
          <w:ins w:id="811" w:author="svcMRProcess" w:date="2020-02-19T21:14:00Z"/>
        </w:rPr>
      </w:pPr>
      <w:ins w:id="812" w:author="svcMRProcess" w:date="2020-02-19T21:14:00Z">
        <w:r>
          <w:tab/>
          <w:t>(3)</w:t>
        </w:r>
        <w:r>
          <w:tab/>
          <w:t>Despite subsection (1), the State is not relieved of any liability that it might have for another person having done anything as described in that subsection.</w:t>
        </w:r>
      </w:ins>
    </w:p>
    <w:p>
      <w:pPr>
        <w:pStyle w:val="Subsection"/>
        <w:rPr>
          <w:ins w:id="813" w:author="svcMRProcess" w:date="2020-02-19T21:14:00Z"/>
        </w:rPr>
      </w:pPr>
      <w:ins w:id="814" w:author="svcMRProcess" w:date="2020-02-19T21:14:00Z">
        <w:r>
          <w:tab/>
          <w:t>(4)</w:t>
        </w:r>
        <w:r>
          <w:tab/>
          <w:t>In this section a reference to the doing of anything includes a reference to the omission to do anything.</w:t>
        </w:r>
      </w:ins>
    </w:p>
    <w:p>
      <w:pPr>
        <w:pStyle w:val="Footnotesection"/>
        <w:rPr>
          <w:ins w:id="815" w:author="svcMRProcess" w:date="2020-02-19T21:14:00Z"/>
          <w:b/>
          <w:i w:val="0"/>
        </w:rPr>
      </w:pPr>
      <w:ins w:id="816" w:author="svcMRProcess" w:date="2020-02-19T21:14:00Z">
        <w:r>
          <w:tab/>
          <w:t>[Section 126A inserted by No. 13 of 2005 s. 42.]</w:t>
        </w:r>
      </w:ins>
    </w:p>
    <w:p>
      <w:pPr>
        <w:pStyle w:val="Heading5"/>
      </w:pPr>
      <w:bookmarkStart w:id="817" w:name="_Toc170190671"/>
      <w:bookmarkStart w:id="818" w:name="_Toc157933644"/>
      <w:r>
        <w:rPr>
          <w:rStyle w:val="CharSectno"/>
        </w:rPr>
        <w:t>127</w:t>
      </w:r>
      <w:r>
        <w:rPr>
          <w:snapToGrid w:val="0"/>
        </w:rPr>
        <w:t>.</w:t>
      </w:r>
      <w:r>
        <w:rPr>
          <w:snapToGrid w:val="0"/>
        </w:rPr>
        <w:tab/>
      </w:r>
      <w:r>
        <w:t>Property in petroleum</w:t>
      </w:r>
      <w:bookmarkEnd w:id="804"/>
      <w:bookmarkEnd w:id="805"/>
      <w:bookmarkEnd w:id="817"/>
      <w:bookmarkEnd w:id="818"/>
    </w:p>
    <w:p>
      <w:pPr>
        <w:pStyle w:val="Subsection"/>
      </w:pPr>
      <w:r>
        <w:tab/>
      </w:r>
      <w:r>
        <w:tab/>
        <w:t xml:space="preserve">Subject to this Act, if petroleum is recovered by a permittee, lessee or licensee in the permit area, lease area or licence area — </w:t>
      </w:r>
    </w:p>
    <w:p>
      <w:pPr>
        <w:pStyle w:val="Indenta"/>
      </w:pPr>
      <w:r>
        <w:tab/>
        <w:t>(a)</w:t>
      </w:r>
      <w:r>
        <w:tab/>
        <w:t>the petroleum becomes the property of the permittee, lessee or licensee; and</w:t>
      </w:r>
    </w:p>
    <w:p>
      <w:pPr>
        <w:pStyle w:val="Indenta"/>
      </w:pPr>
      <w:r>
        <w:tab/>
        <w:t>(b)</w:t>
      </w:r>
      <w:r>
        <w:tab/>
        <w:t>it is not subject to any rights of other persons (other than any person to whom the permittee, lessee or licensee transfers, assigns or otherwise disposes of the petroleum or an interest in the petroleum).</w:t>
      </w:r>
    </w:p>
    <w:p>
      <w:pPr>
        <w:pStyle w:val="Footnotesection"/>
      </w:pPr>
      <w:r>
        <w:tab/>
        <w:t>[Section 127 inserted by No. 17 of 1999 s.30.]</w:t>
      </w:r>
    </w:p>
    <w:p>
      <w:pPr>
        <w:pStyle w:val="Heading5"/>
        <w:spacing w:before="120"/>
        <w:rPr>
          <w:snapToGrid w:val="0"/>
        </w:rPr>
      </w:pPr>
      <w:bookmarkStart w:id="819" w:name="_Toc501861817"/>
      <w:bookmarkStart w:id="820" w:name="_Toc113772576"/>
      <w:bookmarkStart w:id="821" w:name="_Toc170190672"/>
      <w:bookmarkStart w:id="822" w:name="_Toc157933645"/>
      <w:r>
        <w:rPr>
          <w:rStyle w:val="CharSectno"/>
        </w:rPr>
        <w:t>128</w:t>
      </w:r>
      <w:r>
        <w:rPr>
          <w:snapToGrid w:val="0"/>
        </w:rPr>
        <w:t>.</w:t>
      </w:r>
      <w:r>
        <w:rPr>
          <w:snapToGrid w:val="0"/>
        </w:rPr>
        <w:tab/>
        <w:t>Suspension of rights conferred by permit</w:t>
      </w:r>
      <w:bookmarkEnd w:id="819"/>
      <w:bookmarkEnd w:id="820"/>
      <w:bookmarkEnd w:id="821"/>
      <w:bookmarkEnd w:id="822"/>
      <w:r>
        <w:rPr>
          <w:snapToGrid w:val="0"/>
        </w:rPr>
        <w:t xml:space="preserve"> </w:t>
      </w:r>
    </w:p>
    <w:p>
      <w:pPr>
        <w:pStyle w:val="Subsection"/>
        <w:spacing w:before="80"/>
        <w:rPr>
          <w:snapToGrid w:val="0"/>
        </w:rPr>
      </w:pPr>
      <w:r>
        <w:rPr>
          <w:snapToGrid w:val="0"/>
        </w:rPr>
        <w:tab/>
        <w:t>(1)</w:t>
      </w:r>
      <w:r>
        <w:rPr>
          <w:snapToGrid w:val="0"/>
        </w:rPr>
        <w:tab/>
        <w:t>Where the Minister is satisfied that it is necessary to do so in the public interest, he shall, by instrument in writing served on the permittee, suspend, either for a specified period or indefinitely, all or any of the rights conferred by the permit.</w:t>
      </w:r>
    </w:p>
    <w:p>
      <w:pPr>
        <w:pStyle w:val="Subsection"/>
        <w:spacing w:before="80"/>
        <w:rPr>
          <w:snapToGrid w:val="0"/>
        </w:rPr>
      </w:pPr>
      <w:r>
        <w:rPr>
          <w:snapToGrid w:val="0"/>
        </w:rPr>
        <w:tab/>
        <w:t>(2)</w:t>
      </w:r>
      <w:r>
        <w:rPr>
          <w:snapToGrid w:val="0"/>
        </w:rPr>
        <w:tab/>
        <w:t>Where any rights are suspended in accordance with subsection (1), any conditions required to be complied with in the exercise of those rights are also suspended.</w:t>
      </w:r>
    </w:p>
    <w:p>
      <w:pPr>
        <w:pStyle w:val="Subsection"/>
        <w:spacing w:before="80"/>
        <w:rPr>
          <w:snapToGrid w:val="0"/>
        </w:rPr>
      </w:pPr>
      <w:r>
        <w:rPr>
          <w:snapToGrid w:val="0"/>
        </w:rPr>
        <w:tab/>
        <w:t>(3)</w:t>
      </w:r>
      <w:r>
        <w:rPr>
          <w:snapToGrid w:val="0"/>
        </w:rPr>
        <w:tab/>
        <w:t>The Minister may, by instrument in writing served on the permittee, terminate a suspension of rights under subsection (1).</w:t>
      </w:r>
    </w:p>
    <w:p>
      <w:pPr>
        <w:pStyle w:val="Subsection"/>
        <w:spacing w:before="120"/>
        <w:rPr>
          <w:snapToGrid w:val="0"/>
        </w:rPr>
      </w:pPr>
      <w:r>
        <w:rPr>
          <w:snapToGrid w:val="0"/>
        </w:rPr>
        <w:tab/>
        <w:t>(4)</w:t>
      </w:r>
      <w:r>
        <w:rPr>
          <w:snapToGrid w:val="0"/>
        </w:rPr>
        <w:tab/>
        <w:t>Where rights conferred by a permit are suspended in accordance with subsection (1), the Minister may, by the instrument of suspension or by a later instrument in writing served on the permittee, extend the term of the permit by a period not exceeding the period of the suspension.</w:t>
      </w:r>
    </w:p>
    <w:p>
      <w:pPr>
        <w:pStyle w:val="Heading5"/>
        <w:rPr>
          <w:snapToGrid w:val="0"/>
        </w:rPr>
      </w:pPr>
      <w:bookmarkStart w:id="823" w:name="_Toc501861818"/>
      <w:bookmarkStart w:id="824" w:name="_Toc113772577"/>
      <w:bookmarkStart w:id="825" w:name="_Toc170190673"/>
      <w:bookmarkStart w:id="826" w:name="_Toc157933646"/>
      <w:r>
        <w:rPr>
          <w:rStyle w:val="CharSectno"/>
        </w:rPr>
        <w:t>129</w:t>
      </w:r>
      <w:r>
        <w:rPr>
          <w:snapToGrid w:val="0"/>
        </w:rPr>
        <w:t>.</w:t>
      </w:r>
      <w:r>
        <w:rPr>
          <w:snapToGrid w:val="0"/>
        </w:rPr>
        <w:tab/>
        <w:t>Certain payments to be made by State to Commonwealth</w:t>
      </w:r>
      <w:bookmarkEnd w:id="823"/>
      <w:bookmarkEnd w:id="824"/>
      <w:bookmarkEnd w:id="825"/>
      <w:bookmarkEnd w:id="826"/>
      <w:r>
        <w:rPr>
          <w:snapToGrid w:val="0"/>
        </w:rPr>
        <w:t xml:space="preserve"> </w:t>
      </w:r>
    </w:p>
    <w:p>
      <w:pPr>
        <w:pStyle w:val="Subsection"/>
        <w:spacing w:before="120"/>
        <w:rPr>
          <w:snapToGrid w:val="0"/>
        </w:rPr>
      </w:pPr>
      <w:r>
        <w:rPr>
          <w:snapToGrid w:val="0"/>
        </w:rPr>
        <w:tab/>
      </w:r>
      <w:r>
        <w:rPr>
          <w:snapToGrid w:val="0"/>
        </w:rPr>
        <w:tab/>
        <w:t>The Treasurer of the State shall, not later than the last day of each month of the year, pay to the Commonwealth amounts ascertained in accordance with the formula — </w:t>
      </w:r>
    </w:p>
    <w:p>
      <w:pPr>
        <w:pStyle w:val="Equation"/>
        <w:tabs>
          <w:tab w:val="left" w:pos="1134"/>
        </w:tabs>
        <w:rPr>
          <w:snapToGrid w:val="0"/>
        </w:rPr>
      </w:pPr>
      <w:r>
        <w:rPr>
          <w:snapToGrid w:val="0"/>
        </w:rPr>
        <w:tab/>
      </w: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fillcolor="window">
            <v:imagedata r:id="rId21" o:title=""/>
          </v:shape>
        </w:pict>
      </w:r>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is the amount of royalty payable under this Act, together with the amount, if any, payable under this Act by reason of late payment of that royalty, by a permittee, lessee or licensee in respect of petroleum recovered in the adjacent area under the permit, lease or licence and received by the Minister during the preceding month;</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the percentage rate at which royalty is payable under this Act by the permittee, lessee or licensee in respect of that petroleum,</w:t>
      </w:r>
    </w:p>
    <w:p>
      <w:pPr>
        <w:pStyle w:val="Subsection"/>
        <w:rPr>
          <w:snapToGrid w:val="0"/>
        </w:rPr>
      </w:pPr>
      <w:r>
        <w:rPr>
          <w:snapToGrid w:val="0"/>
        </w:rPr>
        <w:tab/>
      </w:r>
      <w:r>
        <w:rPr>
          <w:snapToGrid w:val="0"/>
        </w:rPr>
        <w:tab/>
        <w:t>and the Consolidated Account is hereby, to the necessary extent, appropriated accordingly.</w:t>
      </w:r>
    </w:p>
    <w:p>
      <w:pPr>
        <w:pStyle w:val="Footnotesection"/>
      </w:pPr>
      <w:r>
        <w:tab/>
        <w:t xml:space="preserve">[Section 129 amended by No. 12 of 1990 s.236; No. 6 of 1993 s.11; No. 77 of 2006 s. 4.] </w:t>
      </w:r>
    </w:p>
    <w:p>
      <w:pPr>
        <w:pStyle w:val="Heading5"/>
        <w:rPr>
          <w:snapToGrid w:val="0"/>
        </w:rPr>
      </w:pPr>
      <w:bookmarkStart w:id="827" w:name="_Toc501861819"/>
      <w:bookmarkStart w:id="828" w:name="_Toc113772578"/>
      <w:bookmarkStart w:id="829" w:name="_Toc170190674"/>
      <w:bookmarkStart w:id="830" w:name="_Toc157933647"/>
      <w:r>
        <w:rPr>
          <w:rStyle w:val="CharSectno"/>
        </w:rPr>
        <w:t>130</w:t>
      </w:r>
      <w:r>
        <w:rPr>
          <w:snapToGrid w:val="0"/>
        </w:rPr>
        <w:t>.</w:t>
      </w:r>
      <w:r>
        <w:rPr>
          <w:snapToGrid w:val="0"/>
        </w:rPr>
        <w:tab/>
        <w:t>Determination to be disregarded in certain cases</w:t>
      </w:r>
      <w:bookmarkEnd w:id="827"/>
      <w:bookmarkEnd w:id="828"/>
      <w:bookmarkEnd w:id="829"/>
      <w:bookmarkEnd w:id="830"/>
      <w:r>
        <w:rPr>
          <w:snapToGrid w:val="0"/>
        </w:rPr>
        <w:t xml:space="preserve"> </w:t>
      </w:r>
    </w:p>
    <w:p>
      <w:pPr>
        <w:pStyle w:val="Subsection"/>
        <w:rPr>
          <w:snapToGrid w:val="0"/>
        </w:rPr>
      </w:pPr>
      <w:r>
        <w:rPr>
          <w:snapToGrid w:val="0"/>
        </w:rPr>
        <w:tab/>
      </w:r>
      <w:r>
        <w:rPr>
          <w:snapToGrid w:val="0"/>
        </w:rPr>
        <w:tab/>
        <w:t>Where a determination has been made by the Minister under section 144 in relation to a well, that determination shall be disregarded in ascertaining the value of B for the purposes of section 129.</w:t>
      </w:r>
    </w:p>
    <w:p>
      <w:pPr>
        <w:pStyle w:val="Heading5"/>
        <w:rPr>
          <w:snapToGrid w:val="0"/>
        </w:rPr>
      </w:pPr>
      <w:bookmarkStart w:id="831" w:name="_Toc501861820"/>
      <w:bookmarkStart w:id="832" w:name="_Toc113772579"/>
      <w:bookmarkStart w:id="833" w:name="_Toc170190675"/>
      <w:bookmarkStart w:id="834" w:name="_Toc157933648"/>
      <w:r>
        <w:rPr>
          <w:rStyle w:val="CharSectno"/>
        </w:rPr>
        <w:t>131</w:t>
      </w:r>
      <w:r>
        <w:rPr>
          <w:snapToGrid w:val="0"/>
        </w:rPr>
        <w:t>.</w:t>
      </w:r>
      <w:r>
        <w:rPr>
          <w:snapToGrid w:val="0"/>
        </w:rPr>
        <w:tab/>
        <w:t>Continuing offences</w:t>
      </w:r>
      <w:bookmarkEnd w:id="831"/>
      <w:bookmarkEnd w:id="832"/>
      <w:bookmarkEnd w:id="833"/>
      <w:bookmarkEnd w:id="834"/>
      <w:r>
        <w:rPr>
          <w:snapToGrid w:val="0"/>
        </w:rPr>
        <w:t xml:space="preserve"> </w:t>
      </w:r>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w:t>
      </w:r>
      <w:del w:id="835" w:author="svcMRProcess" w:date="2020-02-19T21:14:00Z">
        <w:r>
          <w:rPr>
            <w:snapToGrid w:val="0"/>
          </w:rPr>
          <w:delText xml:space="preserve"> or the regulations</w:delText>
        </w:r>
      </w:del>
      <w:r>
        <w:rPr>
          <w:snapToGrid w:val="0"/>
        </w:rPr>
        <w:t>, with the requirements specified in the direction, the offence, for the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requirement made by this Act</w:t>
      </w:r>
      <w:del w:id="836" w:author="svcMRProcess" w:date="2020-02-19T21:14:00Z">
        <w:r>
          <w:rPr>
            <w:snapToGrid w:val="0"/>
          </w:rPr>
          <w:delText xml:space="preserve"> or the regulations</w:delText>
        </w:r>
      </w:del>
      <w:r>
        <w:rPr>
          <w:snapToGrid w:val="0"/>
        </w:rPr>
        <w:t>, the offence, for the purposes of subsection (3), shall be deemed to continue so long as that failure continues, notwithstanding that any period within which the requirement was to be complied with has elapsed.</w:t>
      </w:r>
    </w:p>
    <w:p>
      <w:pPr>
        <w:pStyle w:val="Subsection"/>
        <w:rPr>
          <w:snapToGrid w:val="0"/>
        </w:rPr>
      </w:pPr>
      <w:r>
        <w:rPr>
          <w:snapToGrid w:val="0"/>
        </w:rPr>
        <w:tab/>
        <w:t>(3)</w:t>
      </w:r>
      <w:r>
        <w:rPr>
          <w:snapToGrid w:val="0"/>
        </w:rPr>
        <w:tab/>
        <w:t>Where, under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rPr>
          <w:ins w:id="837" w:author="svcMRProcess" w:date="2020-02-19T21:14:00Z"/>
        </w:rPr>
      </w:pPr>
      <w:ins w:id="838" w:author="svcMRProcess" w:date="2020-02-19T21:14:00Z">
        <w:r>
          <w:tab/>
          <w:t>[Section 131 amended by No. 13 of 2005 s. 46(2).]</w:t>
        </w:r>
      </w:ins>
    </w:p>
    <w:p>
      <w:pPr>
        <w:pStyle w:val="Heading5"/>
        <w:spacing w:before="120"/>
        <w:rPr>
          <w:snapToGrid w:val="0"/>
        </w:rPr>
      </w:pPr>
      <w:bookmarkStart w:id="839" w:name="_Toc501861821"/>
      <w:bookmarkStart w:id="840" w:name="_Toc113772580"/>
      <w:bookmarkStart w:id="841" w:name="_Toc170190676"/>
      <w:bookmarkStart w:id="842" w:name="_Toc157933649"/>
      <w:r>
        <w:rPr>
          <w:rStyle w:val="CharSectno"/>
        </w:rPr>
        <w:t>132</w:t>
      </w:r>
      <w:r>
        <w:rPr>
          <w:snapToGrid w:val="0"/>
        </w:rPr>
        <w:t>.</w:t>
      </w:r>
      <w:r>
        <w:rPr>
          <w:snapToGrid w:val="0"/>
        </w:rPr>
        <w:tab/>
        <w:t>Persons concerned in commission of offences</w:t>
      </w:r>
      <w:bookmarkEnd w:id="839"/>
      <w:bookmarkEnd w:id="840"/>
      <w:bookmarkEnd w:id="841"/>
      <w:bookmarkEnd w:id="842"/>
      <w:r>
        <w:rPr>
          <w:snapToGrid w:val="0"/>
        </w:rPr>
        <w:t xml:space="preserve"> </w:t>
      </w:r>
    </w:p>
    <w:p>
      <w:pPr>
        <w:pStyle w:val="Subsection"/>
        <w:rPr>
          <w:snapToGrid w:val="0"/>
        </w:rPr>
      </w:pPr>
      <w:r>
        <w:rPr>
          <w:snapToGrid w:val="0"/>
        </w:rPr>
        <w:tab/>
      </w:r>
      <w:r>
        <w:rPr>
          <w:snapToGrid w:val="0"/>
        </w:rPr>
        <w:tab/>
        <w:t xml:space="preserve">Without limiting section 7 of </w:t>
      </w:r>
      <w:r>
        <w:rPr>
          <w:i/>
          <w:snapToGrid w:val="0"/>
        </w:rPr>
        <w:t>The Criminal Code</w:t>
      </w:r>
      <w:r>
        <w:rPr>
          <w:snapToGrid w:val="0"/>
        </w:rPr>
        <w:t xml:space="preserve">, a person who by act or omission is in any way directly or indirectly knowingly concerned in the commission of any offence against this Act </w:t>
      </w:r>
      <w:del w:id="843" w:author="svcMRProcess" w:date="2020-02-19T21:14:00Z">
        <w:r>
          <w:rPr>
            <w:snapToGrid w:val="0"/>
          </w:rPr>
          <w:delText xml:space="preserve">or the regulations </w:delText>
        </w:r>
      </w:del>
      <w:r>
        <w:rPr>
          <w:snapToGrid w:val="0"/>
        </w:rPr>
        <w:t>shall be deemed to have committed that offence and shall be punishable accordingly.</w:t>
      </w:r>
    </w:p>
    <w:p>
      <w:pPr>
        <w:pStyle w:val="Footnotesection"/>
        <w:rPr>
          <w:ins w:id="844" w:author="svcMRProcess" w:date="2020-02-19T21:14:00Z"/>
        </w:rPr>
      </w:pPr>
      <w:ins w:id="845" w:author="svcMRProcess" w:date="2020-02-19T21:14:00Z">
        <w:r>
          <w:tab/>
          <w:t>[Section 132 amended by No. 13 of 2005 s. 46(2).]</w:t>
        </w:r>
      </w:ins>
    </w:p>
    <w:p>
      <w:pPr>
        <w:pStyle w:val="Heading5"/>
      </w:pPr>
      <w:bookmarkStart w:id="846" w:name="_Toc113772581"/>
      <w:bookmarkStart w:id="847" w:name="_Toc170190677"/>
      <w:bookmarkStart w:id="848" w:name="_Toc157933650"/>
      <w:bookmarkStart w:id="849" w:name="_Toc501861823"/>
      <w:r>
        <w:rPr>
          <w:rStyle w:val="CharSectno"/>
        </w:rPr>
        <w:t>133</w:t>
      </w:r>
      <w:r>
        <w:t>.</w:t>
      </w:r>
      <w:r>
        <w:tab/>
        <w:t>Crimes and other offences</w:t>
      </w:r>
      <w:bookmarkEnd w:id="846"/>
      <w:bookmarkEnd w:id="847"/>
      <w:bookmarkEnd w:id="848"/>
    </w:p>
    <w:p>
      <w:pPr>
        <w:pStyle w:val="Subsection"/>
      </w:pPr>
      <w:r>
        <w:tab/>
        <w:t>(1)</w:t>
      </w:r>
      <w:r>
        <w:tab/>
        <w:t>If the penalty provided for an offence under this Act is or includes imprisonment, the offence is a crime.</w:t>
      </w:r>
    </w:p>
    <w:p>
      <w:pPr>
        <w:pStyle w:val="Subsection"/>
      </w:pPr>
      <w:r>
        <w:tab/>
        <w:t>(2)</w:t>
      </w:r>
      <w:r>
        <w:tab/>
        <w:t>Summary conviction penalty: for an offence referred to in subsection (1) — imprisonment for 2 years or a fine of $10 000 or both.</w:t>
      </w:r>
    </w:p>
    <w:p>
      <w:pPr>
        <w:pStyle w:val="Subsection"/>
      </w:pPr>
      <w:r>
        <w:tab/>
        <w:t>(3)</w:t>
      </w:r>
      <w:r>
        <w:tab/>
        <w:t>Unless the contrary intention appears, an offence under this Act, other than a crime, is punishable summarily.</w:t>
      </w:r>
    </w:p>
    <w:p>
      <w:pPr>
        <w:pStyle w:val="Footnotesection"/>
      </w:pPr>
      <w:r>
        <w:tab/>
        <w:t>[Section 133 inserted by No. 4 of 2004 s. 58.]</w:t>
      </w:r>
    </w:p>
    <w:p>
      <w:pPr>
        <w:pStyle w:val="Heading5"/>
        <w:rPr>
          <w:snapToGrid w:val="0"/>
        </w:rPr>
      </w:pPr>
      <w:bookmarkStart w:id="850" w:name="_Toc113772582"/>
      <w:bookmarkStart w:id="851" w:name="_Toc170190678"/>
      <w:bookmarkStart w:id="852" w:name="_Toc157933651"/>
      <w:r>
        <w:rPr>
          <w:rStyle w:val="CharSectno"/>
        </w:rPr>
        <w:t>134</w:t>
      </w:r>
      <w:r>
        <w:rPr>
          <w:snapToGrid w:val="0"/>
        </w:rPr>
        <w:t>.</w:t>
      </w:r>
      <w:r>
        <w:rPr>
          <w:snapToGrid w:val="0"/>
        </w:rPr>
        <w:tab/>
        <w:t>Orders for forfeiture in respect of certain offences</w:t>
      </w:r>
      <w:bookmarkEnd w:id="849"/>
      <w:bookmarkEnd w:id="850"/>
      <w:bookmarkEnd w:id="851"/>
      <w:bookmarkEnd w:id="852"/>
      <w:r>
        <w:rPr>
          <w:snapToGrid w:val="0"/>
        </w:rPr>
        <w:t xml:space="preserve"> </w:t>
      </w:r>
    </w:p>
    <w:p>
      <w:pPr>
        <w:pStyle w:val="Subsection"/>
        <w:rPr>
          <w:snapToGrid w:val="0"/>
        </w:rPr>
      </w:pPr>
      <w:r>
        <w:rPr>
          <w:snapToGrid w:val="0"/>
        </w:rPr>
        <w:tab/>
        <w:t>(1)</w:t>
      </w:r>
      <w:r>
        <w:rPr>
          <w:snapToGrid w:val="0"/>
        </w:rPr>
        <w:tab/>
        <w:t>Where a person is convicted by the Supreme Court of an offence against section 19, 39 or 60 the Court may, in addition to imposing a penalty, make one or more of the following orders — </w:t>
      </w:r>
    </w:p>
    <w:p>
      <w:pPr>
        <w:pStyle w:val="Indenta"/>
        <w:rPr>
          <w:snapToGrid w:val="0"/>
        </w:rPr>
      </w:pPr>
      <w:r>
        <w:rPr>
          <w:snapToGrid w:val="0"/>
        </w:rPr>
        <w:tab/>
        <w:t>(a)</w:t>
      </w:r>
      <w:r>
        <w:rPr>
          <w:snapToGrid w:val="0"/>
        </w:rPr>
        <w:tab/>
        <w:t>an order for the forfeiture of a specified aircraft or vessel used in the commission of the offence;</w:t>
      </w:r>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 </w:t>
      </w:r>
    </w:p>
    <w:p>
      <w:pPr>
        <w:pStyle w:val="Indenti"/>
        <w:rPr>
          <w:snapToGrid w:val="0"/>
        </w:rPr>
      </w:pPr>
      <w:r>
        <w:rPr>
          <w:snapToGrid w:val="0"/>
        </w:rPr>
        <w:tab/>
        <w:t>(i)</w:t>
      </w:r>
      <w:r>
        <w:rPr>
          <w:snapToGrid w:val="0"/>
        </w:rPr>
        <w:tab/>
        <w:t>for the forfeiture of specified petroleum recovered, or conveyed through a pipeline, as the case may be, in the course of the commission of the offence;</w:t>
      </w:r>
    </w:p>
    <w:p>
      <w:pPr>
        <w:pStyle w:val="Indenti"/>
        <w:rPr>
          <w:snapToGrid w:val="0"/>
        </w:rPr>
      </w:pPr>
      <w:r>
        <w:rPr>
          <w:snapToGrid w:val="0"/>
        </w:rPr>
        <w:tab/>
        <w:t>(ii)</w:t>
      </w:r>
      <w:r>
        <w:rPr>
          <w:snapToGrid w:val="0"/>
        </w:rPr>
        <w:tab/>
        <w:t>for the payment by that person to the State of an amount equal to the proceeds of the sale of specified petroleum so recovered or conveyed; or</w:t>
      </w:r>
    </w:p>
    <w:p>
      <w:pPr>
        <w:pStyle w:val="Indenti"/>
        <w:rPr>
          <w:snapToGrid w:val="0"/>
        </w:rPr>
      </w:pPr>
      <w:r>
        <w:rPr>
          <w:snapToGrid w:val="0"/>
        </w:rPr>
        <w:tab/>
        <w:t>(iii)</w:t>
      </w:r>
      <w:r>
        <w:rPr>
          <w:snapToGrid w:val="0"/>
        </w:rPr>
        <w:tab/>
        <w:t>for the payment by that person to the State of an amount equal to the value at the well</w:t>
      </w:r>
      <w:r>
        <w:rPr>
          <w:snapToGrid w:val="0"/>
        </w:rPr>
        <w:noBreakHyphen/>
        <w:t>head, assessed by the Court, of the quantity, so assessed, of petroleum so recovered or conveyed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subsection (1)(c)(i) cannot, for any reason, be enforced, the Court may, upon the application of the person by whom the proceedings were brought, set aside the order and make either of the orders referred to in subsection (1)(c)(ii) or (iii).</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Heading5"/>
        <w:rPr>
          <w:snapToGrid w:val="0"/>
        </w:rPr>
      </w:pPr>
      <w:bookmarkStart w:id="853" w:name="_Toc501861824"/>
      <w:bookmarkStart w:id="854" w:name="_Toc113772583"/>
      <w:bookmarkStart w:id="855" w:name="_Toc170190679"/>
      <w:bookmarkStart w:id="856" w:name="_Toc157933652"/>
      <w:r>
        <w:rPr>
          <w:rStyle w:val="CharSectno"/>
        </w:rPr>
        <w:t>135</w:t>
      </w:r>
      <w:r>
        <w:rPr>
          <w:snapToGrid w:val="0"/>
        </w:rPr>
        <w:t>.</w:t>
      </w:r>
      <w:r>
        <w:rPr>
          <w:snapToGrid w:val="0"/>
        </w:rPr>
        <w:tab/>
        <w:t>Disposal of goods</w:t>
      </w:r>
      <w:bookmarkEnd w:id="853"/>
      <w:bookmarkEnd w:id="854"/>
      <w:bookmarkEnd w:id="855"/>
      <w:bookmarkEnd w:id="856"/>
      <w:r>
        <w:rPr>
          <w:snapToGrid w:val="0"/>
        </w:rPr>
        <w:t xml:space="preserve"> </w:t>
      </w:r>
    </w:p>
    <w:p>
      <w:pPr>
        <w:pStyle w:val="Subsection"/>
        <w:rPr>
          <w:snapToGrid w:val="0"/>
        </w:rPr>
      </w:pPr>
      <w:r>
        <w:rPr>
          <w:snapToGrid w:val="0"/>
        </w:rPr>
        <w:tab/>
      </w:r>
      <w:r>
        <w:rPr>
          <w:snapToGrid w:val="0"/>
        </w:rPr>
        <w:tab/>
        <w:t>Goods in respect of which an order is made under section 134 shall be dealt with as the Attorney General directs and, pending his direction, may be detained in such custody as the Supreme Court directs.</w:t>
      </w:r>
    </w:p>
    <w:p>
      <w:pPr>
        <w:pStyle w:val="Footnotesection"/>
      </w:pPr>
      <w:r>
        <w:tab/>
        <w:t>[Section 135 amended by No. 57 of 1997 s.94.]</w:t>
      </w:r>
    </w:p>
    <w:p>
      <w:pPr>
        <w:pStyle w:val="Heading5"/>
        <w:rPr>
          <w:snapToGrid w:val="0"/>
        </w:rPr>
      </w:pPr>
      <w:bookmarkStart w:id="857" w:name="_Toc501861825"/>
      <w:bookmarkStart w:id="858" w:name="_Toc113772584"/>
      <w:bookmarkStart w:id="859" w:name="_Toc170190680"/>
      <w:bookmarkStart w:id="860" w:name="_Toc157933653"/>
      <w:r>
        <w:rPr>
          <w:rStyle w:val="CharSectno"/>
        </w:rPr>
        <w:t>136</w:t>
      </w:r>
      <w:r>
        <w:rPr>
          <w:snapToGrid w:val="0"/>
        </w:rPr>
        <w:t>.</w:t>
      </w:r>
      <w:r>
        <w:rPr>
          <w:snapToGrid w:val="0"/>
        </w:rPr>
        <w:tab/>
        <w:t>Time for bringing proceedings for offences</w:t>
      </w:r>
      <w:bookmarkEnd w:id="857"/>
      <w:bookmarkEnd w:id="858"/>
      <w:bookmarkEnd w:id="859"/>
      <w:bookmarkEnd w:id="860"/>
      <w:r>
        <w:rPr>
          <w:snapToGrid w:val="0"/>
        </w:rPr>
        <w:t xml:space="preserve"> </w:t>
      </w:r>
    </w:p>
    <w:p>
      <w:pPr>
        <w:pStyle w:val="Subsection"/>
        <w:rPr>
          <w:snapToGrid w:val="0"/>
        </w:rPr>
      </w:pPr>
      <w:r>
        <w:rPr>
          <w:snapToGrid w:val="0"/>
        </w:rPr>
        <w:tab/>
      </w:r>
      <w:r>
        <w:rPr>
          <w:snapToGrid w:val="0"/>
        </w:rPr>
        <w:tab/>
        <w:t xml:space="preserve">Proceedings in respect of an offence against this Act </w:t>
      </w:r>
      <w:del w:id="861" w:author="svcMRProcess" w:date="2020-02-19T21:14:00Z">
        <w:r>
          <w:rPr>
            <w:snapToGrid w:val="0"/>
          </w:rPr>
          <w:delText xml:space="preserve">or the regulations </w:delText>
        </w:r>
      </w:del>
      <w:r>
        <w:rPr>
          <w:snapToGrid w:val="0"/>
        </w:rPr>
        <w:t>may be brought at any time.</w:t>
      </w:r>
    </w:p>
    <w:p>
      <w:pPr>
        <w:pStyle w:val="Footnotesection"/>
        <w:rPr>
          <w:ins w:id="862" w:author="svcMRProcess" w:date="2020-02-19T21:14:00Z"/>
        </w:rPr>
      </w:pPr>
      <w:ins w:id="863" w:author="svcMRProcess" w:date="2020-02-19T21:14:00Z">
        <w:r>
          <w:tab/>
          <w:t>[Section 136 amended by No. 13 of 2005 s. 46(2).]</w:t>
        </w:r>
      </w:ins>
    </w:p>
    <w:p>
      <w:pPr>
        <w:pStyle w:val="Heading5"/>
        <w:rPr>
          <w:snapToGrid w:val="0"/>
        </w:rPr>
      </w:pPr>
      <w:bookmarkStart w:id="864" w:name="_Toc501861826"/>
      <w:bookmarkStart w:id="865" w:name="_Toc113772585"/>
      <w:bookmarkStart w:id="866" w:name="_Toc170190681"/>
      <w:bookmarkStart w:id="867" w:name="_Toc157933654"/>
      <w:r>
        <w:rPr>
          <w:rStyle w:val="CharSectno"/>
        </w:rPr>
        <w:t>137</w:t>
      </w:r>
      <w:r>
        <w:rPr>
          <w:snapToGrid w:val="0"/>
        </w:rPr>
        <w:t>.</w:t>
      </w:r>
      <w:r>
        <w:rPr>
          <w:snapToGrid w:val="0"/>
        </w:rPr>
        <w:tab/>
        <w:t>Judicial notice</w:t>
      </w:r>
      <w:bookmarkEnd w:id="864"/>
      <w:bookmarkEnd w:id="865"/>
      <w:bookmarkEnd w:id="866"/>
      <w:bookmarkEnd w:id="867"/>
      <w:r>
        <w:rPr>
          <w:snapToGrid w:val="0"/>
        </w:rPr>
        <w:t xml:space="preserve"> </w:t>
      </w:r>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b/>
          <w:snapToGrid w:val="0"/>
        </w:rPr>
        <w:t>“</w:t>
      </w:r>
      <w:r>
        <w:rPr>
          <w:rStyle w:val="CharDefText"/>
        </w:rPr>
        <w:t>court</w:t>
      </w:r>
      <w:r>
        <w:rPr>
          <w:b/>
          <w:snapToGrid w:val="0"/>
        </w:rPr>
        <w:t>”</w:t>
      </w:r>
      <w:r>
        <w:rPr>
          <w:snapToGrid w:val="0"/>
        </w:rPr>
        <w:t xml:space="preserve"> includes all persons authorized by the law of the State or by consent of parties to receive evidence.</w:t>
      </w:r>
    </w:p>
    <w:p>
      <w:pPr>
        <w:pStyle w:val="Heading5"/>
        <w:rPr>
          <w:ins w:id="868" w:author="svcMRProcess" w:date="2020-02-19T21:14:00Z"/>
        </w:rPr>
      </w:pPr>
      <w:bookmarkStart w:id="869" w:name="_Toc170190682"/>
      <w:bookmarkStart w:id="870" w:name="_Toc501861827"/>
      <w:bookmarkStart w:id="871" w:name="_Toc113772586"/>
      <w:ins w:id="872" w:author="svcMRProcess" w:date="2020-02-19T21:14:00Z">
        <w:r>
          <w:rPr>
            <w:rStyle w:val="CharSectno"/>
          </w:rPr>
          <w:t>137A</w:t>
        </w:r>
        <w:r>
          <w:t>.</w:t>
        </w:r>
        <w:r>
          <w:tab/>
          <w:t>Evidentiary matters</w:t>
        </w:r>
        <w:bookmarkEnd w:id="869"/>
      </w:ins>
    </w:p>
    <w:p>
      <w:pPr>
        <w:pStyle w:val="Subsection"/>
        <w:rPr>
          <w:ins w:id="873" w:author="svcMRProcess" w:date="2020-02-19T21:14:00Z"/>
        </w:rPr>
      </w:pPr>
      <w:ins w:id="874" w:author="svcMRProcess" w:date="2020-02-19T21:14:00Z">
        <w:r>
          <w:tab/>
          <w:t>(1)</w:t>
        </w:r>
        <w:r>
          <w:tab/>
          <w:t xml:space="preserve">In a proceeding for an offence against this Act an averment in the complaint that at a particular time — </w:t>
        </w:r>
      </w:ins>
    </w:p>
    <w:p>
      <w:pPr>
        <w:pStyle w:val="Indenta"/>
        <w:rPr>
          <w:ins w:id="875" w:author="svcMRProcess" w:date="2020-02-19T21:14:00Z"/>
        </w:rPr>
      </w:pPr>
      <w:ins w:id="876" w:author="svcMRProcess" w:date="2020-02-19T21:14:00Z">
        <w:r>
          <w:tab/>
          <w:t>(a)</w:t>
        </w:r>
        <w:r>
          <w:tab/>
          <w:t>a particular operation was an offshore petroleum operation;</w:t>
        </w:r>
      </w:ins>
    </w:p>
    <w:p>
      <w:pPr>
        <w:pStyle w:val="Indenta"/>
        <w:rPr>
          <w:ins w:id="877" w:author="svcMRProcess" w:date="2020-02-19T21:14:00Z"/>
        </w:rPr>
      </w:pPr>
      <w:ins w:id="878" w:author="svcMRProcess" w:date="2020-02-19T21:14:00Z">
        <w:r>
          <w:tab/>
          <w:t>(b)</w:t>
        </w:r>
        <w:r>
          <w:tab/>
          <w:t>a particular vessel or structure was a facility;</w:t>
        </w:r>
      </w:ins>
    </w:p>
    <w:p>
      <w:pPr>
        <w:pStyle w:val="Indenta"/>
        <w:rPr>
          <w:ins w:id="879" w:author="svcMRProcess" w:date="2020-02-19T21:14:00Z"/>
        </w:rPr>
      </w:pPr>
      <w:ins w:id="880" w:author="svcMRProcess" w:date="2020-02-19T21:14:00Z">
        <w:r>
          <w:tab/>
          <w:t>(c)</w:t>
        </w:r>
        <w:r>
          <w:tab/>
          <w:t>a particular person was the operator of a facility;</w:t>
        </w:r>
      </w:ins>
    </w:p>
    <w:p>
      <w:pPr>
        <w:pStyle w:val="Indenta"/>
        <w:rPr>
          <w:ins w:id="881" w:author="svcMRProcess" w:date="2020-02-19T21:14:00Z"/>
        </w:rPr>
      </w:pPr>
      <w:ins w:id="882" w:author="svcMRProcess" w:date="2020-02-19T21:14:00Z">
        <w:r>
          <w:tab/>
          <w:t>(d)</w:t>
        </w:r>
        <w:r>
          <w:tab/>
          <w:t>a particular person was in control of a particular part of a facility, or of any particular work carried out at a facility;</w:t>
        </w:r>
      </w:ins>
    </w:p>
    <w:p>
      <w:pPr>
        <w:pStyle w:val="Indenta"/>
        <w:rPr>
          <w:ins w:id="883" w:author="svcMRProcess" w:date="2020-02-19T21:14:00Z"/>
        </w:rPr>
      </w:pPr>
      <w:ins w:id="884" w:author="svcMRProcess" w:date="2020-02-19T21:14:00Z">
        <w:r>
          <w:tab/>
          <w:t>(e)</w:t>
        </w:r>
        <w:r>
          <w:tab/>
          <w:t>a particular person was an employer who carried on an activity at a facility;</w:t>
        </w:r>
      </w:ins>
    </w:p>
    <w:p>
      <w:pPr>
        <w:pStyle w:val="Indenta"/>
        <w:rPr>
          <w:ins w:id="885" w:author="svcMRProcess" w:date="2020-02-19T21:14:00Z"/>
        </w:rPr>
      </w:pPr>
      <w:ins w:id="886" w:author="svcMRProcess" w:date="2020-02-19T21:14:00Z">
        <w:r>
          <w:tab/>
          <w:t>(f)</w:t>
        </w:r>
        <w:r>
          <w:tab/>
          <w:t>a particular person was an employer of a particular person or particular persons who worked at a facility;</w:t>
        </w:r>
      </w:ins>
    </w:p>
    <w:p>
      <w:pPr>
        <w:pStyle w:val="Indenta"/>
        <w:rPr>
          <w:ins w:id="887" w:author="svcMRProcess" w:date="2020-02-19T21:14:00Z"/>
        </w:rPr>
      </w:pPr>
      <w:ins w:id="888" w:author="svcMRProcess" w:date="2020-02-19T21:14:00Z">
        <w:r>
          <w:tab/>
          <w:t>(g)</w:t>
        </w:r>
        <w:r>
          <w:tab/>
          <w:t>a particular person was an employee or inspector,</w:t>
        </w:r>
      </w:ins>
    </w:p>
    <w:p>
      <w:pPr>
        <w:pStyle w:val="Subsection"/>
        <w:rPr>
          <w:ins w:id="889" w:author="svcMRProcess" w:date="2020-02-19T21:14:00Z"/>
        </w:rPr>
      </w:pPr>
      <w:ins w:id="890" w:author="svcMRProcess" w:date="2020-02-19T21:14:00Z">
        <w:r>
          <w:tab/>
        </w:r>
        <w:r>
          <w:tab/>
          <w:t>is to be taken to have been proved in the absence of evidence to the contrary.</w:t>
        </w:r>
      </w:ins>
    </w:p>
    <w:p>
      <w:pPr>
        <w:pStyle w:val="Subsection"/>
        <w:rPr>
          <w:ins w:id="891" w:author="svcMRProcess" w:date="2020-02-19T21:14:00Z"/>
        </w:rPr>
      </w:pPr>
      <w:ins w:id="892" w:author="svcMRProcess" w:date="2020-02-19T21:14:00Z">
        <w:r>
          <w:tab/>
          <w:t>(2)</w:t>
        </w:r>
        <w:r>
          <w:tab/>
          <w:t xml:space="preserve">In a proceeding for an offence against this Act, proof is not required as to any of the following matters, unless evidence is given to the contrary — </w:t>
        </w:r>
      </w:ins>
    </w:p>
    <w:p>
      <w:pPr>
        <w:pStyle w:val="Indenta"/>
        <w:rPr>
          <w:ins w:id="893" w:author="svcMRProcess" w:date="2020-02-19T21:14:00Z"/>
        </w:rPr>
      </w:pPr>
      <w:ins w:id="894" w:author="svcMRProcess" w:date="2020-02-19T21:14:00Z">
        <w:r>
          <w:tab/>
          <w:t>(a)</w:t>
        </w:r>
        <w:r>
          <w:tab/>
          <w:t>a delegation under section 16 by the Minister of a power, function or duty;</w:t>
        </w:r>
      </w:ins>
    </w:p>
    <w:p>
      <w:pPr>
        <w:pStyle w:val="Indenta"/>
        <w:rPr>
          <w:ins w:id="895" w:author="svcMRProcess" w:date="2020-02-19T21:14:00Z"/>
        </w:rPr>
      </w:pPr>
      <w:ins w:id="896" w:author="svcMRProcess" w:date="2020-02-19T21:14:00Z">
        <w:r>
          <w:tab/>
          <w:t>(b)</w:t>
        </w:r>
        <w:r>
          <w:tab/>
          <w:t>the authority of any person to institute a proceeding for an offence against this Act other than an offence against a listed OSH law;</w:t>
        </w:r>
      </w:ins>
    </w:p>
    <w:p>
      <w:pPr>
        <w:pStyle w:val="Indenta"/>
        <w:rPr>
          <w:ins w:id="897" w:author="svcMRProcess" w:date="2020-02-19T21:14:00Z"/>
        </w:rPr>
      </w:pPr>
      <w:ins w:id="898" w:author="svcMRProcess" w:date="2020-02-19T21:14:00Z">
        <w:r>
          <w:tab/>
          <w:t>(c)</w:t>
        </w:r>
        <w:r>
          <w:tab/>
          <w:t>the authority of the Safety Authority or an inspector to institute a proceeding for an offence against a listed OSH law.</w:t>
        </w:r>
      </w:ins>
    </w:p>
    <w:p>
      <w:pPr>
        <w:pStyle w:val="Subsection"/>
        <w:rPr>
          <w:ins w:id="899" w:author="svcMRProcess" w:date="2020-02-19T21:14:00Z"/>
        </w:rPr>
      </w:pPr>
      <w:ins w:id="900" w:author="svcMRProcess" w:date="2020-02-19T21:14:00Z">
        <w:r>
          <w:tab/>
          <w:t>(3)</w:t>
        </w:r>
        <w:r>
          <w:tab/>
          <w:t xml:space="preserve">In a proceeding for an offence against this Act, production of a copy of — </w:t>
        </w:r>
      </w:ins>
    </w:p>
    <w:p>
      <w:pPr>
        <w:pStyle w:val="Indenta"/>
        <w:rPr>
          <w:ins w:id="901" w:author="svcMRProcess" w:date="2020-02-19T21:14:00Z"/>
        </w:rPr>
      </w:pPr>
      <w:ins w:id="902" w:author="svcMRProcess" w:date="2020-02-19T21:14:00Z">
        <w:r>
          <w:tab/>
          <w:t>(a)</w:t>
        </w:r>
        <w:r>
          <w:tab/>
          <w:t>a code of practice;</w:t>
        </w:r>
      </w:ins>
    </w:p>
    <w:p>
      <w:pPr>
        <w:pStyle w:val="Indenta"/>
        <w:rPr>
          <w:ins w:id="903" w:author="svcMRProcess" w:date="2020-02-19T21:14:00Z"/>
        </w:rPr>
      </w:pPr>
      <w:ins w:id="904" w:author="svcMRProcess" w:date="2020-02-19T21:14:00Z">
        <w:r>
          <w:tab/>
          <w:t>(b)</w:t>
        </w:r>
        <w:r>
          <w:tab/>
          <w:t>an Australian Standard; or</w:t>
        </w:r>
      </w:ins>
    </w:p>
    <w:p>
      <w:pPr>
        <w:pStyle w:val="Indenta"/>
        <w:rPr>
          <w:ins w:id="905" w:author="svcMRProcess" w:date="2020-02-19T21:14:00Z"/>
        </w:rPr>
      </w:pPr>
      <w:ins w:id="906" w:author="svcMRProcess" w:date="2020-02-19T21:14:00Z">
        <w:r>
          <w:tab/>
          <w:t>(c)</w:t>
        </w:r>
        <w:r>
          <w:tab/>
          <w:t>an Australian/New Zealand Standard,</w:t>
        </w:r>
      </w:ins>
    </w:p>
    <w:p>
      <w:pPr>
        <w:pStyle w:val="Subsection"/>
        <w:rPr>
          <w:ins w:id="907" w:author="svcMRProcess" w:date="2020-02-19T21:14:00Z"/>
        </w:rPr>
      </w:pPr>
      <w:ins w:id="908" w:author="svcMRProcess" w:date="2020-02-19T21:14:00Z">
        <w:r>
          <w:tab/>
        </w:r>
        <w:r>
          <w:tab/>
          <w:t>purporting to be certified by the CEO to be a true copy as at any date or during any period is, without proof of the signature of the CEO, sufficient evidence of the contents of the code of practice or Standard as at that date or during that period.</w:t>
        </w:r>
      </w:ins>
    </w:p>
    <w:p>
      <w:pPr>
        <w:pStyle w:val="Subsection"/>
        <w:rPr>
          <w:ins w:id="909" w:author="svcMRProcess" w:date="2020-02-19T21:14:00Z"/>
        </w:rPr>
      </w:pPr>
      <w:ins w:id="910" w:author="svcMRProcess" w:date="2020-02-19T21:14:00Z">
        <w:r>
          <w:tab/>
          <w:t>(4)</w:t>
        </w:r>
        <w:r>
          <w:tab/>
          <w:t xml:space="preserve">In subsection (3) — </w:t>
        </w:r>
      </w:ins>
    </w:p>
    <w:p>
      <w:pPr>
        <w:pStyle w:val="Defstart"/>
        <w:rPr>
          <w:ins w:id="911" w:author="svcMRProcess" w:date="2020-02-19T21:14:00Z"/>
        </w:rPr>
      </w:pPr>
      <w:ins w:id="912" w:author="svcMRProcess" w:date="2020-02-19T21:14:00Z">
        <w:r>
          <w:rPr>
            <w:b/>
          </w:rPr>
          <w:tab/>
          <w:t>“</w:t>
        </w:r>
        <w:r>
          <w:rPr>
            <w:rStyle w:val="CharDefText"/>
          </w:rPr>
          <w:t>Australian Standard</w:t>
        </w:r>
        <w:r>
          <w:rPr>
            <w:b/>
          </w:rPr>
          <w:t>”</w:t>
        </w:r>
        <w:r>
          <w:t xml:space="preserve"> means a document having that title published by Standards Australia;</w:t>
        </w:r>
      </w:ins>
    </w:p>
    <w:p>
      <w:pPr>
        <w:pStyle w:val="Defstart"/>
        <w:rPr>
          <w:ins w:id="913" w:author="svcMRProcess" w:date="2020-02-19T21:14:00Z"/>
        </w:rPr>
      </w:pPr>
      <w:ins w:id="914" w:author="svcMRProcess" w:date="2020-02-19T21:14:00Z">
        <w:r>
          <w:rPr>
            <w:b/>
          </w:rPr>
          <w:tab/>
          <w:t>“</w:t>
        </w:r>
        <w:r>
          <w:rPr>
            <w:rStyle w:val="CharDefText"/>
          </w:rPr>
          <w:t>Australian/New Zealand Standard</w:t>
        </w:r>
        <w:r>
          <w:rPr>
            <w:b/>
          </w:rPr>
          <w:t>”</w:t>
        </w:r>
        <w:r>
          <w:t xml:space="preserve"> means a document having that title jointly published by Standards Australia and the Standards Council of New Zealand;</w:t>
        </w:r>
      </w:ins>
    </w:p>
    <w:p>
      <w:pPr>
        <w:pStyle w:val="Defstart"/>
        <w:rPr>
          <w:ins w:id="915" w:author="svcMRProcess" w:date="2020-02-19T21:14:00Z"/>
        </w:rPr>
      </w:pPr>
      <w:ins w:id="916" w:author="svcMRProcess" w:date="2020-02-19T21:14:00Z">
        <w:r>
          <w:rPr>
            <w:b/>
          </w:rPr>
          <w:tab/>
          <w:t>“</w:t>
        </w:r>
        <w:r>
          <w:rPr>
            <w:rStyle w:val="CharDefText"/>
          </w:rPr>
          <w:t>CEO</w:t>
        </w:r>
        <w:r>
          <w:rPr>
            <w:b/>
          </w:rPr>
          <w:t>”</w:t>
        </w:r>
        <w:r>
          <w:t xml:space="preserve"> means the chief executive officer of the department of the Public Service principally assisting in the administration of this Act.</w:t>
        </w:r>
      </w:ins>
    </w:p>
    <w:p>
      <w:pPr>
        <w:pStyle w:val="Footnotesection"/>
        <w:rPr>
          <w:ins w:id="917" w:author="svcMRProcess" w:date="2020-02-19T21:14:00Z"/>
        </w:rPr>
      </w:pPr>
      <w:ins w:id="918" w:author="svcMRProcess" w:date="2020-02-19T21:14:00Z">
        <w:r>
          <w:tab/>
          <w:t>[Section 137A inserted by No. 13 of 2005 s. 43.]</w:t>
        </w:r>
      </w:ins>
    </w:p>
    <w:p>
      <w:pPr>
        <w:pStyle w:val="Heading5"/>
        <w:rPr>
          <w:snapToGrid w:val="0"/>
        </w:rPr>
      </w:pPr>
      <w:bookmarkStart w:id="919" w:name="_Toc170190683"/>
      <w:bookmarkStart w:id="920" w:name="_Toc157933655"/>
      <w:r>
        <w:rPr>
          <w:rStyle w:val="CharSectno"/>
        </w:rPr>
        <w:t>138</w:t>
      </w:r>
      <w:r>
        <w:rPr>
          <w:snapToGrid w:val="0"/>
        </w:rPr>
        <w:t>.</w:t>
      </w:r>
      <w:r>
        <w:rPr>
          <w:snapToGrid w:val="0"/>
        </w:rPr>
        <w:tab/>
        <w:t>Service</w:t>
      </w:r>
      <w:bookmarkEnd w:id="870"/>
      <w:bookmarkEnd w:id="871"/>
      <w:bookmarkEnd w:id="919"/>
      <w:bookmarkEnd w:id="920"/>
      <w:r>
        <w:rPr>
          <w:snapToGrid w:val="0"/>
        </w:rPr>
        <w:t xml:space="preserve"> </w:t>
      </w:r>
    </w:p>
    <w:p>
      <w:pPr>
        <w:pStyle w:val="Subsection"/>
        <w:rPr>
          <w:snapToGrid w:val="0"/>
        </w:rPr>
      </w:pPr>
      <w:r>
        <w:rPr>
          <w:snapToGrid w:val="0"/>
        </w:rPr>
        <w:tab/>
        <w:t>(1)</w:t>
      </w:r>
      <w:r>
        <w:rPr>
          <w:snapToGrid w:val="0"/>
        </w:rPr>
        <w:tab/>
        <w:t>A document required or permitted by this Act to be served on a person other than the Minister or a corporation shall be served — </w:t>
      </w:r>
    </w:p>
    <w:p>
      <w:pPr>
        <w:pStyle w:val="Indenta"/>
        <w:rPr>
          <w:snapToGrid w:val="0"/>
        </w:rPr>
      </w:pPr>
      <w:r>
        <w:rPr>
          <w:snapToGrid w:val="0"/>
        </w:rPr>
        <w:tab/>
        <w:t>(a)</w:t>
      </w:r>
      <w:r>
        <w:rPr>
          <w:snapToGrid w:val="0"/>
        </w:rPr>
        <w:tab/>
        <w:t>by delivering the document to that person personally;</w:t>
      </w:r>
    </w:p>
    <w:p>
      <w:pPr>
        <w:pStyle w:val="Indenta"/>
        <w:rPr>
          <w:snapToGrid w:val="0"/>
        </w:rPr>
      </w:pPr>
      <w:r>
        <w:rPr>
          <w:snapToGrid w:val="0"/>
        </w:rPr>
        <w:tab/>
        <w:t>(b)</w:t>
      </w:r>
      <w:r>
        <w:rPr>
          <w:snapToGrid w:val="0"/>
        </w:rPr>
        <w:tab/>
        <w:t>by prepaying and posting the document as a letter addressed to that person at his last known place of residence or business or, if he is carrying on business at 2 or more places, at one of those places;</w:t>
      </w:r>
    </w:p>
    <w:p>
      <w:pPr>
        <w:pStyle w:val="Indenta"/>
        <w:rPr>
          <w:snapToGrid w:val="0"/>
        </w:rPr>
      </w:pPr>
      <w:r>
        <w:rPr>
          <w:snapToGrid w:val="0"/>
        </w:rPr>
        <w:tab/>
        <w:t>(c)</w:t>
      </w:r>
      <w:r>
        <w:rPr>
          <w:snapToGrid w:val="0"/>
        </w:rPr>
        <w:tab/>
        <w:t>by leaving the document at the last known place of residence of that person with some person apparently a resident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rPr>
          <w:snapToGrid w:val="0"/>
        </w:rPr>
      </w:pPr>
      <w:r>
        <w:rPr>
          <w:snapToGrid w:val="0"/>
        </w:rPr>
        <w:tab/>
        <w:t>(2)</w:t>
      </w:r>
      <w:r>
        <w:rPr>
          <w:snapToGrid w:val="0"/>
        </w:rPr>
        <w:tab/>
        <w:t>A document required or permitted by this Act to be served on the Minister shall be served —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rPr>
          <w:snapToGrid w:val="0"/>
        </w:rPr>
      </w:pPr>
      <w:r>
        <w:rPr>
          <w:snapToGrid w:val="0"/>
        </w:rPr>
        <w:tab/>
        <w:t>(3)</w:t>
      </w:r>
      <w:r>
        <w:rPr>
          <w:snapToGrid w:val="0"/>
        </w:rPr>
        <w:tab/>
        <w:t>A document required by this Act to be served upon a person, being a corporation, shall be served — </w:t>
      </w:r>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Heading5"/>
        <w:rPr>
          <w:snapToGrid w:val="0"/>
        </w:rPr>
      </w:pPr>
      <w:bookmarkStart w:id="921" w:name="_Toc501861828"/>
      <w:bookmarkStart w:id="922" w:name="_Toc113772587"/>
      <w:bookmarkStart w:id="923" w:name="_Toc170190684"/>
      <w:bookmarkStart w:id="924" w:name="_Toc157933656"/>
      <w:r>
        <w:rPr>
          <w:rStyle w:val="CharSectno"/>
        </w:rPr>
        <w:t>138A</w:t>
      </w:r>
      <w:r>
        <w:rPr>
          <w:snapToGrid w:val="0"/>
        </w:rPr>
        <w:t>.</w:t>
      </w:r>
      <w:r>
        <w:rPr>
          <w:snapToGrid w:val="0"/>
        </w:rPr>
        <w:tab/>
        <w:t>Service of documents on 2 or more permittees, etc.</w:t>
      </w:r>
      <w:bookmarkEnd w:id="921"/>
      <w:bookmarkEnd w:id="922"/>
      <w:bookmarkEnd w:id="923"/>
      <w:bookmarkEnd w:id="924"/>
      <w:r>
        <w:rPr>
          <w:snapToGrid w:val="0"/>
        </w:rPr>
        <w:t xml:space="preserve"> </w:t>
      </w:r>
    </w:p>
    <w:p>
      <w:pPr>
        <w:pStyle w:val="Subsection"/>
        <w:spacing w:before="80"/>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spacing w:before="80"/>
        <w:rPr>
          <w:snapToGrid w:val="0"/>
        </w:rPr>
      </w:pPr>
      <w:r>
        <w:rPr>
          <w:snapToGrid w:val="0"/>
        </w:rPr>
        <w:tab/>
        <w:t>(2)</w:t>
      </w:r>
      <w:r>
        <w:rPr>
          <w:snapToGrid w:val="0"/>
        </w:rPr>
        <w:tab/>
        <w:t>Subject to subsections (3) and (4), where — </w:t>
      </w:r>
    </w:p>
    <w:p>
      <w:pPr>
        <w:pStyle w:val="Indenta"/>
        <w:rPr>
          <w:snapToGrid w:val="0"/>
        </w:rPr>
      </w:pPr>
      <w:r>
        <w:rPr>
          <w:snapToGrid w:val="0"/>
        </w:rPr>
        <w:tab/>
        <w:t>(a)</w:t>
      </w:r>
      <w:r>
        <w:rPr>
          <w:snapToGrid w:val="0"/>
        </w:rPr>
        <w:tab/>
        <w:t>a document relating to a title or special prospecting authority is required or permitted by this Act to be served on the registered holder;</w:t>
      </w:r>
    </w:p>
    <w:p>
      <w:pPr>
        <w:pStyle w:val="Indenta"/>
        <w:rPr>
          <w:snapToGrid w:val="0"/>
        </w:rPr>
      </w:pPr>
      <w:r>
        <w:rPr>
          <w:snapToGrid w:val="0"/>
        </w:rPr>
        <w:tab/>
        <w:t>(b)</w:t>
      </w:r>
      <w:r>
        <w:rPr>
          <w:snapToGrid w:val="0"/>
        </w:rPr>
        <w:tab/>
        <w:t>there are 2 or more registered holders of the title or special prospecting authority; and</w:t>
      </w:r>
    </w:p>
    <w:p>
      <w:pPr>
        <w:pStyle w:val="Indenta"/>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b/>
          <w:snapToGrid w:val="0"/>
        </w:rPr>
        <w:t>“</w:t>
      </w:r>
      <w:r>
        <w:rPr>
          <w:rStyle w:val="CharDefText"/>
        </w:rPr>
        <w:t>title</w:t>
      </w:r>
      <w:r>
        <w:rPr>
          <w:b/>
          <w:snapToGrid w:val="0"/>
        </w:rPr>
        <w:t>”</w:t>
      </w:r>
      <w:r>
        <w:rPr>
          <w:snapToGrid w:val="0"/>
        </w:rPr>
        <w:t xml:space="preserve"> means a permit, lease, licence or access authority.</w:t>
      </w:r>
    </w:p>
    <w:p>
      <w:pPr>
        <w:pStyle w:val="Footnotesection"/>
      </w:pPr>
      <w:r>
        <w:tab/>
        <w:t xml:space="preserve">[Section 138A inserted by No. 12 of 1990 s.237.] </w:t>
      </w:r>
    </w:p>
    <w:p>
      <w:pPr>
        <w:pStyle w:val="Heading3"/>
        <w:spacing w:before="200"/>
        <w:rPr>
          <w:snapToGrid w:val="0"/>
        </w:rPr>
      </w:pPr>
      <w:bookmarkStart w:id="925" w:name="_Toc72913868"/>
      <w:bookmarkStart w:id="926" w:name="_Toc91304348"/>
      <w:bookmarkStart w:id="927" w:name="_Toc92688591"/>
      <w:bookmarkStart w:id="928" w:name="_Toc113772588"/>
      <w:bookmarkStart w:id="929" w:name="_Toc156977073"/>
      <w:bookmarkStart w:id="930" w:name="_Toc157933657"/>
      <w:bookmarkStart w:id="931" w:name="_Toc162761294"/>
      <w:bookmarkStart w:id="932" w:name="_Toc170190685"/>
      <w:r>
        <w:rPr>
          <w:rStyle w:val="CharDivNo"/>
        </w:rPr>
        <w:t>Division 7</w:t>
      </w:r>
      <w:r>
        <w:rPr>
          <w:snapToGrid w:val="0"/>
        </w:rPr>
        <w:t> — </w:t>
      </w:r>
      <w:r>
        <w:rPr>
          <w:rStyle w:val="CharDivText"/>
        </w:rPr>
        <w:t>Fees and royalties</w:t>
      </w:r>
      <w:bookmarkEnd w:id="925"/>
      <w:bookmarkEnd w:id="926"/>
      <w:bookmarkEnd w:id="927"/>
      <w:bookmarkEnd w:id="928"/>
      <w:bookmarkEnd w:id="929"/>
      <w:bookmarkEnd w:id="930"/>
      <w:bookmarkEnd w:id="931"/>
      <w:bookmarkEnd w:id="932"/>
      <w:r>
        <w:rPr>
          <w:rStyle w:val="CharDivText"/>
        </w:rPr>
        <w:t xml:space="preserve"> </w:t>
      </w:r>
    </w:p>
    <w:p>
      <w:pPr>
        <w:pStyle w:val="Heading5"/>
        <w:spacing w:before="180"/>
        <w:rPr>
          <w:snapToGrid w:val="0"/>
        </w:rPr>
      </w:pPr>
      <w:bookmarkStart w:id="933" w:name="_Toc501861829"/>
      <w:bookmarkStart w:id="934" w:name="_Toc113772589"/>
      <w:bookmarkStart w:id="935" w:name="_Toc170190686"/>
      <w:bookmarkStart w:id="936" w:name="_Toc157933658"/>
      <w:r>
        <w:rPr>
          <w:rStyle w:val="CharSectno"/>
        </w:rPr>
        <w:t>139</w:t>
      </w:r>
      <w:r>
        <w:rPr>
          <w:snapToGrid w:val="0"/>
        </w:rPr>
        <w:t>.</w:t>
      </w:r>
      <w:r>
        <w:rPr>
          <w:snapToGrid w:val="0"/>
        </w:rPr>
        <w:tab/>
        <w:t>Permit fees</w:t>
      </w:r>
      <w:bookmarkEnd w:id="933"/>
      <w:bookmarkEnd w:id="934"/>
      <w:bookmarkEnd w:id="935"/>
      <w:bookmarkEnd w:id="936"/>
      <w:r>
        <w:rPr>
          <w:snapToGrid w:val="0"/>
        </w:rPr>
        <w:t xml:space="preserve"> </w:t>
      </w:r>
    </w:p>
    <w:p>
      <w:pPr>
        <w:pStyle w:val="Subsection"/>
        <w:spacing w:before="120"/>
        <w:rPr>
          <w:snapToGrid w:val="0"/>
        </w:rPr>
      </w:pPr>
      <w:r>
        <w:rPr>
          <w:snapToGrid w:val="0"/>
        </w:rPr>
        <w:tab/>
      </w:r>
      <w:r>
        <w:rPr>
          <w:snapToGrid w:val="0"/>
        </w:rPr>
        <w:tab/>
        <w:t>There is payable to the Minister by a permittee in respect of each year of the term of the permit — </w:t>
      </w:r>
    </w:p>
    <w:p>
      <w:pPr>
        <w:pStyle w:val="Indenta"/>
        <w:rPr>
          <w:snapToGrid w:val="0"/>
        </w:rPr>
      </w:pPr>
      <w:r>
        <w:rPr>
          <w:snapToGrid w:val="0"/>
        </w:rPr>
        <w:tab/>
        <w:t>(a)</w:t>
      </w:r>
      <w:r>
        <w:rPr>
          <w:snapToGrid w:val="0"/>
        </w:rPr>
        <w:tab/>
        <w:t>the prescribed minimum fee; or</w:t>
      </w:r>
    </w:p>
    <w:p>
      <w:pPr>
        <w:pStyle w:val="Indenta"/>
        <w:rPr>
          <w:snapToGrid w:val="0"/>
        </w:rPr>
      </w:pPr>
      <w:r>
        <w:rPr>
          <w:snapToGrid w:val="0"/>
        </w:rPr>
        <w:tab/>
        <w:t>(b)</w:t>
      </w:r>
      <w:r>
        <w:rPr>
          <w:snapToGrid w:val="0"/>
        </w:rPr>
        <w:tab/>
        <w:t>a fee calculated at the prescribed rate for each of the blocks to which the permit relates at the commencement of that year,</w:t>
      </w:r>
    </w:p>
    <w:p>
      <w:pPr>
        <w:pStyle w:val="Subsection"/>
        <w:spacing w:before="120"/>
        <w:rPr>
          <w:snapToGrid w:val="0"/>
        </w:rPr>
      </w:pPr>
      <w:r>
        <w:rPr>
          <w:snapToGrid w:val="0"/>
        </w:rPr>
        <w:tab/>
      </w:r>
      <w:r>
        <w:rPr>
          <w:snapToGrid w:val="0"/>
        </w:rPr>
        <w:tab/>
        <w:t>whichever is the greater.</w:t>
      </w:r>
    </w:p>
    <w:p>
      <w:pPr>
        <w:pStyle w:val="Footnotesection"/>
      </w:pPr>
      <w:r>
        <w:tab/>
        <w:t xml:space="preserve">[Section 139 amended by No. 12 of 1990 s.238.] </w:t>
      </w:r>
    </w:p>
    <w:p>
      <w:pPr>
        <w:pStyle w:val="Heading5"/>
        <w:spacing w:before="180"/>
        <w:rPr>
          <w:snapToGrid w:val="0"/>
        </w:rPr>
      </w:pPr>
      <w:bookmarkStart w:id="937" w:name="_Toc501861830"/>
      <w:bookmarkStart w:id="938" w:name="_Toc113772590"/>
      <w:bookmarkStart w:id="939" w:name="_Toc170190687"/>
      <w:bookmarkStart w:id="940" w:name="_Toc157933659"/>
      <w:r>
        <w:rPr>
          <w:rStyle w:val="CharSectno"/>
        </w:rPr>
        <w:t>139A</w:t>
      </w:r>
      <w:r>
        <w:rPr>
          <w:snapToGrid w:val="0"/>
        </w:rPr>
        <w:t>.</w:t>
      </w:r>
      <w:r>
        <w:rPr>
          <w:snapToGrid w:val="0"/>
        </w:rPr>
        <w:tab/>
        <w:t>Lease fees</w:t>
      </w:r>
      <w:bookmarkEnd w:id="937"/>
      <w:bookmarkEnd w:id="938"/>
      <w:bookmarkEnd w:id="939"/>
      <w:bookmarkEnd w:id="940"/>
      <w:r>
        <w:rPr>
          <w:snapToGrid w:val="0"/>
        </w:rPr>
        <w:t xml:space="preserve"> </w:t>
      </w:r>
    </w:p>
    <w:p>
      <w:pPr>
        <w:pStyle w:val="Subsection"/>
        <w:spacing w:before="120"/>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 xml:space="preserve">[Section 139A inserted by No. 12 of 1990 s.239.] </w:t>
      </w:r>
    </w:p>
    <w:p>
      <w:pPr>
        <w:pStyle w:val="Heading5"/>
        <w:spacing w:before="180"/>
        <w:rPr>
          <w:snapToGrid w:val="0"/>
        </w:rPr>
      </w:pPr>
      <w:bookmarkStart w:id="941" w:name="_Toc501861831"/>
      <w:bookmarkStart w:id="942" w:name="_Toc113772591"/>
      <w:bookmarkStart w:id="943" w:name="_Toc170190688"/>
      <w:bookmarkStart w:id="944" w:name="_Toc157933660"/>
      <w:r>
        <w:rPr>
          <w:rStyle w:val="CharSectno"/>
        </w:rPr>
        <w:t>140</w:t>
      </w:r>
      <w:r>
        <w:rPr>
          <w:snapToGrid w:val="0"/>
        </w:rPr>
        <w:t>.</w:t>
      </w:r>
      <w:r>
        <w:rPr>
          <w:snapToGrid w:val="0"/>
        </w:rPr>
        <w:tab/>
        <w:t>Licence fees</w:t>
      </w:r>
      <w:bookmarkEnd w:id="941"/>
      <w:bookmarkEnd w:id="942"/>
      <w:bookmarkEnd w:id="943"/>
      <w:bookmarkEnd w:id="944"/>
      <w:r>
        <w:rPr>
          <w:snapToGrid w:val="0"/>
        </w:rPr>
        <w:t xml:space="preserve"> </w:t>
      </w:r>
    </w:p>
    <w:p>
      <w:pPr>
        <w:pStyle w:val="Subsection"/>
        <w:spacing w:before="120"/>
        <w:rPr>
          <w:snapToGrid w:val="0"/>
        </w:rPr>
      </w:pPr>
      <w:r>
        <w:rPr>
          <w:snapToGrid w:val="0"/>
        </w:rPr>
        <w:tab/>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Footnotesection"/>
      </w:pPr>
      <w:r>
        <w:tab/>
        <w:t xml:space="preserve">[Section 140 amended by No. 12 of 1990 s.240.] </w:t>
      </w:r>
    </w:p>
    <w:p>
      <w:pPr>
        <w:pStyle w:val="Heading5"/>
        <w:spacing w:before="120"/>
        <w:rPr>
          <w:snapToGrid w:val="0"/>
        </w:rPr>
      </w:pPr>
      <w:bookmarkStart w:id="945" w:name="_Toc501861832"/>
      <w:bookmarkStart w:id="946" w:name="_Toc113772592"/>
      <w:bookmarkStart w:id="947" w:name="_Toc170190689"/>
      <w:bookmarkStart w:id="948" w:name="_Toc157933661"/>
      <w:r>
        <w:rPr>
          <w:rStyle w:val="CharSectno"/>
        </w:rPr>
        <w:t>141</w:t>
      </w:r>
      <w:r>
        <w:rPr>
          <w:snapToGrid w:val="0"/>
        </w:rPr>
        <w:t>.</w:t>
      </w:r>
      <w:r>
        <w:rPr>
          <w:snapToGrid w:val="0"/>
        </w:rPr>
        <w:tab/>
        <w:t>Pipeline licence fees</w:t>
      </w:r>
      <w:bookmarkEnd w:id="945"/>
      <w:bookmarkEnd w:id="946"/>
      <w:bookmarkEnd w:id="947"/>
      <w:bookmarkEnd w:id="948"/>
      <w:r>
        <w:rPr>
          <w:snapToGrid w:val="0"/>
        </w:rPr>
        <w:t xml:space="preserve"> </w:t>
      </w:r>
    </w:p>
    <w:p>
      <w:pPr>
        <w:pStyle w:val="Subsection"/>
        <w:spacing w:before="80"/>
        <w:rPr>
          <w:snapToGrid w:val="0"/>
        </w:rPr>
      </w:pPr>
      <w:r>
        <w:rPr>
          <w:snapToGrid w:val="0"/>
        </w:rPr>
        <w:tab/>
      </w:r>
      <w:r>
        <w:rPr>
          <w:snapToGrid w:val="0"/>
        </w:rPr>
        <w:tab/>
        <w:t>There is payable to the Minister by a pipeline licensee, in respect of each year of the term of the pipeline licence, a prescribed fee in respect of each kilometre or portion of a kilometre of the length of the pipeline at the commencement of that year.</w:t>
      </w:r>
    </w:p>
    <w:p>
      <w:pPr>
        <w:pStyle w:val="Footnotesection"/>
      </w:pPr>
      <w:r>
        <w:tab/>
        <w:t xml:space="preserve">[Section 141 amended by No. 12 of 1990 s.241.] </w:t>
      </w:r>
    </w:p>
    <w:p>
      <w:pPr>
        <w:pStyle w:val="Heading5"/>
        <w:spacing w:before="120"/>
        <w:rPr>
          <w:snapToGrid w:val="0"/>
        </w:rPr>
      </w:pPr>
      <w:bookmarkStart w:id="949" w:name="_Toc501861833"/>
      <w:bookmarkStart w:id="950" w:name="_Toc113772593"/>
      <w:bookmarkStart w:id="951" w:name="_Toc170190690"/>
      <w:bookmarkStart w:id="952" w:name="_Toc157933662"/>
      <w:r>
        <w:rPr>
          <w:rStyle w:val="CharSectno"/>
        </w:rPr>
        <w:t>142</w:t>
      </w:r>
      <w:r>
        <w:rPr>
          <w:snapToGrid w:val="0"/>
        </w:rPr>
        <w:t>.</w:t>
      </w:r>
      <w:r>
        <w:rPr>
          <w:snapToGrid w:val="0"/>
        </w:rPr>
        <w:tab/>
        <w:t>Time of payment of fees</w:t>
      </w:r>
      <w:bookmarkEnd w:id="949"/>
      <w:bookmarkEnd w:id="950"/>
      <w:bookmarkEnd w:id="951"/>
      <w:bookmarkEnd w:id="952"/>
      <w:r>
        <w:rPr>
          <w:snapToGrid w:val="0"/>
        </w:rPr>
        <w:t xml:space="preserve"> </w:t>
      </w:r>
    </w:p>
    <w:p>
      <w:pPr>
        <w:pStyle w:val="Subsection"/>
        <w:spacing w:before="120"/>
        <w:rPr>
          <w:snapToGrid w:val="0"/>
        </w:rPr>
      </w:pPr>
      <w:r>
        <w:rPr>
          <w:snapToGrid w:val="0"/>
        </w:rPr>
        <w:tab/>
      </w:r>
      <w:r>
        <w:rPr>
          <w:snapToGrid w:val="0"/>
        </w:rPr>
        <w:tab/>
        <w:t>A fee under section 139, 139A, 140 or 141 is payable within one month after — </w:t>
      </w:r>
    </w:p>
    <w:p>
      <w:pPr>
        <w:pStyle w:val="Indenta"/>
        <w:rPr>
          <w:snapToGrid w:val="0"/>
        </w:rPr>
      </w:pPr>
      <w:r>
        <w:rPr>
          <w:snapToGrid w:val="0"/>
        </w:rPr>
        <w:tab/>
        <w:t>(a)</w:t>
      </w:r>
      <w:r>
        <w:rPr>
          <w:snapToGrid w:val="0"/>
        </w:rPr>
        <w:tab/>
        <w:t>in the case of the first year of the term of the permit, lease, licence or pipeline licence, the day on which that term commenced; and</w:t>
      </w:r>
    </w:p>
    <w:p>
      <w:pPr>
        <w:pStyle w:val="Indenta"/>
        <w:rPr>
          <w:snapToGrid w:val="0"/>
        </w:rPr>
      </w:pPr>
      <w:r>
        <w:rPr>
          <w:snapToGrid w:val="0"/>
        </w:rPr>
        <w:tab/>
        <w:t>(b)</w:t>
      </w:r>
      <w:r>
        <w:rPr>
          <w:snapToGrid w:val="0"/>
        </w:rPr>
        <w:tab/>
        <w:t>in the case of a year of the term of the permit, lease, licence or pipeline licence other than the first, the anniversary of that day.</w:t>
      </w:r>
    </w:p>
    <w:p>
      <w:pPr>
        <w:pStyle w:val="Footnotesection"/>
      </w:pPr>
      <w:r>
        <w:tab/>
        <w:t xml:space="preserve">[Section 142 amended by No. 12 of 1990 s.242.] </w:t>
      </w:r>
    </w:p>
    <w:p>
      <w:pPr>
        <w:pStyle w:val="Heading5"/>
        <w:spacing w:before="120"/>
        <w:rPr>
          <w:snapToGrid w:val="0"/>
        </w:rPr>
      </w:pPr>
      <w:bookmarkStart w:id="953" w:name="_Toc501861834"/>
      <w:bookmarkStart w:id="954" w:name="_Toc113772594"/>
      <w:bookmarkStart w:id="955" w:name="_Toc170190691"/>
      <w:bookmarkStart w:id="956" w:name="_Toc157933663"/>
      <w:r>
        <w:rPr>
          <w:rStyle w:val="CharSectno"/>
        </w:rPr>
        <w:t>143</w:t>
      </w:r>
      <w:r>
        <w:rPr>
          <w:snapToGrid w:val="0"/>
        </w:rPr>
        <w:t>.</w:t>
      </w:r>
      <w:r>
        <w:rPr>
          <w:snapToGrid w:val="0"/>
        </w:rPr>
        <w:tab/>
        <w:t>Royalty</w:t>
      </w:r>
      <w:bookmarkEnd w:id="953"/>
      <w:bookmarkEnd w:id="954"/>
      <w:bookmarkEnd w:id="955"/>
      <w:bookmarkEnd w:id="956"/>
      <w:r>
        <w:rPr>
          <w:snapToGrid w:val="0"/>
        </w:rPr>
        <w:t xml:space="preserve"> </w:t>
      </w:r>
    </w:p>
    <w:p>
      <w:pPr>
        <w:pStyle w:val="Subsection"/>
        <w:spacing w:before="80"/>
        <w:rPr>
          <w:snapToGrid w:val="0"/>
        </w:rPr>
      </w:pPr>
      <w:r>
        <w:rPr>
          <w:snapToGrid w:val="0"/>
        </w:rPr>
        <w:tab/>
        <w:t>(1)</w:t>
      </w:r>
      <w:r>
        <w:rPr>
          <w:snapToGrid w:val="0"/>
        </w:rPr>
        <w:tab/>
        <w:t>A permittee, lessee or licensee shall, subject to this Division, pay to the Minister royalty at the prescribed rate in respect of all petroleum recovered by the permittee, lessee or licensee in the permit area, lease area or licence area.</w:t>
      </w:r>
    </w:p>
    <w:p>
      <w:pPr>
        <w:pStyle w:val="Subsection"/>
        <w:spacing w:before="80"/>
        <w:rPr>
          <w:snapToGrid w:val="0"/>
        </w:rPr>
      </w:pPr>
      <w:r>
        <w:rPr>
          <w:snapToGrid w:val="0"/>
        </w:rPr>
        <w:tab/>
        <w:t>(2)</w:t>
      </w:r>
      <w:r>
        <w:rPr>
          <w:snapToGrid w:val="0"/>
        </w:rPr>
        <w:tab/>
        <w:t>Subject to the succeeding provisions of this section and the provisions of section 144, the prescribed rate in respect of petroleum recovered under a permit, lease or licence is 10% of the royalty value of the petroleum.</w:t>
      </w:r>
    </w:p>
    <w:p>
      <w:pPr>
        <w:pStyle w:val="Subsection"/>
        <w:spacing w:before="120"/>
        <w:rPr>
          <w:snapToGrid w:val="0"/>
        </w:rPr>
      </w:pPr>
      <w:r>
        <w:rPr>
          <w:snapToGrid w:val="0"/>
        </w:rPr>
        <w:tab/>
        <w:t>(3)</w:t>
      </w:r>
      <w:r>
        <w:rPr>
          <w:snapToGrid w:val="0"/>
        </w:rPr>
        <w:tab/>
        <w:t>The prescribed rate in respect of petroleum recovered under a secondary licence is the percentage determined by the Minister in pursuance of section 42(1) in respect of petroleum so recovered.</w:t>
      </w:r>
    </w:p>
    <w:p>
      <w:pPr>
        <w:pStyle w:val="Subsection"/>
        <w:spacing w:before="120"/>
        <w:rPr>
          <w:snapToGrid w:val="0"/>
        </w:rPr>
      </w:pPr>
      <w:r>
        <w:rPr>
          <w:snapToGrid w:val="0"/>
        </w:rPr>
        <w:tab/>
        <w:t>(4)</w:t>
      </w:r>
      <w:r>
        <w:rPr>
          <w:snapToGrid w:val="0"/>
        </w:rPr>
        <w:tab/>
        <w:t>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licence is granted on an application under section 47; and</w:t>
      </w:r>
    </w:p>
    <w:p>
      <w:pPr>
        <w:pStyle w:val="Indenta"/>
        <w:rPr>
          <w:snapToGrid w:val="0"/>
        </w:rPr>
      </w:pPr>
      <w:r>
        <w:rPr>
          <w:snapToGrid w:val="0"/>
        </w:rPr>
        <w:tab/>
        <w:t>(b)</w:t>
      </w:r>
      <w:r>
        <w:rPr>
          <w:snapToGrid w:val="0"/>
        </w:rPr>
        <w:tab/>
        <w:t>the instrument served on the applicant under section 49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(6)</w:t>
      </w:r>
      <w:r>
        <w:rPr>
          <w:snapToGrid w:val="0"/>
        </w:rPr>
        <w:tab/>
        <w:t>Where a licence is granted on an application under section 51(1), the prescribed rate in respect of petroleum recovered under that licence is the same percentage as was applicable in respect of petroleum recovered under the original licence as defined by that subsection.</w:t>
      </w:r>
    </w:p>
    <w:p>
      <w:pPr>
        <w:pStyle w:val="Subsection"/>
        <w:rPr>
          <w:snapToGrid w:val="0"/>
        </w:rPr>
      </w:pPr>
      <w:r>
        <w:rPr>
          <w:snapToGrid w:val="0"/>
        </w:rPr>
        <w:tab/>
        <w:t>(7)</w:t>
      </w:r>
      <w:r>
        <w:rPr>
          <w:snapToGrid w:val="0"/>
        </w:rPr>
        <w:tab/>
        <w:t>The prescribed rate in respect of petroleum recovered in the licence area referred to in a licence granted by way of renewal of a licence is the percentage that would be the prescribed rate if the licence so granted were the continuation in force of the previous licence.</w:t>
      </w:r>
    </w:p>
    <w:p>
      <w:pPr>
        <w:pStyle w:val="Subsection"/>
        <w:rPr>
          <w:snapToGrid w:val="0"/>
        </w:rPr>
      </w:pPr>
      <w:r>
        <w:rPr>
          <w:snapToGrid w:val="0"/>
        </w:rPr>
        <w:tab/>
        <w:t>(8)</w:t>
      </w:r>
      <w:r>
        <w:rPr>
          <w:snapToGrid w:val="0"/>
        </w:rPr>
        <w:tab/>
        <w:t>A reference in this section or in a permit, lease or licence to royalty at the prescribed rate or royalty at the rate that is for the time being the prescribed rate shall be read as a reference to royalty at the rate that is or was the prescribed rate applicable in accordance with the provisions of this Act as in force from time to time.</w:t>
      </w:r>
    </w:p>
    <w:p>
      <w:pPr>
        <w:pStyle w:val="Footnotesection"/>
      </w:pPr>
      <w:r>
        <w:tab/>
        <w:t xml:space="preserve">[Section 143 amended by No. 12 of 1990 s.243; No. 11 of 1994 s.9.] </w:t>
      </w:r>
    </w:p>
    <w:p>
      <w:pPr>
        <w:pStyle w:val="Heading5"/>
        <w:rPr>
          <w:snapToGrid w:val="0"/>
        </w:rPr>
      </w:pPr>
      <w:bookmarkStart w:id="957" w:name="_Toc501861835"/>
      <w:bookmarkStart w:id="958" w:name="_Toc113772595"/>
      <w:bookmarkStart w:id="959" w:name="_Toc170190692"/>
      <w:bookmarkStart w:id="960" w:name="_Toc157933664"/>
      <w:r>
        <w:rPr>
          <w:rStyle w:val="CharSectno"/>
        </w:rPr>
        <w:t>144</w:t>
      </w:r>
      <w:r>
        <w:rPr>
          <w:snapToGrid w:val="0"/>
        </w:rPr>
        <w:t>.</w:t>
      </w:r>
      <w:r>
        <w:rPr>
          <w:snapToGrid w:val="0"/>
        </w:rPr>
        <w:tab/>
        <w:t>Reduction of royalty in certain cases</w:t>
      </w:r>
      <w:bookmarkEnd w:id="957"/>
      <w:bookmarkEnd w:id="958"/>
      <w:bookmarkEnd w:id="959"/>
      <w:bookmarkEnd w:id="960"/>
      <w:r>
        <w:rPr>
          <w:snapToGrid w:val="0"/>
        </w:rPr>
        <w:t xml:space="preserve"> </w:t>
      </w:r>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or rates of royalty applicable under section 143, further recovery of petroleum from that well would be uneconomic, the Minister may, by instrument in writing determine that the royalty in respect of all or any of the petroleum recovered from that well on or after a date specified in the determination shall be at such rate (being a rate lower than the rate that would be applicable under section 143) as the Minister specifies.</w:t>
      </w:r>
    </w:p>
    <w:p>
      <w:pPr>
        <w:pStyle w:val="Subsection"/>
        <w:spacing w:before="120"/>
        <w:rPr>
          <w:snapToGrid w:val="0"/>
        </w:rPr>
      </w:pPr>
      <w:r>
        <w:rPr>
          <w:snapToGrid w:val="0"/>
        </w:rPr>
        <w:tab/>
        <w:t>(2)</w:t>
      </w:r>
      <w:r>
        <w:rPr>
          <w:snapToGrid w:val="0"/>
        </w:rPr>
        <w:tab/>
        <w:t>The prescribed rate in respect of petroleum to which a determination under subsection (1) is applicable is the rate specified in the determination.</w:t>
      </w:r>
    </w:p>
    <w:p>
      <w:pPr>
        <w:pStyle w:val="Subsection"/>
        <w:spacing w:before="120"/>
        <w:rPr>
          <w:snapToGrid w:val="0"/>
        </w:rPr>
      </w:pPr>
      <w:r>
        <w:rPr>
          <w:snapToGrid w:val="0"/>
        </w:rPr>
        <w:tab/>
        <w:t>(3)</w:t>
      </w:r>
      <w:r>
        <w:rPr>
          <w:snapToGrid w:val="0"/>
        </w:rPr>
        <w:tab/>
        <w:t>The Minister may, by instrument in writing, revoke or vary a determination under subsection (1) and the revocation or variation applies to petroleum recovered on or after such date as is specified in the instrument.</w:t>
      </w:r>
    </w:p>
    <w:p>
      <w:pPr>
        <w:pStyle w:val="Heading5"/>
        <w:spacing w:before="180"/>
        <w:rPr>
          <w:snapToGrid w:val="0"/>
        </w:rPr>
      </w:pPr>
      <w:bookmarkStart w:id="961" w:name="_Toc501861836"/>
      <w:bookmarkStart w:id="962" w:name="_Toc113772596"/>
      <w:bookmarkStart w:id="963" w:name="_Toc170190693"/>
      <w:bookmarkStart w:id="964" w:name="_Toc157933665"/>
      <w:r>
        <w:rPr>
          <w:rStyle w:val="CharSectno"/>
        </w:rPr>
        <w:t>145</w:t>
      </w:r>
      <w:r>
        <w:rPr>
          <w:snapToGrid w:val="0"/>
        </w:rPr>
        <w:t>.</w:t>
      </w:r>
      <w:r>
        <w:rPr>
          <w:snapToGrid w:val="0"/>
        </w:rPr>
        <w:tab/>
        <w:t>Royalty not payable in certain cases</w:t>
      </w:r>
      <w:bookmarkEnd w:id="961"/>
      <w:bookmarkEnd w:id="962"/>
      <w:bookmarkEnd w:id="963"/>
      <w:bookmarkEnd w:id="964"/>
      <w:r>
        <w:rPr>
          <w:snapToGrid w:val="0"/>
        </w:rPr>
        <w:t xml:space="preserve"> </w:t>
      </w:r>
    </w:p>
    <w:p>
      <w:pPr>
        <w:pStyle w:val="Subsection"/>
        <w:spacing w:before="120"/>
        <w:rPr>
          <w:snapToGrid w:val="0"/>
        </w:rPr>
      </w:pPr>
      <w:r>
        <w:rPr>
          <w:snapToGrid w:val="0"/>
        </w:rPr>
        <w:tab/>
        <w:t>(1)</w:t>
      </w:r>
      <w:r>
        <w:rPr>
          <w:snapToGrid w:val="0"/>
        </w:rPr>
        <w:tab/>
        <w:t>Royalty under this Act — </w:t>
      </w:r>
    </w:p>
    <w:p>
      <w:pPr>
        <w:pStyle w:val="Indenta"/>
        <w:rPr>
          <w:snapToGrid w:val="0"/>
        </w:rPr>
      </w:pPr>
      <w:r>
        <w:rPr>
          <w:snapToGrid w:val="0"/>
        </w:rPr>
        <w:tab/>
        <w:t>(a)</w:t>
      </w:r>
      <w:r>
        <w:rPr>
          <w:snapToGrid w:val="0"/>
        </w:rPr>
        <w:tab/>
        <w:t>is not payable in respect of petroleum that the Minister is satisfied was unavoidably lost before the quantity of that petroleum was ascertained;</w:t>
      </w:r>
    </w:p>
    <w:p>
      <w:pPr>
        <w:pStyle w:val="Indenta"/>
        <w:rPr>
          <w:snapToGrid w:val="0"/>
          <w:spacing w:val="-2"/>
        </w:rPr>
      </w:pPr>
      <w:r>
        <w:rPr>
          <w:snapToGrid w:val="0"/>
          <w:spacing w:val="-2"/>
        </w:rPr>
        <w:tab/>
        <w:t>(b)</w:t>
      </w:r>
      <w:r>
        <w:rPr>
          <w:snapToGrid w:val="0"/>
          <w:spacing w:val="-2"/>
        </w:rPr>
        <w:tab/>
        <w:t>is not payable in respect of petroleum that is used by the permittee, lessee or licensee, as approved by the Minister, for the purposes of petroleum exploration operations or operations for the recovery of petroleum; and</w:t>
      </w:r>
    </w:p>
    <w:p>
      <w:pPr>
        <w:pStyle w:val="Indenta"/>
        <w:rPr>
          <w:snapToGrid w:val="0"/>
        </w:rPr>
      </w:pPr>
      <w:r>
        <w:rPr>
          <w:snapToGrid w:val="0"/>
        </w:rPr>
        <w:tab/>
        <w:t>(c)</w:t>
      </w:r>
      <w:r>
        <w:rPr>
          <w:snapToGrid w:val="0"/>
        </w:rPr>
        <w:tab/>
        <w:t>is not payable in respect of petroleum that, with the approval of the Minister, is flared or vented in connection with operations for the recovery of petroleum.</w:t>
      </w:r>
    </w:p>
    <w:p>
      <w:pPr>
        <w:pStyle w:val="Subsection"/>
        <w:spacing w:before="120"/>
        <w:rPr>
          <w:snapToGrid w:val="0"/>
        </w:rPr>
      </w:pPr>
      <w:r>
        <w:rPr>
          <w:snapToGrid w:val="0"/>
        </w:rPr>
        <w:tab/>
        <w:t>(2)</w:t>
      </w:r>
      <w:r>
        <w:rPr>
          <w:snapToGrid w:val="0"/>
        </w:rPr>
        <w:tab/>
        <w:t>Where petroleum that has been recovered by a permittee, lessee or licensee is, with the approval of the Minister, returned to a natural reservoir, royalty under this Act is not payable in respect of that petroleum by reason of that recovery but this subsection does not affect the liability of that or any other permittee, lessee or licensee to pay royalty in respect of petroleum that is recovered from that natural reservoir.</w:t>
      </w:r>
    </w:p>
    <w:p>
      <w:pPr>
        <w:pStyle w:val="Subsection"/>
        <w:rPr>
          <w:snapToGrid w:val="0"/>
        </w:rPr>
      </w:pPr>
      <w:r>
        <w:rPr>
          <w:snapToGrid w:val="0"/>
        </w:rPr>
        <w:tab/>
        <w:t>(3)</w:t>
      </w:r>
      <w:r>
        <w:rPr>
          <w:snapToGrid w:val="0"/>
        </w:rPr>
        <w:tab/>
        <w:t xml:space="preserve">Where petroleum that has been recovered by a permittee, lessee or licensee is, pursuant to an agreement under section 67(2)(a) of the </w:t>
      </w:r>
      <w:r>
        <w:rPr>
          <w:i/>
          <w:snapToGrid w:val="0"/>
        </w:rPr>
        <w:t>Petroleum Act 1967</w:t>
      </w:r>
      <w:r>
        <w:rPr>
          <w:snapToGrid w:val="0"/>
        </w:rPr>
        <w:t>, injected into a natural reservoir for the purpose of storage and subsequent recovery, royalty under this Act is not payable in respect of that petroleum by reason of the initial recovery except as provided under that agreement.</w:t>
      </w:r>
    </w:p>
    <w:p>
      <w:pPr>
        <w:pStyle w:val="Footnotesection"/>
      </w:pPr>
      <w:r>
        <w:tab/>
        <w:t xml:space="preserve">[Section 145 amended by No. 12 of 1990 s.244; No. 28 of 1994 s.111.] </w:t>
      </w:r>
    </w:p>
    <w:p>
      <w:pPr>
        <w:pStyle w:val="Heading5"/>
        <w:rPr>
          <w:snapToGrid w:val="0"/>
        </w:rPr>
      </w:pPr>
      <w:bookmarkStart w:id="965" w:name="_Toc501861837"/>
      <w:bookmarkStart w:id="966" w:name="_Toc113772597"/>
      <w:bookmarkStart w:id="967" w:name="_Toc170190694"/>
      <w:bookmarkStart w:id="968" w:name="_Toc157933666"/>
      <w:r>
        <w:rPr>
          <w:rStyle w:val="CharSectno"/>
        </w:rPr>
        <w:t>145A</w:t>
      </w:r>
      <w:r>
        <w:rPr>
          <w:snapToGrid w:val="0"/>
        </w:rPr>
        <w:t>.</w:t>
      </w:r>
      <w:r>
        <w:rPr>
          <w:snapToGrid w:val="0"/>
        </w:rPr>
        <w:tab/>
        <w:t>Royalty value</w:t>
      </w:r>
      <w:bookmarkEnd w:id="965"/>
      <w:bookmarkEnd w:id="966"/>
      <w:bookmarkEnd w:id="967"/>
      <w:bookmarkEnd w:id="968"/>
      <w:r>
        <w:rPr>
          <w:snapToGrid w:val="0"/>
        </w:rPr>
        <w:t xml:space="preserve"> </w:t>
      </w:r>
    </w:p>
    <w:p>
      <w:pPr>
        <w:pStyle w:val="Subsection"/>
        <w:rPr>
          <w:snapToGrid w:val="0"/>
        </w:rPr>
      </w:pPr>
      <w:r>
        <w:rPr>
          <w:snapToGrid w:val="0"/>
        </w:rPr>
        <w:tab/>
        <w:t>(1)</w:t>
      </w:r>
      <w:r>
        <w:rPr>
          <w:snapToGrid w:val="0"/>
        </w:rPr>
        <w:tab/>
        <w:t>For the purposes of this Act (but subject to subsection (2)) the royalty value of any petroleum is its value at the well</w:t>
      </w:r>
      <w:r>
        <w:rPr>
          <w:snapToGrid w:val="0"/>
        </w:rPr>
        <w:noBreakHyphen/>
        <w:t>head as agreed or determined under section 147.</w:t>
      </w:r>
    </w:p>
    <w:p>
      <w:pPr>
        <w:pStyle w:val="Subsection"/>
        <w:rPr>
          <w:snapToGrid w:val="0"/>
        </w:rPr>
      </w:pPr>
      <w:r>
        <w:rPr>
          <w:snapToGrid w:val="0"/>
        </w:rPr>
        <w:tab/>
        <w:t>(2)</w:t>
      </w:r>
      <w:r>
        <w:rPr>
          <w:snapToGrid w:val="0"/>
        </w:rPr>
        <w:tab/>
        <w:t>If, in relation to petroleum recovered on or after 1 March 1994, the value at the well</w:t>
      </w:r>
      <w:r>
        <w:rPr>
          <w:snapToGrid w:val="0"/>
        </w:rPr>
        <w:noBreakHyphen/>
        <w:t>head of that petroleum as agreed or determined under section 147 is calculated in a way that provides for a reduction, discount, deduction or allowance to be made for federal duty that has been paid, is payable or may become payable, the royalty value of that petroleum is the sum of —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rPr>
          <w:snapToGrid w:val="0"/>
        </w:rPr>
      </w:pPr>
      <w:r>
        <w:rPr>
          <w:snapToGrid w:val="0"/>
        </w:rPr>
        <w:tab/>
        <w:t>(3)</w:t>
      </w:r>
      <w:r>
        <w:rPr>
          <w:snapToGrid w:val="0"/>
        </w:rPr>
        <w:tab/>
        <w:t xml:space="preserve">In subsection (2) </w:t>
      </w:r>
      <w:r>
        <w:rPr>
          <w:b/>
          <w:snapToGrid w:val="0"/>
        </w:rPr>
        <w:t>“</w:t>
      </w:r>
      <w:r>
        <w:rPr>
          <w:rStyle w:val="CharDefText"/>
        </w:rPr>
        <w:t>federal duty</w:t>
      </w:r>
      <w:r>
        <w:rPr>
          <w:b/>
          <w:snapToGrid w:val="0"/>
        </w:rPr>
        <w:t>”</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 xml:space="preserve">[Section 145A inserted by No. 11 of 1994 s.10.] </w:t>
      </w:r>
    </w:p>
    <w:p>
      <w:pPr>
        <w:pStyle w:val="Heading5"/>
        <w:rPr>
          <w:snapToGrid w:val="0"/>
        </w:rPr>
      </w:pPr>
      <w:bookmarkStart w:id="969" w:name="_Toc501861838"/>
      <w:bookmarkStart w:id="970" w:name="_Toc113772598"/>
      <w:bookmarkStart w:id="971" w:name="_Toc170190695"/>
      <w:bookmarkStart w:id="972" w:name="_Toc157933667"/>
      <w:r>
        <w:rPr>
          <w:rStyle w:val="CharSectno"/>
        </w:rPr>
        <w:t>146</w:t>
      </w:r>
      <w:r>
        <w:rPr>
          <w:snapToGrid w:val="0"/>
        </w:rPr>
        <w:t>.</w:t>
      </w:r>
      <w:r>
        <w:rPr>
          <w:snapToGrid w:val="0"/>
        </w:rPr>
        <w:tab/>
        <w:t>Ascertainment of well</w:t>
      </w:r>
      <w:r>
        <w:rPr>
          <w:snapToGrid w:val="0"/>
        </w:rPr>
        <w:noBreakHyphen/>
        <w:t>head</w:t>
      </w:r>
      <w:bookmarkEnd w:id="969"/>
      <w:bookmarkEnd w:id="970"/>
      <w:bookmarkEnd w:id="971"/>
      <w:bookmarkEnd w:id="972"/>
      <w:r>
        <w:rPr>
          <w:snapToGrid w:val="0"/>
        </w:rPr>
        <w:t xml:space="preserve"> </w:t>
      </w:r>
    </w:p>
    <w:p>
      <w:pPr>
        <w:pStyle w:val="Subsection"/>
        <w:rPr>
          <w:snapToGrid w:val="0"/>
        </w:rPr>
      </w:pPr>
      <w:r>
        <w:rPr>
          <w:snapToGrid w:val="0"/>
        </w:rPr>
        <w:tab/>
      </w:r>
      <w:r>
        <w:rPr>
          <w:snapToGrid w:val="0"/>
        </w:rPr>
        <w:tab/>
        <w:t>For the purposes of this Act, the well</w:t>
      </w:r>
      <w:r>
        <w:rPr>
          <w:snapToGrid w:val="0"/>
        </w:rPr>
        <w:noBreakHyphen/>
        <w:t>head, in relation to any petroleum, is such valve station as is agreed between the permittee,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 xml:space="preserve">[Section 146 amended by No. 12 of 1990 s.245.] </w:t>
      </w:r>
    </w:p>
    <w:p>
      <w:pPr>
        <w:pStyle w:val="Heading5"/>
        <w:spacing w:before="180"/>
        <w:rPr>
          <w:snapToGrid w:val="0"/>
        </w:rPr>
      </w:pPr>
      <w:bookmarkStart w:id="973" w:name="_Toc501861839"/>
      <w:bookmarkStart w:id="974" w:name="_Toc113772599"/>
      <w:bookmarkStart w:id="975" w:name="_Toc170190696"/>
      <w:bookmarkStart w:id="976" w:name="_Toc157933668"/>
      <w:r>
        <w:rPr>
          <w:rStyle w:val="CharSectno"/>
        </w:rPr>
        <w:t>147</w:t>
      </w:r>
      <w:r>
        <w:rPr>
          <w:snapToGrid w:val="0"/>
        </w:rPr>
        <w:t>.</w:t>
      </w:r>
      <w:r>
        <w:rPr>
          <w:snapToGrid w:val="0"/>
        </w:rPr>
        <w:tab/>
        <w:t>Ascertainment of value</w:t>
      </w:r>
      <w:bookmarkEnd w:id="973"/>
      <w:bookmarkEnd w:id="974"/>
      <w:bookmarkEnd w:id="975"/>
      <w:bookmarkEnd w:id="976"/>
      <w:r>
        <w:rPr>
          <w:snapToGrid w:val="0"/>
        </w:rPr>
        <w:t xml:space="preserve"> </w:t>
      </w:r>
    </w:p>
    <w:p>
      <w:pPr>
        <w:pStyle w:val="Subsection"/>
        <w:spacing w:before="120"/>
        <w:rPr>
          <w:snapToGrid w:val="0"/>
        </w:rPr>
      </w:pPr>
      <w:r>
        <w:rPr>
          <w:snapToGrid w:val="0"/>
        </w:rPr>
        <w:tab/>
      </w:r>
      <w:r>
        <w:rPr>
          <w:snapToGrid w:val="0"/>
        </w:rPr>
        <w:tab/>
        <w:t>For the purposes of this Act, the value at the well</w:t>
      </w:r>
      <w:r>
        <w:rPr>
          <w:snapToGrid w:val="0"/>
        </w:rPr>
        <w:noBreakHyphen/>
        <w:t>head of any petroleum is such amount as is agreed between the permittee, lessee or licensee and the Minister or, in default of agreement within such period as the Minister allows, is such amount as is determined by the Minister as being that value.</w:t>
      </w:r>
    </w:p>
    <w:p>
      <w:pPr>
        <w:pStyle w:val="Footnotesection"/>
      </w:pPr>
      <w:r>
        <w:tab/>
        <w:t xml:space="preserve">[Section 147 amended by No. 12 of 1990 s.246.] </w:t>
      </w:r>
    </w:p>
    <w:p>
      <w:pPr>
        <w:pStyle w:val="Heading5"/>
        <w:spacing w:before="180"/>
        <w:rPr>
          <w:snapToGrid w:val="0"/>
        </w:rPr>
      </w:pPr>
      <w:bookmarkStart w:id="977" w:name="_Toc501861840"/>
      <w:bookmarkStart w:id="978" w:name="_Toc113772600"/>
      <w:bookmarkStart w:id="979" w:name="_Toc170190697"/>
      <w:bookmarkStart w:id="980" w:name="_Toc157933669"/>
      <w:r>
        <w:rPr>
          <w:rStyle w:val="CharSectno"/>
        </w:rPr>
        <w:t>148</w:t>
      </w:r>
      <w:r>
        <w:rPr>
          <w:snapToGrid w:val="0"/>
        </w:rPr>
        <w:t>.</w:t>
      </w:r>
      <w:r>
        <w:rPr>
          <w:snapToGrid w:val="0"/>
        </w:rPr>
        <w:tab/>
        <w:t>Ascertainment of quantity of petroleum recovered</w:t>
      </w:r>
      <w:bookmarkEnd w:id="977"/>
      <w:bookmarkEnd w:id="978"/>
      <w:bookmarkEnd w:id="979"/>
      <w:bookmarkEnd w:id="980"/>
      <w:r>
        <w:rPr>
          <w:snapToGrid w:val="0"/>
        </w:rPr>
        <w:t xml:space="preserve"> </w:t>
      </w:r>
    </w:p>
    <w:p>
      <w:pPr>
        <w:pStyle w:val="Subsection"/>
        <w:spacing w:before="120"/>
        <w:rPr>
          <w:snapToGrid w:val="0"/>
        </w:rPr>
      </w:pPr>
      <w:r>
        <w:rPr>
          <w:snapToGrid w:val="0"/>
        </w:rPr>
        <w:tab/>
      </w:r>
      <w:r>
        <w:rPr>
          <w:snapToGrid w:val="0"/>
        </w:rPr>
        <w:tab/>
        <w:t>For the purposes of this Act, the quantity of petroleum recovered by a permittee, lessee or licensee from a well during a period shall be taken to be — </w:t>
      </w:r>
    </w:p>
    <w:p>
      <w:pPr>
        <w:pStyle w:val="Indenta"/>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rPr>
          <w:snapToGrid w:val="0"/>
          <w:spacing w:val="-2"/>
        </w:rPr>
      </w:pPr>
      <w:r>
        <w:rPr>
          <w:snapToGrid w:val="0"/>
          <w:spacing w:val="-2"/>
        </w:rPr>
        <w:tab/>
        <w:t>(b)</w:t>
      </w:r>
      <w:r>
        <w:rPr>
          <w:snapToGrid w:val="0"/>
          <w:spacing w:val="-2"/>
        </w:rPr>
        <w:tab/>
        <w:t>where no such measuring device is so installed, or the Minister is not satisfied that the quantity of petroleum recovered by the permittee, lessee or licensee from that well has been properly or accurately measured by such a measuring device, the quantity determined by the Minister as being the quantity recovered by the permittee, lessee or licensee from that well during that period.</w:t>
      </w:r>
    </w:p>
    <w:p>
      <w:pPr>
        <w:pStyle w:val="Footnotesection"/>
      </w:pPr>
      <w:r>
        <w:tab/>
        <w:t xml:space="preserve">[Section 148 amended by No. 12 of 1990 s.247.] </w:t>
      </w:r>
    </w:p>
    <w:p>
      <w:pPr>
        <w:pStyle w:val="Heading5"/>
        <w:spacing w:before="180"/>
        <w:rPr>
          <w:snapToGrid w:val="0"/>
        </w:rPr>
      </w:pPr>
      <w:bookmarkStart w:id="981" w:name="_Toc501861841"/>
      <w:bookmarkStart w:id="982" w:name="_Toc113772601"/>
      <w:bookmarkStart w:id="983" w:name="_Toc170190698"/>
      <w:bookmarkStart w:id="984" w:name="_Toc157933670"/>
      <w:r>
        <w:rPr>
          <w:rStyle w:val="CharSectno"/>
        </w:rPr>
        <w:t>149</w:t>
      </w:r>
      <w:r>
        <w:rPr>
          <w:snapToGrid w:val="0"/>
        </w:rPr>
        <w:t>.</w:t>
      </w:r>
      <w:r>
        <w:rPr>
          <w:snapToGrid w:val="0"/>
        </w:rPr>
        <w:tab/>
        <w:t>Payment of royalty</w:t>
      </w:r>
      <w:bookmarkEnd w:id="981"/>
      <w:bookmarkEnd w:id="982"/>
      <w:bookmarkEnd w:id="983"/>
      <w:bookmarkEnd w:id="984"/>
      <w:r>
        <w:rPr>
          <w:snapToGrid w:val="0"/>
        </w:rPr>
        <w:t xml:space="preserve"> </w:t>
      </w:r>
    </w:p>
    <w:p>
      <w:pPr>
        <w:pStyle w:val="Subsection"/>
        <w:spacing w:before="120"/>
        <w:rPr>
          <w:snapToGrid w:val="0"/>
        </w:rPr>
      </w:pPr>
      <w:r>
        <w:rPr>
          <w:snapToGrid w:val="0"/>
        </w:rPr>
        <w:tab/>
      </w:r>
      <w:r>
        <w:rPr>
          <w:snapToGrid w:val="0"/>
        </w:rPr>
        <w:tab/>
        <w:t>Royalty under this Act in respect of petroleum recovered during a royalty period is payable not later than the last day of the next succeeding royalty period.</w:t>
      </w:r>
    </w:p>
    <w:p>
      <w:pPr>
        <w:pStyle w:val="Heading5"/>
        <w:rPr>
          <w:snapToGrid w:val="0"/>
        </w:rPr>
      </w:pPr>
      <w:bookmarkStart w:id="985" w:name="_Toc501861842"/>
      <w:bookmarkStart w:id="986" w:name="_Toc113772602"/>
      <w:bookmarkStart w:id="987" w:name="_Toc170190699"/>
      <w:bookmarkStart w:id="988" w:name="_Toc157933671"/>
      <w:r>
        <w:rPr>
          <w:rStyle w:val="CharSectno"/>
        </w:rPr>
        <w:t>150</w:t>
      </w:r>
      <w:r>
        <w:rPr>
          <w:snapToGrid w:val="0"/>
        </w:rPr>
        <w:t>.</w:t>
      </w:r>
      <w:r>
        <w:rPr>
          <w:snapToGrid w:val="0"/>
        </w:rPr>
        <w:tab/>
        <w:t>Penalty for late payment</w:t>
      </w:r>
      <w:bookmarkEnd w:id="985"/>
      <w:bookmarkEnd w:id="986"/>
      <w:bookmarkEnd w:id="987"/>
      <w:bookmarkEnd w:id="988"/>
      <w:r>
        <w:rPr>
          <w:snapToGrid w:val="0"/>
        </w:rPr>
        <w:t xml:space="preserve"> </w:t>
      </w:r>
    </w:p>
    <w:p>
      <w:pPr>
        <w:pStyle w:val="Subsection"/>
        <w:rPr>
          <w:snapToGrid w:val="0"/>
        </w:rPr>
      </w:pPr>
      <w:r>
        <w:rPr>
          <w:snapToGrid w:val="0"/>
        </w:rPr>
        <w:tab/>
        <w:t>(1)</w:t>
      </w:r>
      <w:r>
        <w:rPr>
          <w:snapToGrid w:val="0"/>
        </w:rPr>
        <w:tab/>
        <w:t>Where a fee or an amount of royalty under this Act is not paid under this Division at or before the time when the fee or the amount of royalty is payable there is payable to the Minister by the permittee, lessee, licensee or pipeline licensee an additional amount calculated at the rate of one</w:t>
      </w:r>
      <w:r>
        <w:rPr>
          <w:snapToGrid w:val="0"/>
        </w:rPr>
        <w:noBreakHyphen/>
        <w:t>third of 1% per day upon the amount of the fee or royalty from time to time remaining unpaid to be computed from the time when the amount became payable until it is paid.</w:t>
      </w:r>
    </w:p>
    <w:p>
      <w:pPr>
        <w:pStyle w:val="Subsection"/>
        <w:rPr>
          <w:snapToGrid w:val="0"/>
        </w:rPr>
      </w:pPr>
      <w:r>
        <w:rPr>
          <w:snapToGrid w:val="0"/>
        </w:rPr>
        <w:tab/>
        <w:t>(2)</w:t>
      </w:r>
      <w:r>
        <w:rPr>
          <w:snapToGrid w:val="0"/>
        </w:rPr>
        <w:tab/>
        <w:t>An additional amount in respect of royalty is not payable under subsection (1) in respect of any period before the expiration of 7 days after the value of the petroleum was agreed or determined under section 147.</w:t>
      </w:r>
    </w:p>
    <w:p>
      <w:pPr>
        <w:pStyle w:val="Footnotesection"/>
      </w:pPr>
      <w:r>
        <w:tab/>
        <w:t xml:space="preserve">[Section 150 amended by No. 12 of 1990 s.248.] </w:t>
      </w:r>
    </w:p>
    <w:p>
      <w:pPr>
        <w:pStyle w:val="Heading5"/>
        <w:rPr>
          <w:snapToGrid w:val="0"/>
        </w:rPr>
      </w:pPr>
      <w:bookmarkStart w:id="989" w:name="_Toc501861843"/>
      <w:bookmarkStart w:id="990" w:name="_Toc113772603"/>
      <w:bookmarkStart w:id="991" w:name="_Toc170190700"/>
      <w:bookmarkStart w:id="992" w:name="_Toc157933672"/>
      <w:r>
        <w:rPr>
          <w:rStyle w:val="CharSectno"/>
        </w:rPr>
        <w:t>151</w:t>
      </w:r>
      <w:r>
        <w:rPr>
          <w:snapToGrid w:val="0"/>
        </w:rPr>
        <w:t>.</w:t>
      </w:r>
      <w:r>
        <w:rPr>
          <w:snapToGrid w:val="0"/>
        </w:rPr>
        <w:tab/>
        <w:t>Fees, royalties and penalties debts due to the State</w:t>
      </w:r>
      <w:bookmarkEnd w:id="989"/>
      <w:bookmarkEnd w:id="990"/>
      <w:bookmarkEnd w:id="991"/>
      <w:bookmarkEnd w:id="992"/>
      <w:r>
        <w:rPr>
          <w:snapToGrid w:val="0"/>
        </w:rPr>
        <w:t xml:space="preserve"> </w:t>
      </w:r>
    </w:p>
    <w:p>
      <w:pPr>
        <w:pStyle w:val="Subsection"/>
        <w:rPr>
          <w:snapToGrid w:val="0"/>
        </w:rPr>
      </w:pPr>
      <w:r>
        <w:rPr>
          <w:snapToGrid w:val="0"/>
        </w:rPr>
        <w:tab/>
      </w:r>
      <w:r>
        <w:rPr>
          <w:snapToGrid w:val="0"/>
        </w:rPr>
        <w:tab/>
        <w:t>A fee, royalty or other amount payable under this Division is a debt due by the permittee, lessee, licensee or pipeline licensee to the State and is recoverable in a court of competent jurisdiction.</w:t>
      </w:r>
    </w:p>
    <w:p>
      <w:pPr>
        <w:pStyle w:val="Footnotesection"/>
      </w:pPr>
      <w:r>
        <w:tab/>
        <w:t xml:space="preserve">[Section 151 amended by No. 12 of 1990 s.249.] </w:t>
      </w:r>
    </w:p>
    <w:p>
      <w:pPr>
        <w:pStyle w:val="Heading2"/>
        <w:rPr>
          <w:ins w:id="993" w:author="svcMRProcess" w:date="2020-02-19T21:14:00Z"/>
        </w:rPr>
      </w:pPr>
      <w:bookmarkStart w:id="994" w:name="_Toc131393914"/>
      <w:bookmarkStart w:id="995" w:name="_Toc162761310"/>
      <w:bookmarkStart w:id="996" w:name="_Toc170190701"/>
      <w:bookmarkStart w:id="997" w:name="_Toc72913884"/>
      <w:bookmarkStart w:id="998" w:name="_Toc91304364"/>
      <w:bookmarkStart w:id="999" w:name="_Toc92688607"/>
      <w:bookmarkStart w:id="1000" w:name="_Toc113772604"/>
      <w:bookmarkStart w:id="1001" w:name="_Toc156977089"/>
      <w:bookmarkStart w:id="1002" w:name="_Toc157933673"/>
      <w:ins w:id="1003" w:author="svcMRProcess" w:date="2020-02-19T21:14:00Z">
        <w:r>
          <w:rPr>
            <w:rStyle w:val="CharPartNo"/>
          </w:rPr>
          <w:t>Part IIIA</w:t>
        </w:r>
        <w:r>
          <w:rPr>
            <w:rStyle w:val="CharDivNo"/>
          </w:rPr>
          <w:t> </w:t>
        </w:r>
        <w:r>
          <w:t>—</w:t>
        </w:r>
        <w:r>
          <w:rPr>
            <w:rStyle w:val="CharDivText"/>
          </w:rPr>
          <w:t> </w:t>
        </w:r>
        <w:r>
          <w:rPr>
            <w:rStyle w:val="CharPartText"/>
          </w:rPr>
          <w:t>Occupational safety and health</w:t>
        </w:r>
        <w:bookmarkEnd w:id="994"/>
        <w:bookmarkEnd w:id="995"/>
        <w:bookmarkEnd w:id="996"/>
      </w:ins>
    </w:p>
    <w:p>
      <w:pPr>
        <w:pStyle w:val="Footnoteheading"/>
        <w:rPr>
          <w:ins w:id="1004" w:author="svcMRProcess" w:date="2020-02-19T21:14:00Z"/>
        </w:rPr>
      </w:pPr>
      <w:ins w:id="1005" w:author="svcMRProcess" w:date="2020-02-19T21:14:00Z">
        <w:r>
          <w:tab/>
          <w:t>[Heading inserted by No. 13 of 2005 s. 44.]</w:t>
        </w:r>
      </w:ins>
    </w:p>
    <w:p>
      <w:pPr>
        <w:pStyle w:val="Heading3"/>
        <w:rPr>
          <w:ins w:id="1006" w:author="svcMRProcess" w:date="2020-02-19T21:14:00Z"/>
        </w:rPr>
      </w:pPr>
      <w:bookmarkStart w:id="1007" w:name="_Toc131393915"/>
      <w:bookmarkStart w:id="1008" w:name="_Toc162761311"/>
      <w:bookmarkStart w:id="1009" w:name="_Toc170190702"/>
      <w:ins w:id="1010" w:author="svcMRProcess" w:date="2020-02-19T21:14:00Z">
        <w:r>
          <w:rPr>
            <w:rStyle w:val="CharDivNo"/>
          </w:rPr>
          <w:t>Division 1</w:t>
        </w:r>
        <w:r>
          <w:t> — </w:t>
        </w:r>
        <w:r>
          <w:rPr>
            <w:rStyle w:val="CharDivText"/>
          </w:rPr>
          <w:t>Introduction</w:t>
        </w:r>
        <w:bookmarkEnd w:id="1007"/>
        <w:bookmarkEnd w:id="1008"/>
        <w:bookmarkEnd w:id="1009"/>
      </w:ins>
    </w:p>
    <w:p>
      <w:pPr>
        <w:pStyle w:val="Footnoteheading"/>
        <w:rPr>
          <w:ins w:id="1011" w:author="svcMRProcess" w:date="2020-02-19T21:14:00Z"/>
        </w:rPr>
      </w:pPr>
      <w:ins w:id="1012" w:author="svcMRProcess" w:date="2020-02-19T21:14:00Z">
        <w:r>
          <w:tab/>
          <w:t>[Heading inserted by No. 13 of 2005 s. 44.]</w:t>
        </w:r>
      </w:ins>
    </w:p>
    <w:p>
      <w:pPr>
        <w:pStyle w:val="Heading5"/>
        <w:rPr>
          <w:ins w:id="1013" w:author="svcMRProcess" w:date="2020-02-19T21:14:00Z"/>
        </w:rPr>
      </w:pPr>
      <w:bookmarkStart w:id="1014" w:name="_Toc170190703"/>
      <w:ins w:id="1015" w:author="svcMRProcess" w:date="2020-02-19T21:14:00Z">
        <w:r>
          <w:rPr>
            <w:rStyle w:val="CharSectno"/>
          </w:rPr>
          <w:t>151A</w:t>
        </w:r>
        <w:r>
          <w:t>.</w:t>
        </w:r>
        <w:r>
          <w:tab/>
          <w:t>Definitions</w:t>
        </w:r>
        <w:bookmarkEnd w:id="1014"/>
      </w:ins>
    </w:p>
    <w:p>
      <w:pPr>
        <w:pStyle w:val="Subsection"/>
        <w:rPr>
          <w:ins w:id="1016" w:author="svcMRProcess" w:date="2020-02-19T21:14:00Z"/>
        </w:rPr>
      </w:pPr>
      <w:ins w:id="1017" w:author="svcMRProcess" w:date="2020-02-19T21:14:00Z">
        <w:r>
          <w:tab/>
        </w:r>
        <w:r>
          <w:tab/>
          <w:t xml:space="preserve">In this Part — </w:t>
        </w:r>
      </w:ins>
    </w:p>
    <w:p>
      <w:pPr>
        <w:pStyle w:val="Defstart"/>
        <w:rPr>
          <w:ins w:id="1018" w:author="svcMRProcess" w:date="2020-02-19T21:14:00Z"/>
        </w:rPr>
      </w:pPr>
      <w:ins w:id="1019" w:author="svcMRProcess" w:date="2020-02-19T21:14:00Z">
        <w:r>
          <w:tab/>
        </w:r>
        <w:r>
          <w:rPr>
            <w:b/>
            <w:bCs/>
          </w:rPr>
          <w:t>“</w:t>
        </w:r>
        <w:r>
          <w:rPr>
            <w:rStyle w:val="CharDefText"/>
          </w:rPr>
          <w:t>Board</w:t>
        </w:r>
        <w:r>
          <w:rPr>
            <w:b/>
            <w:bCs/>
          </w:rPr>
          <w:t>”</w:t>
        </w:r>
        <w:r>
          <w:t xml:space="preserve"> means the National Offshore Petroleum Safety Authority Board under the Commonwealth Act;</w:t>
        </w:r>
      </w:ins>
    </w:p>
    <w:p>
      <w:pPr>
        <w:pStyle w:val="Defstart"/>
        <w:rPr>
          <w:ins w:id="1020" w:author="svcMRProcess" w:date="2020-02-19T21:14:00Z"/>
        </w:rPr>
      </w:pPr>
      <w:ins w:id="1021" w:author="svcMRProcess" w:date="2020-02-19T21:14:00Z">
        <w:r>
          <w:rPr>
            <w:b/>
          </w:rPr>
          <w:tab/>
          <w:t>“</w:t>
        </w:r>
        <w:r>
          <w:rPr>
            <w:rStyle w:val="CharDefText"/>
          </w:rPr>
          <w:t>CEO</w:t>
        </w:r>
        <w:r>
          <w:rPr>
            <w:b/>
          </w:rPr>
          <w:t>”</w:t>
        </w:r>
        <w:r>
          <w:t xml:space="preserve"> </w:t>
        </w:r>
        <w:r>
          <w:rPr>
            <w:bCs/>
          </w:rPr>
          <w:t>means</w:t>
        </w:r>
        <w:r>
          <w:t xml:space="preserve"> the Chief Executive Officer of the Safety Authority.</w:t>
        </w:r>
      </w:ins>
    </w:p>
    <w:p>
      <w:pPr>
        <w:pStyle w:val="Footnotesection"/>
        <w:rPr>
          <w:ins w:id="1022" w:author="svcMRProcess" w:date="2020-02-19T21:14:00Z"/>
        </w:rPr>
      </w:pPr>
      <w:ins w:id="1023" w:author="svcMRProcess" w:date="2020-02-19T21:14:00Z">
        <w:r>
          <w:tab/>
          <w:t>[Section 151A inserted by No. 13 of 2005 s. 44.]</w:t>
        </w:r>
      </w:ins>
    </w:p>
    <w:p>
      <w:pPr>
        <w:pStyle w:val="Heading5"/>
        <w:rPr>
          <w:ins w:id="1024" w:author="svcMRProcess" w:date="2020-02-19T21:14:00Z"/>
        </w:rPr>
      </w:pPr>
      <w:bookmarkStart w:id="1025" w:name="_Toc170190704"/>
      <w:ins w:id="1026" w:author="svcMRProcess" w:date="2020-02-19T21:14:00Z">
        <w:r>
          <w:rPr>
            <w:rStyle w:val="CharSectno"/>
          </w:rPr>
          <w:t>151B</w:t>
        </w:r>
        <w:r>
          <w:t>.</w:t>
        </w:r>
        <w:r>
          <w:tab/>
          <w:t>Occupational safety and health</w:t>
        </w:r>
        <w:bookmarkEnd w:id="1025"/>
      </w:ins>
    </w:p>
    <w:p>
      <w:pPr>
        <w:pStyle w:val="Subsection"/>
        <w:rPr>
          <w:ins w:id="1027" w:author="svcMRProcess" w:date="2020-02-19T21:14:00Z"/>
        </w:rPr>
      </w:pPr>
      <w:ins w:id="1028" w:author="svcMRProcess" w:date="2020-02-19T21:14:00Z">
        <w:r>
          <w:tab/>
        </w:r>
        <w:r>
          <w:tab/>
          <w:t>Schedule 5 has effect.</w:t>
        </w:r>
      </w:ins>
    </w:p>
    <w:p>
      <w:pPr>
        <w:pStyle w:val="Footnotesection"/>
        <w:rPr>
          <w:ins w:id="1029" w:author="svcMRProcess" w:date="2020-02-19T21:14:00Z"/>
        </w:rPr>
      </w:pPr>
      <w:ins w:id="1030" w:author="svcMRProcess" w:date="2020-02-19T21:14:00Z">
        <w:r>
          <w:tab/>
          <w:t>[Section 151B inserted by No. 13 of 2005 s. 44.]</w:t>
        </w:r>
      </w:ins>
    </w:p>
    <w:p>
      <w:pPr>
        <w:pStyle w:val="Heading5"/>
        <w:rPr>
          <w:ins w:id="1031" w:author="svcMRProcess" w:date="2020-02-19T21:14:00Z"/>
        </w:rPr>
      </w:pPr>
      <w:bookmarkStart w:id="1032" w:name="_Toc170190705"/>
      <w:ins w:id="1033" w:author="svcMRProcess" w:date="2020-02-19T21:14:00Z">
        <w:r>
          <w:rPr>
            <w:rStyle w:val="CharSectno"/>
          </w:rPr>
          <w:t>151C</w:t>
        </w:r>
        <w:r>
          <w:t>.</w:t>
        </w:r>
        <w:r>
          <w:tab/>
          <w:t>Listed OSH laws</w:t>
        </w:r>
        <w:bookmarkEnd w:id="1032"/>
      </w:ins>
    </w:p>
    <w:p>
      <w:pPr>
        <w:pStyle w:val="Subsection"/>
        <w:rPr>
          <w:ins w:id="1034" w:author="svcMRProcess" w:date="2020-02-19T21:14:00Z"/>
        </w:rPr>
      </w:pPr>
      <w:ins w:id="1035" w:author="svcMRProcess" w:date="2020-02-19T21:14:00Z">
        <w:r>
          <w:tab/>
        </w:r>
        <w:r>
          <w:tab/>
          <w:t xml:space="preserve">For the purposes of this Act — </w:t>
        </w:r>
      </w:ins>
    </w:p>
    <w:p>
      <w:pPr>
        <w:pStyle w:val="Defstart"/>
        <w:rPr>
          <w:ins w:id="1036" w:author="svcMRProcess" w:date="2020-02-19T21:14:00Z"/>
        </w:rPr>
      </w:pPr>
      <w:ins w:id="1037" w:author="svcMRProcess" w:date="2020-02-19T21:14:00Z">
        <w:r>
          <w:rPr>
            <w:b/>
          </w:rPr>
          <w:tab/>
          <w:t>“</w:t>
        </w:r>
        <w:r>
          <w:rPr>
            <w:rStyle w:val="CharDefText"/>
          </w:rPr>
          <w:t>listed OSH law</w:t>
        </w:r>
        <w:r>
          <w:rPr>
            <w:b/>
          </w:rPr>
          <w:t>”</w:t>
        </w:r>
        <w:r>
          <w:t xml:space="preserve"> means — </w:t>
        </w:r>
      </w:ins>
    </w:p>
    <w:p>
      <w:pPr>
        <w:pStyle w:val="Defpara"/>
        <w:rPr>
          <w:ins w:id="1038" w:author="svcMRProcess" w:date="2020-02-19T21:14:00Z"/>
        </w:rPr>
      </w:pPr>
      <w:ins w:id="1039" w:author="svcMRProcess" w:date="2020-02-19T21:14:00Z">
        <w:r>
          <w:tab/>
          <w:t>(a)</w:t>
        </w:r>
        <w:r>
          <w:tab/>
          <w:t xml:space="preserve">section 124B, to the extent to which that section relates to — </w:t>
        </w:r>
      </w:ins>
    </w:p>
    <w:p>
      <w:pPr>
        <w:pStyle w:val="Defsubpara"/>
        <w:rPr>
          <w:ins w:id="1040" w:author="svcMRProcess" w:date="2020-02-19T21:14:00Z"/>
        </w:rPr>
      </w:pPr>
      <w:ins w:id="1041" w:author="svcMRProcess" w:date="2020-02-19T21:14:00Z">
        <w:r>
          <w:tab/>
          <w:t>(i)</w:t>
        </w:r>
        <w:r>
          <w:tab/>
          <w:t>damage to, or interference with, a facility; or</w:t>
        </w:r>
      </w:ins>
    </w:p>
    <w:p>
      <w:pPr>
        <w:pStyle w:val="Defsubpara"/>
        <w:rPr>
          <w:ins w:id="1042" w:author="svcMRProcess" w:date="2020-02-19T21:14:00Z"/>
        </w:rPr>
      </w:pPr>
      <w:ins w:id="1043" w:author="svcMRProcess" w:date="2020-02-19T21:14:00Z">
        <w:r>
          <w:tab/>
          <w:t>(ii)</w:t>
        </w:r>
        <w:r>
          <w:tab/>
          <w:t>interference with any operation or activity being carried out, or any works being executed, on, by means of, or in connection with, a facility;</w:t>
        </w:r>
      </w:ins>
    </w:p>
    <w:p>
      <w:pPr>
        <w:pStyle w:val="Defpara"/>
        <w:rPr>
          <w:ins w:id="1044" w:author="svcMRProcess" w:date="2020-02-19T21:14:00Z"/>
          <w:snapToGrid/>
        </w:rPr>
      </w:pPr>
      <w:ins w:id="1045" w:author="svcMRProcess" w:date="2020-02-19T21:14:00Z">
        <w:r>
          <w:rPr>
            <w:snapToGrid/>
          </w:rPr>
          <w:tab/>
          <w:t>(b)</w:t>
        </w:r>
        <w:r>
          <w:rPr>
            <w:snapToGrid/>
          </w:rPr>
          <w:tab/>
          <w:t>Schedule 5;</w:t>
        </w:r>
      </w:ins>
    </w:p>
    <w:p>
      <w:pPr>
        <w:pStyle w:val="Defpara"/>
        <w:rPr>
          <w:ins w:id="1046" w:author="svcMRProcess" w:date="2020-02-19T21:14:00Z"/>
          <w:snapToGrid/>
        </w:rPr>
      </w:pPr>
      <w:ins w:id="1047" w:author="svcMRProcess" w:date="2020-02-19T21:14:00Z">
        <w:r>
          <w:rPr>
            <w:snapToGrid/>
          </w:rPr>
          <w:tab/>
          <w:t>(c)</w:t>
        </w:r>
        <w:r>
          <w:rPr>
            <w:snapToGrid/>
          </w:rPr>
          <w:tab/>
          <w:t>a regulation made for the purposes of Schedule 5;</w:t>
        </w:r>
      </w:ins>
    </w:p>
    <w:p>
      <w:pPr>
        <w:pStyle w:val="Defpara"/>
        <w:rPr>
          <w:ins w:id="1048" w:author="svcMRProcess" w:date="2020-02-19T21:14:00Z"/>
          <w:snapToGrid/>
        </w:rPr>
      </w:pPr>
      <w:ins w:id="1049" w:author="svcMRProcess" w:date="2020-02-19T21:14:00Z">
        <w:r>
          <w:rPr>
            <w:snapToGrid/>
          </w:rPr>
          <w:tab/>
          <w:t>(d)</w:t>
        </w:r>
        <w:r>
          <w:rPr>
            <w:snapToGrid/>
          </w:rPr>
          <w:tab/>
          <w:t>a regulation made for the purposes of section 151D; or</w:t>
        </w:r>
      </w:ins>
    </w:p>
    <w:p>
      <w:pPr>
        <w:pStyle w:val="Defpara"/>
        <w:rPr>
          <w:ins w:id="1050" w:author="svcMRProcess" w:date="2020-02-19T21:14:00Z"/>
          <w:snapToGrid/>
        </w:rPr>
      </w:pPr>
      <w:ins w:id="1051" w:author="svcMRProcess" w:date="2020-02-19T21:14:00Z">
        <w:r>
          <w:rPr>
            <w:snapToGrid/>
          </w:rPr>
          <w:tab/>
          <w:t>(e)</w:t>
        </w:r>
        <w:r>
          <w:rPr>
            <w:snapToGrid/>
          </w:rPr>
          <w:tab/>
          <w:t>any other written law relating to occupational safety and health matters that is prescribed for the purposes of this paragraph.</w:t>
        </w:r>
      </w:ins>
    </w:p>
    <w:p>
      <w:pPr>
        <w:pStyle w:val="Footnotesection"/>
        <w:rPr>
          <w:ins w:id="1052" w:author="svcMRProcess" w:date="2020-02-19T21:14:00Z"/>
        </w:rPr>
      </w:pPr>
      <w:ins w:id="1053" w:author="svcMRProcess" w:date="2020-02-19T21:14:00Z">
        <w:r>
          <w:tab/>
          <w:t>[Section 151C inserted by No. 13 of 2005 s. 44.]</w:t>
        </w:r>
      </w:ins>
    </w:p>
    <w:p>
      <w:pPr>
        <w:pStyle w:val="Heading5"/>
        <w:rPr>
          <w:ins w:id="1054" w:author="svcMRProcess" w:date="2020-02-19T21:14:00Z"/>
        </w:rPr>
      </w:pPr>
      <w:bookmarkStart w:id="1055" w:name="_Toc170190706"/>
      <w:ins w:id="1056" w:author="svcMRProcess" w:date="2020-02-19T21:14:00Z">
        <w:r>
          <w:rPr>
            <w:rStyle w:val="CharSectno"/>
          </w:rPr>
          <w:t>151D</w:t>
        </w:r>
        <w:r>
          <w:t>.</w:t>
        </w:r>
        <w:r>
          <w:tab/>
          <w:t>Regulations relating to occupational safety and health</w:t>
        </w:r>
        <w:bookmarkEnd w:id="1055"/>
      </w:ins>
    </w:p>
    <w:p>
      <w:pPr>
        <w:pStyle w:val="Subsection"/>
        <w:rPr>
          <w:ins w:id="1057" w:author="svcMRProcess" w:date="2020-02-19T21:14:00Z"/>
        </w:rPr>
      </w:pPr>
      <w:ins w:id="1058" w:author="svcMRProcess" w:date="2020-02-19T21:14:00Z">
        <w:r>
          <w:tab/>
          <w:t>(1)</w:t>
        </w:r>
        <w:r>
          <w:tab/>
          <w:t>The regulations may make provision in relation to the occupational safety and health of persons at or near a facility who are under the control of a person who is carrying on an offshore petroleum operation.</w:t>
        </w:r>
      </w:ins>
    </w:p>
    <w:p>
      <w:pPr>
        <w:pStyle w:val="Subsection"/>
        <w:rPr>
          <w:ins w:id="1059" w:author="svcMRProcess" w:date="2020-02-19T21:14:00Z"/>
        </w:rPr>
      </w:pPr>
      <w:ins w:id="1060" w:author="svcMRProcess" w:date="2020-02-19T21:14:00Z">
        <w:r>
          <w:tab/>
          <w:t>(2)</w:t>
        </w:r>
        <w:r>
          <w:tab/>
          <w:t xml:space="preserve">Without limiting subsection (1), regulations for the purpose of that subsection may — </w:t>
        </w:r>
      </w:ins>
    </w:p>
    <w:p>
      <w:pPr>
        <w:pStyle w:val="Indenta"/>
        <w:rPr>
          <w:ins w:id="1061" w:author="svcMRProcess" w:date="2020-02-19T21:14:00Z"/>
        </w:rPr>
      </w:pPr>
      <w:ins w:id="1062" w:author="svcMRProcess" w:date="2020-02-19T21:14:00Z">
        <w:r>
          <w:tab/>
          <w:t>(a)</w:t>
        </w:r>
        <w:r>
          <w:tab/>
          <w:t>require a person who is carrying on an offshore petroleum operation to establish and maintain a system of management to secure the occupational safety and health of persons referred to in that subsection; and</w:t>
        </w:r>
      </w:ins>
    </w:p>
    <w:p>
      <w:pPr>
        <w:pStyle w:val="Indenta"/>
        <w:rPr>
          <w:ins w:id="1063" w:author="svcMRProcess" w:date="2020-02-19T21:14:00Z"/>
        </w:rPr>
      </w:pPr>
      <w:ins w:id="1064" w:author="svcMRProcess" w:date="2020-02-19T21:14:00Z">
        <w:r>
          <w:tab/>
          <w:t>(b)</w:t>
        </w:r>
        <w:r>
          <w:tab/>
          <w:t>specify requirements with which the system must comply.</w:t>
        </w:r>
      </w:ins>
    </w:p>
    <w:p>
      <w:pPr>
        <w:pStyle w:val="Footnotesection"/>
        <w:rPr>
          <w:ins w:id="1065" w:author="svcMRProcess" w:date="2020-02-19T21:14:00Z"/>
        </w:rPr>
      </w:pPr>
      <w:bookmarkStart w:id="1066" w:name="_Toc131393916"/>
      <w:ins w:id="1067" w:author="svcMRProcess" w:date="2020-02-19T21:14:00Z">
        <w:r>
          <w:tab/>
          <w:t>[Section 151D inserted by No. 13 of 2005 s. 44.]</w:t>
        </w:r>
      </w:ins>
    </w:p>
    <w:p>
      <w:pPr>
        <w:pStyle w:val="Heading3"/>
        <w:rPr>
          <w:ins w:id="1068" w:author="svcMRProcess" w:date="2020-02-19T21:14:00Z"/>
        </w:rPr>
      </w:pPr>
      <w:bookmarkStart w:id="1069" w:name="_Toc162761316"/>
      <w:bookmarkStart w:id="1070" w:name="_Toc170190707"/>
      <w:ins w:id="1071" w:author="svcMRProcess" w:date="2020-02-19T21:14:00Z">
        <w:r>
          <w:rPr>
            <w:rStyle w:val="CharDivNo"/>
          </w:rPr>
          <w:t>Division 2</w:t>
        </w:r>
        <w:r>
          <w:t> — </w:t>
        </w:r>
        <w:r>
          <w:rPr>
            <w:rStyle w:val="CharDivText"/>
          </w:rPr>
          <w:t>Functions and powers of the Safety Authority</w:t>
        </w:r>
        <w:bookmarkEnd w:id="1066"/>
        <w:bookmarkEnd w:id="1069"/>
        <w:bookmarkEnd w:id="1070"/>
      </w:ins>
    </w:p>
    <w:p>
      <w:pPr>
        <w:pStyle w:val="Footnoteheading"/>
        <w:rPr>
          <w:ins w:id="1072" w:author="svcMRProcess" w:date="2020-02-19T21:14:00Z"/>
        </w:rPr>
      </w:pPr>
      <w:ins w:id="1073" w:author="svcMRProcess" w:date="2020-02-19T21:14:00Z">
        <w:r>
          <w:tab/>
          <w:t>[Heading inserted by No. 13 of 2005 s. 44.]</w:t>
        </w:r>
      </w:ins>
    </w:p>
    <w:p>
      <w:pPr>
        <w:pStyle w:val="Heading5"/>
        <w:rPr>
          <w:ins w:id="1074" w:author="svcMRProcess" w:date="2020-02-19T21:14:00Z"/>
        </w:rPr>
      </w:pPr>
      <w:bookmarkStart w:id="1075" w:name="_Toc170190708"/>
      <w:ins w:id="1076" w:author="svcMRProcess" w:date="2020-02-19T21:14:00Z">
        <w:r>
          <w:rPr>
            <w:rStyle w:val="CharSectno"/>
          </w:rPr>
          <w:t>151E</w:t>
        </w:r>
        <w:r>
          <w:t>.</w:t>
        </w:r>
        <w:r>
          <w:tab/>
          <w:t>Safety Authority’s functions</w:t>
        </w:r>
        <w:bookmarkEnd w:id="1075"/>
      </w:ins>
    </w:p>
    <w:p>
      <w:pPr>
        <w:pStyle w:val="Subsection"/>
        <w:rPr>
          <w:ins w:id="1077" w:author="svcMRProcess" w:date="2020-02-19T21:14:00Z"/>
        </w:rPr>
      </w:pPr>
      <w:ins w:id="1078" w:author="svcMRProcess" w:date="2020-02-19T21:14:00Z">
        <w:r>
          <w:tab/>
        </w:r>
        <w:r>
          <w:tab/>
          <w:t xml:space="preserve">The Safety Authority has the following functions — </w:t>
        </w:r>
      </w:ins>
    </w:p>
    <w:p>
      <w:pPr>
        <w:pStyle w:val="Indenta"/>
        <w:rPr>
          <w:ins w:id="1079" w:author="svcMRProcess" w:date="2020-02-19T21:14:00Z"/>
        </w:rPr>
      </w:pPr>
      <w:ins w:id="1080" w:author="svcMRProcess" w:date="2020-02-19T21:14:00Z">
        <w:r>
          <w:tab/>
          <w:t>(a)</w:t>
        </w:r>
        <w:r>
          <w:tab/>
          <w:t>the functions conferred on it under this Act in relation to offshore petroleum operations;</w:t>
        </w:r>
      </w:ins>
    </w:p>
    <w:p>
      <w:pPr>
        <w:pStyle w:val="Indenta"/>
        <w:rPr>
          <w:ins w:id="1081" w:author="svcMRProcess" w:date="2020-02-19T21:14:00Z"/>
        </w:rPr>
      </w:pPr>
      <w:ins w:id="1082" w:author="svcMRProcess" w:date="2020-02-19T21:14:00Z">
        <w:r>
          <w:tab/>
          <w:t>(b)</w:t>
        </w:r>
        <w:r>
          <w:tab/>
          <w:t>to promote the occupational safety and health of persons engaged in offshore petroleum operations;</w:t>
        </w:r>
      </w:ins>
    </w:p>
    <w:p>
      <w:pPr>
        <w:pStyle w:val="Indenta"/>
        <w:rPr>
          <w:ins w:id="1083" w:author="svcMRProcess" w:date="2020-02-19T21:14:00Z"/>
        </w:rPr>
      </w:pPr>
      <w:ins w:id="1084" w:author="svcMRProcess" w:date="2020-02-19T21:14:00Z">
        <w:r>
          <w:tab/>
          <w:t>(c)</w:t>
        </w:r>
        <w:r>
          <w:tab/>
          <w:t>to develop and implement effective monitoring and enforcement strategies to secure compliance by persons with their occupational safety and health obligations under this Act;</w:t>
        </w:r>
      </w:ins>
    </w:p>
    <w:p>
      <w:pPr>
        <w:pStyle w:val="Indenta"/>
        <w:rPr>
          <w:ins w:id="1085" w:author="svcMRProcess" w:date="2020-02-19T21:14:00Z"/>
        </w:rPr>
      </w:pPr>
      <w:ins w:id="1086" w:author="svcMRProcess" w:date="2020-02-19T21:14:00Z">
        <w:r>
          <w:tab/>
          <w:t>(d)</w:t>
        </w:r>
        <w:r>
          <w:tab/>
          <w:t xml:space="preserve">to — </w:t>
        </w:r>
      </w:ins>
    </w:p>
    <w:p>
      <w:pPr>
        <w:pStyle w:val="Indenti"/>
        <w:rPr>
          <w:ins w:id="1087" w:author="svcMRProcess" w:date="2020-02-19T21:14:00Z"/>
        </w:rPr>
      </w:pPr>
      <w:ins w:id="1088" w:author="svcMRProcess" w:date="2020-02-19T21:14:00Z">
        <w:r>
          <w:tab/>
          <w:t>(i)</w:t>
        </w:r>
        <w:r>
          <w:tab/>
          <w:t>investigate accidents, occurrences and circumstances that affect, or have the potential to affect, the occupational safety and health of persons engaged in offshore petroleum operations; and</w:t>
        </w:r>
      </w:ins>
    </w:p>
    <w:p>
      <w:pPr>
        <w:pStyle w:val="Indenti"/>
        <w:rPr>
          <w:ins w:id="1089" w:author="svcMRProcess" w:date="2020-02-19T21:14:00Z"/>
        </w:rPr>
      </w:pPr>
      <w:ins w:id="1090" w:author="svcMRProcess" w:date="2020-02-19T21:14:00Z">
        <w:r>
          <w:tab/>
          <w:t>(ii)</w:t>
        </w:r>
        <w:r>
          <w:tab/>
          <w:t>to report, as appropriate, to the Minister, the Commonwealth Minister, and to any responsible interstate Minister, on those investigations;</w:t>
        </w:r>
      </w:ins>
    </w:p>
    <w:p>
      <w:pPr>
        <w:pStyle w:val="Indenta"/>
        <w:rPr>
          <w:ins w:id="1091" w:author="svcMRProcess" w:date="2020-02-19T21:14:00Z"/>
        </w:rPr>
      </w:pPr>
      <w:ins w:id="1092" w:author="svcMRProcess" w:date="2020-02-19T21:14:00Z">
        <w:r>
          <w:tab/>
          <w:t>(e)</w:t>
        </w:r>
        <w:r>
          <w:tab/>
          <w:t>to advise persons, either on its own initiative or on request, on occupational safety and health matters relating to offshore petroleum operations;</w:t>
        </w:r>
      </w:ins>
    </w:p>
    <w:p>
      <w:pPr>
        <w:pStyle w:val="Indenta"/>
        <w:rPr>
          <w:ins w:id="1093" w:author="svcMRProcess" w:date="2020-02-19T21:14:00Z"/>
        </w:rPr>
      </w:pPr>
      <w:ins w:id="1094" w:author="svcMRProcess" w:date="2020-02-19T21:14:00Z">
        <w:r>
          <w:tab/>
          <w:t>(f)</w:t>
        </w:r>
        <w:r>
          <w:tab/>
          <w:t xml:space="preserve">to make reports, including recommendations, to — </w:t>
        </w:r>
      </w:ins>
    </w:p>
    <w:p>
      <w:pPr>
        <w:pStyle w:val="Indenti"/>
        <w:rPr>
          <w:ins w:id="1095" w:author="svcMRProcess" w:date="2020-02-19T21:14:00Z"/>
        </w:rPr>
      </w:pPr>
      <w:ins w:id="1096" w:author="svcMRProcess" w:date="2020-02-19T21:14:00Z">
        <w:r>
          <w:tab/>
          <w:t>(i)</w:t>
        </w:r>
        <w:r>
          <w:tab/>
          <w:t xml:space="preserve">the Minister; </w:t>
        </w:r>
      </w:ins>
    </w:p>
    <w:p>
      <w:pPr>
        <w:pStyle w:val="Indenti"/>
        <w:rPr>
          <w:ins w:id="1097" w:author="svcMRProcess" w:date="2020-02-19T21:14:00Z"/>
        </w:rPr>
      </w:pPr>
      <w:ins w:id="1098" w:author="svcMRProcess" w:date="2020-02-19T21:14:00Z">
        <w:r>
          <w:tab/>
          <w:t>(ii)</w:t>
        </w:r>
        <w:r>
          <w:tab/>
          <w:t>the Commonwealth Minister; and</w:t>
        </w:r>
      </w:ins>
    </w:p>
    <w:p>
      <w:pPr>
        <w:pStyle w:val="Indenti"/>
        <w:rPr>
          <w:ins w:id="1099" w:author="svcMRProcess" w:date="2020-02-19T21:14:00Z"/>
        </w:rPr>
      </w:pPr>
      <w:ins w:id="1100" w:author="svcMRProcess" w:date="2020-02-19T21:14:00Z">
        <w:r>
          <w:tab/>
          <w:t>(iii)</w:t>
        </w:r>
        <w:r>
          <w:tab/>
          <w:t>any responsible interstate Minister,</w:t>
        </w:r>
      </w:ins>
    </w:p>
    <w:p>
      <w:pPr>
        <w:pStyle w:val="Indenta"/>
        <w:rPr>
          <w:ins w:id="1101" w:author="svcMRProcess" w:date="2020-02-19T21:14:00Z"/>
        </w:rPr>
      </w:pPr>
      <w:ins w:id="1102" w:author="svcMRProcess" w:date="2020-02-19T21:14:00Z">
        <w:r>
          <w:tab/>
        </w:r>
        <w:r>
          <w:tab/>
          <w:t>on issues relating to the occupational safety and health of persons engaged in offshore petroleum operations;</w:t>
        </w:r>
      </w:ins>
    </w:p>
    <w:p>
      <w:pPr>
        <w:pStyle w:val="Indenta"/>
        <w:rPr>
          <w:ins w:id="1103" w:author="svcMRProcess" w:date="2020-02-19T21:14:00Z"/>
        </w:rPr>
      </w:pPr>
      <w:ins w:id="1104" w:author="svcMRProcess" w:date="2020-02-19T21:14:00Z">
        <w:r>
          <w:tab/>
          <w:t>(g)</w:t>
        </w:r>
        <w:r>
          <w:tab/>
          <w:t xml:space="preserve">to cooperate with — </w:t>
        </w:r>
      </w:ins>
    </w:p>
    <w:p>
      <w:pPr>
        <w:pStyle w:val="Indenti"/>
        <w:rPr>
          <w:ins w:id="1105" w:author="svcMRProcess" w:date="2020-02-19T21:14:00Z"/>
        </w:rPr>
      </w:pPr>
      <w:ins w:id="1106" w:author="svcMRProcess" w:date="2020-02-19T21:14:00Z">
        <w:r>
          <w:tab/>
          <w:t>(i)</w:t>
        </w:r>
        <w:r>
          <w:tab/>
          <w:t xml:space="preserve">the Minister and other State agencies having functions relating to offshore petroleum operations; </w:t>
        </w:r>
      </w:ins>
    </w:p>
    <w:p>
      <w:pPr>
        <w:pStyle w:val="Indenti"/>
        <w:rPr>
          <w:ins w:id="1107" w:author="svcMRProcess" w:date="2020-02-19T21:14:00Z"/>
        </w:rPr>
      </w:pPr>
      <w:ins w:id="1108" w:author="svcMRProcess" w:date="2020-02-19T21:14:00Z">
        <w:r>
          <w:tab/>
          <w:t>(ii)</w:t>
        </w:r>
        <w:r>
          <w:tab/>
          <w:t>Commonwealth agencies having functions relating to offshore petroleum operations; and</w:t>
        </w:r>
      </w:ins>
    </w:p>
    <w:p>
      <w:pPr>
        <w:pStyle w:val="Indenti"/>
        <w:rPr>
          <w:ins w:id="1109" w:author="svcMRProcess" w:date="2020-02-19T21:14:00Z"/>
          <w:snapToGrid w:val="0"/>
        </w:rPr>
      </w:pPr>
      <w:ins w:id="1110" w:author="svcMRProcess" w:date="2020-02-19T21:14:00Z">
        <w:r>
          <w:tab/>
          <w:t>(iii)</w:t>
        </w:r>
        <w:r>
          <w:tab/>
          <w:t xml:space="preserve">the </w:t>
        </w:r>
        <w:r>
          <w:rPr>
            <w:snapToGrid w:val="0"/>
          </w:rPr>
          <w:t>Designated Authorities under the Commonwealth Act in respect of States other than Western Australia and the Northern Territory.</w:t>
        </w:r>
      </w:ins>
    </w:p>
    <w:p>
      <w:pPr>
        <w:pStyle w:val="Footnotesection"/>
        <w:rPr>
          <w:ins w:id="1111" w:author="svcMRProcess" w:date="2020-02-19T21:14:00Z"/>
        </w:rPr>
      </w:pPr>
      <w:ins w:id="1112" w:author="svcMRProcess" w:date="2020-02-19T21:14:00Z">
        <w:r>
          <w:tab/>
          <w:t>[Section 151E inserted by No. 13 of 2005 s. 44.]</w:t>
        </w:r>
      </w:ins>
    </w:p>
    <w:p>
      <w:pPr>
        <w:pStyle w:val="Heading5"/>
        <w:rPr>
          <w:ins w:id="1113" w:author="svcMRProcess" w:date="2020-02-19T21:14:00Z"/>
        </w:rPr>
      </w:pPr>
      <w:bookmarkStart w:id="1114" w:name="_Toc170190709"/>
      <w:ins w:id="1115" w:author="svcMRProcess" w:date="2020-02-19T21:14:00Z">
        <w:r>
          <w:rPr>
            <w:rStyle w:val="CharSectno"/>
          </w:rPr>
          <w:t>151F</w:t>
        </w:r>
        <w:r>
          <w:t>.</w:t>
        </w:r>
        <w:r>
          <w:tab/>
          <w:t>Safety Authority’s ordinary powers</w:t>
        </w:r>
        <w:bookmarkEnd w:id="1114"/>
      </w:ins>
    </w:p>
    <w:p>
      <w:pPr>
        <w:pStyle w:val="Subsection"/>
        <w:rPr>
          <w:ins w:id="1116" w:author="svcMRProcess" w:date="2020-02-19T21:14:00Z"/>
        </w:rPr>
      </w:pPr>
      <w:ins w:id="1117" w:author="svcMRProcess" w:date="2020-02-19T21:14:00Z">
        <w:r>
          <w:tab/>
          <w:t>(1)</w:t>
        </w:r>
        <w:r>
          <w:tab/>
          <w:t>The Safety Authority has power to do all things necessary or convenient to be done for or in connection with the performance of its functions.</w:t>
        </w:r>
      </w:ins>
    </w:p>
    <w:p>
      <w:pPr>
        <w:pStyle w:val="Subsection"/>
        <w:rPr>
          <w:ins w:id="1118" w:author="svcMRProcess" w:date="2020-02-19T21:14:00Z"/>
        </w:rPr>
      </w:pPr>
      <w:ins w:id="1119" w:author="svcMRProcess" w:date="2020-02-19T21:14:00Z">
        <w:r>
          <w:tab/>
          <w:t>(2)</w:t>
        </w:r>
        <w:r>
          <w:tab/>
          <w:t xml:space="preserve">The Safety Authority’s powers include, but are not limited to, the following powers — </w:t>
        </w:r>
      </w:ins>
    </w:p>
    <w:p>
      <w:pPr>
        <w:pStyle w:val="Indenta"/>
        <w:rPr>
          <w:ins w:id="1120" w:author="svcMRProcess" w:date="2020-02-19T21:14:00Z"/>
        </w:rPr>
      </w:pPr>
      <w:ins w:id="1121" w:author="svcMRProcess" w:date="2020-02-19T21:14:00Z">
        <w:r>
          <w:tab/>
          <w:t>(a)</w:t>
        </w:r>
        <w:r>
          <w:tab/>
          <w:t>the power to acquire, hold and dispose of real and personal property;</w:t>
        </w:r>
      </w:ins>
    </w:p>
    <w:p>
      <w:pPr>
        <w:pStyle w:val="Indenta"/>
        <w:rPr>
          <w:ins w:id="1122" w:author="svcMRProcess" w:date="2020-02-19T21:14:00Z"/>
        </w:rPr>
      </w:pPr>
      <w:ins w:id="1123" w:author="svcMRProcess" w:date="2020-02-19T21:14:00Z">
        <w:r>
          <w:tab/>
          <w:t>(b)</w:t>
        </w:r>
        <w:r>
          <w:tab/>
          <w:t>the power to enter into contracts;</w:t>
        </w:r>
      </w:ins>
    </w:p>
    <w:p>
      <w:pPr>
        <w:pStyle w:val="Indenta"/>
        <w:rPr>
          <w:ins w:id="1124" w:author="svcMRProcess" w:date="2020-02-19T21:14:00Z"/>
        </w:rPr>
      </w:pPr>
      <w:ins w:id="1125" w:author="svcMRProcess" w:date="2020-02-19T21:14:00Z">
        <w:r>
          <w:tab/>
          <w:t>(c)</w:t>
        </w:r>
        <w:r>
          <w:tab/>
          <w:t>the power to lease the whole or any part of any land or building for the purposes of the Safety Authority;</w:t>
        </w:r>
      </w:ins>
    </w:p>
    <w:p>
      <w:pPr>
        <w:pStyle w:val="Indenta"/>
        <w:rPr>
          <w:ins w:id="1126" w:author="svcMRProcess" w:date="2020-02-19T21:14:00Z"/>
        </w:rPr>
      </w:pPr>
      <w:ins w:id="1127" w:author="svcMRProcess" w:date="2020-02-19T21:14:00Z">
        <w:r>
          <w:tab/>
          <w:t>(d)</w:t>
        </w:r>
        <w:r>
          <w:tab/>
          <w:t>the power to occupy, use and control any land or building owned or held under lease by the Commonwealth and made available for the purposes of the Safety Authority;</w:t>
        </w:r>
      </w:ins>
    </w:p>
    <w:p>
      <w:pPr>
        <w:pStyle w:val="Indenta"/>
        <w:rPr>
          <w:ins w:id="1128" w:author="svcMRProcess" w:date="2020-02-19T21:14:00Z"/>
        </w:rPr>
      </w:pPr>
      <w:ins w:id="1129" w:author="svcMRProcess" w:date="2020-02-19T21:14:00Z">
        <w:r>
          <w:tab/>
          <w:t>(e)</w:t>
        </w:r>
        <w:r>
          <w:tab/>
          <w:t>the power to conduct research and development projects and to cooperate with others in such projects;</w:t>
        </w:r>
      </w:ins>
    </w:p>
    <w:p>
      <w:pPr>
        <w:pStyle w:val="Indenta"/>
        <w:rPr>
          <w:ins w:id="1130" w:author="svcMRProcess" w:date="2020-02-19T21:14:00Z"/>
        </w:rPr>
      </w:pPr>
      <w:ins w:id="1131" w:author="svcMRProcess" w:date="2020-02-19T21:14:00Z">
        <w:r>
          <w:tab/>
          <w:t>(f)</w:t>
        </w:r>
        <w:r>
          <w:tab/>
          <w:t>the power to apply for and hold patents and exploit patents;</w:t>
        </w:r>
      </w:ins>
    </w:p>
    <w:p>
      <w:pPr>
        <w:pStyle w:val="Indenta"/>
        <w:rPr>
          <w:ins w:id="1132" w:author="svcMRProcess" w:date="2020-02-19T21:14:00Z"/>
        </w:rPr>
      </w:pPr>
      <w:ins w:id="1133" w:author="svcMRProcess" w:date="2020-02-19T21:14:00Z">
        <w:r>
          <w:tab/>
          <w:t>(g)</w:t>
        </w:r>
        <w:r>
          <w:tab/>
          <w:t>the power to do anything incidental to any of its functions.</w:t>
        </w:r>
      </w:ins>
    </w:p>
    <w:p>
      <w:pPr>
        <w:pStyle w:val="Footnotesection"/>
        <w:rPr>
          <w:ins w:id="1134" w:author="svcMRProcess" w:date="2020-02-19T21:14:00Z"/>
        </w:rPr>
      </w:pPr>
      <w:ins w:id="1135" w:author="svcMRProcess" w:date="2020-02-19T21:14:00Z">
        <w:r>
          <w:tab/>
          <w:t>[Section 151F inserted by No. 13 of 2005 s. 44.]</w:t>
        </w:r>
      </w:ins>
    </w:p>
    <w:p>
      <w:pPr>
        <w:pStyle w:val="Heading5"/>
        <w:rPr>
          <w:ins w:id="1136" w:author="svcMRProcess" w:date="2020-02-19T21:14:00Z"/>
        </w:rPr>
      </w:pPr>
      <w:bookmarkStart w:id="1137" w:name="_Toc170190710"/>
      <w:ins w:id="1138" w:author="svcMRProcess" w:date="2020-02-19T21:14:00Z">
        <w:r>
          <w:rPr>
            <w:rStyle w:val="CharSectno"/>
          </w:rPr>
          <w:t>151G</w:t>
        </w:r>
        <w:r>
          <w:t>.</w:t>
        </w:r>
        <w:r>
          <w:tab/>
          <w:t>Judicial notice of seal</w:t>
        </w:r>
        <w:bookmarkEnd w:id="1137"/>
      </w:ins>
    </w:p>
    <w:p>
      <w:pPr>
        <w:pStyle w:val="Subsection"/>
        <w:rPr>
          <w:ins w:id="1139" w:author="svcMRProcess" w:date="2020-02-19T21:14:00Z"/>
        </w:rPr>
      </w:pPr>
      <w:ins w:id="1140" w:author="svcMRProcess" w:date="2020-02-19T21:14:00Z">
        <w:r>
          <w:tab/>
        </w:r>
        <w:r>
          <w:tab/>
          <w:t xml:space="preserve">All courts, judges and persons acting judicially must — </w:t>
        </w:r>
      </w:ins>
    </w:p>
    <w:p>
      <w:pPr>
        <w:pStyle w:val="Indenta"/>
        <w:rPr>
          <w:ins w:id="1141" w:author="svcMRProcess" w:date="2020-02-19T21:14:00Z"/>
        </w:rPr>
      </w:pPr>
      <w:ins w:id="1142" w:author="svcMRProcess" w:date="2020-02-19T21:14:00Z">
        <w:r>
          <w:tab/>
          <w:t>(a)</w:t>
        </w:r>
        <w:r>
          <w:tab/>
          <w:t>take judicial notice of the imprint of the seal of the Safety Authority appearing on a document; and</w:t>
        </w:r>
      </w:ins>
    </w:p>
    <w:p>
      <w:pPr>
        <w:pStyle w:val="Indenta"/>
        <w:rPr>
          <w:ins w:id="1143" w:author="svcMRProcess" w:date="2020-02-19T21:14:00Z"/>
        </w:rPr>
      </w:pPr>
      <w:ins w:id="1144" w:author="svcMRProcess" w:date="2020-02-19T21:14:00Z">
        <w:r>
          <w:tab/>
          <w:t>(b)</w:t>
        </w:r>
        <w:r>
          <w:tab/>
          <w:t>presume that the document was duly sealed.</w:t>
        </w:r>
      </w:ins>
    </w:p>
    <w:p>
      <w:pPr>
        <w:pStyle w:val="Footnotesection"/>
        <w:rPr>
          <w:ins w:id="1145" w:author="svcMRProcess" w:date="2020-02-19T21:14:00Z"/>
        </w:rPr>
      </w:pPr>
      <w:bookmarkStart w:id="1146" w:name="_Toc131393917"/>
      <w:ins w:id="1147" w:author="svcMRProcess" w:date="2020-02-19T21:14:00Z">
        <w:r>
          <w:tab/>
          <w:t>[Section 151G inserted by No. 13 of 2005 s. 44.]</w:t>
        </w:r>
      </w:ins>
    </w:p>
    <w:p>
      <w:pPr>
        <w:pStyle w:val="Heading3"/>
        <w:rPr>
          <w:ins w:id="1148" w:author="svcMRProcess" w:date="2020-02-19T21:14:00Z"/>
        </w:rPr>
      </w:pPr>
      <w:bookmarkStart w:id="1149" w:name="_Toc162761320"/>
      <w:bookmarkStart w:id="1150" w:name="_Toc170190711"/>
      <w:ins w:id="1151" w:author="svcMRProcess" w:date="2020-02-19T21:14:00Z">
        <w:r>
          <w:rPr>
            <w:rStyle w:val="CharDivNo"/>
          </w:rPr>
          <w:t>Division 3</w:t>
        </w:r>
        <w:r>
          <w:t> — </w:t>
        </w:r>
        <w:r>
          <w:rPr>
            <w:rStyle w:val="CharDivText"/>
          </w:rPr>
          <w:t>Safety Authority Board</w:t>
        </w:r>
        <w:bookmarkEnd w:id="1146"/>
        <w:bookmarkEnd w:id="1149"/>
        <w:bookmarkEnd w:id="1150"/>
      </w:ins>
    </w:p>
    <w:p>
      <w:pPr>
        <w:pStyle w:val="Footnoteheading"/>
        <w:rPr>
          <w:ins w:id="1152" w:author="svcMRProcess" w:date="2020-02-19T21:14:00Z"/>
        </w:rPr>
      </w:pPr>
      <w:ins w:id="1153" w:author="svcMRProcess" w:date="2020-02-19T21:14:00Z">
        <w:r>
          <w:tab/>
          <w:t>[Heading inserted by No. 13 of 2005 s. 44.]</w:t>
        </w:r>
      </w:ins>
    </w:p>
    <w:p>
      <w:pPr>
        <w:pStyle w:val="Heading5"/>
        <w:rPr>
          <w:ins w:id="1154" w:author="svcMRProcess" w:date="2020-02-19T21:14:00Z"/>
        </w:rPr>
      </w:pPr>
      <w:bookmarkStart w:id="1155" w:name="_Toc170190712"/>
      <w:ins w:id="1156" w:author="svcMRProcess" w:date="2020-02-19T21:14:00Z">
        <w:r>
          <w:rPr>
            <w:rStyle w:val="CharSectno"/>
          </w:rPr>
          <w:t>151H</w:t>
        </w:r>
        <w:r>
          <w:t>.</w:t>
        </w:r>
        <w:r>
          <w:tab/>
          <w:t>Functions of the Board</w:t>
        </w:r>
        <w:bookmarkEnd w:id="1155"/>
      </w:ins>
    </w:p>
    <w:p>
      <w:pPr>
        <w:pStyle w:val="Subsection"/>
        <w:rPr>
          <w:ins w:id="1157" w:author="svcMRProcess" w:date="2020-02-19T21:14:00Z"/>
        </w:rPr>
      </w:pPr>
      <w:ins w:id="1158" w:author="svcMRProcess" w:date="2020-02-19T21:14:00Z">
        <w:r>
          <w:tab/>
          <w:t>(1)</w:t>
        </w:r>
        <w:r>
          <w:tab/>
          <w:t xml:space="preserve">The Board has the following functions — </w:t>
        </w:r>
      </w:ins>
    </w:p>
    <w:p>
      <w:pPr>
        <w:pStyle w:val="Indenta"/>
        <w:rPr>
          <w:ins w:id="1159" w:author="svcMRProcess" w:date="2020-02-19T21:14:00Z"/>
        </w:rPr>
      </w:pPr>
      <w:ins w:id="1160" w:author="svcMRProcess" w:date="2020-02-19T21:14:00Z">
        <w:r>
          <w:tab/>
          <w:t>(a)</w:t>
        </w:r>
        <w:r>
          <w:tab/>
          <w:t>to give advice, and make recommendations, to the CEO about the operational policies and strategies to be followed by the Safety Authority in the performance of its functions;</w:t>
        </w:r>
      </w:ins>
    </w:p>
    <w:p>
      <w:pPr>
        <w:pStyle w:val="Indenta"/>
        <w:rPr>
          <w:ins w:id="1161" w:author="svcMRProcess" w:date="2020-02-19T21:14:00Z"/>
        </w:rPr>
      </w:pPr>
      <w:ins w:id="1162" w:author="svcMRProcess" w:date="2020-02-19T21:14:00Z">
        <w:r>
          <w:tab/>
          <w:t>(b)</w:t>
        </w:r>
        <w:r>
          <w:tab/>
          <w:t xml:space="preserve">to give advice, and make recommendations, to — </w:t>
        </w:r>
      </w:ins>
    </w:p>
    <w:p>
      <w:pPr>
        <w:pStyle w:val="Indenti"/>
        <w:rPr>
          <w:ins w:id="1163" w:author="svcMRProcess" w:date="2020-02-19T21:14:00Z"/>
        </w:rPr>
      </w:pPr>
      <w:ins w:id="1164" w:author="svcMRProcess" w:date="2020-02-19T21:14:00Z">
        <w:r>
          <w:tab/>
          <w:t>(i)</w:t>
        </w:r>
        <w:r>
          <w:tab/>
          <w:t xml:space="preserve">the Minister; </w:t>
        </w:r>
      </w:ins>
    </w:p>
    <w:p>
      <w:pPr>
        <w:pStyle w:val="Indenti"/>
        <w:rPr>
          <w:ins w:id="1165" w:author="svcMRProcess" w:date="2020-02-19T21:14:00Z"/>
        </w:rPr>
      </w:pPr>
      <w:ins w:id="1166" w:author="svcMRProcess" w:date="2020-02-19T21:14:00Z">
        <w:r>
          <w:tab/>
          <w:t>(ii)</w:t>
        </w:r>
        <w:r>
          <w:tab/>
          <w:t xml:space="preserve">the Commonwealth Minister; </w:t>
        </w:r>
      </w:ins>
    </w:p>
    <w:p>
      <w:pPr>
        <w:pStyle w:val="Indenti"/>
        <w:rPr>
          <w:ins w:id="1167" w:author="svcMRProcess" w:date="2020-02-19T21:14:00Z"/>
        </w:rPr>
      </w:pPr>
      <w:ins w:id="1168" w:author="svcMRProcess" w:date="2020-02-19T21:14:00Z">
        <w:r>
          <w:tab/>
          <w:t>(iii)</w:t>
        </w:r>
        <w:r>
          <w:tab/>
          <w:t>interstate Ministers; and</w:t>
        </w:r>
      </w:ins>
    </w:p>
    <w:p>
      <w:pPr>
        <w:pStyle w:val="Indenti"/>
        <w:rPr>
          <w:ins w:id="1169" w:author="svcMRProcess" w:date="2020-02-19T21:14:00Z"/>
        </w:rPr>
      </w:pPr>
      <w:ins w:id="1170" w:author="svcMRProcess" w:date="2020-02-19T21:14:00Z">
        <w:r>
          <w:tab/>
          <w:t>(iv)</w:t>
        </w:r>
        <w:r>
          <w:tab/>
          <w:t>the body known as the Ministerial Council on Mineral and Petroleum Resources,</w:t>
        </w:r>
      </w:ins>
    </w:p>
    <w:p>
      <w:pPr>
        <w:pStyle w:val="Indenta"/>
        <w:rPr>
          <w:ins w:id="1171" w:author="svcMRProcess" w:date="2020-02-19T21:14:00Z"/>
        </w:rPr>
      </w:pPr>
      <w:ins w:id="1172" w:author="svcMRProcess" w:date="2020-02-19T21:14:00Z">
        <w:r>
          <w:tab/>
        </w:r>
        <w:r>
          <w:tab/>
          <w:t xml:space="preserve">about either or both of the following — </w:t>
        </w:r>
      </w:ins>
    </w:p>
    <w:p>
      <w:pPr>
        <w:pStyle w:val="Indenti"/>
        <w:rPr>
          <w:ins w:id="1173" w:author="svcMRProcess" w:date="2020-02-19T21:14:00Z"/>
        </w:rPr>
      </w:pPr>
      <w:ins w:id="1174" w:author="svcMRProcess" w:date="2020-02-19T21:14:00Z">
        <w:r>
          <w:tab/>
          <w:t>(v)</w:t>
        </w:r>
        <w:r>
          <w:tab/>
          <w:t>policy or strategic matters relating to the occupational safety and health of persons engaged in offshore petroleum operations;</w:t>
        </w:r>
      </w:ins>
    </w:p>
    <w:p>
      <w:pPr>
        <w:pStyle w:val="Indenti"/>
        <w:rPr>
          <w:ins w:id="1175" w:author="svcMRProcess" w:date="2020-02-19T21:14:00Z"/>
        </w:rPr>
      </w:pPr>
      <w:ins w:id="1176" w:author="svcMRProcess" w:date="2020-02-19T21:14:00Z">
        <w:r>
          <w:tab/>
          <w:t>(vi)</w:t>
        </w:r>
        <w:r>
          <w:tab/>
          <w:t>the performance by the Safety Authority of its functions;</w:t>
        </w:r>
      </w:ins>
    </w:p>
    <w:p>
      <w:pPr>
        <w:pStyle w:val="Indenta"/>
        <w:rPr>
          <w:ins w:id="1177" w:author="svcMRProcess" w:date="2020-02-19T21:14:00Z"/>
        </w:rPr>
      </w:pPr>
      <w:ins w:id="1178" w:author="svcMRProcess" w:date="2020-02-19T21:14:00Z">
        <w:r>
          <w:tab/>
          <w:t>(c)</w:t>
        </w:r>
        <w:r>
          <w:tab/>
          <w:t>any other functions specified in a written notice given by the Commonwealth Minister to the Chair of the Board.</w:t>
        </w:r>
      </w:ins>
    </w:p>
    <w:p>
      <w:pPr>
        <w:pStyle w:val="Subsection"/>
        <w:rPr>
          <w:ins w:id="1179" w:author="svcMRProcess" w:date="2020-02-19T21:14:00Z"/>
        </w:rPr>
      </w:pPr>
      <w:ins w:id="1180" w:author="svcMRProcess" w:date="2020-02-19T21:14:00Z">
        <w:r>
          <w:tab/>
          <w:t>(2)</w:t>
        </w:r>
        <w:r>
          <w:tab/>
          <w:t xml:space="preserve">As soon as practicable after the Board gives advice, or makes recommendations, under subsection (1)(b) to — </w:t>
        </w:r>
      </w:ins>
    </w:p>
    <w:p>
      <w:pPr>
        <w:pStyle w:val="Indenta"/>
        <w:rPr>
          <w:ins w:id="1181" w:author="svcMRProcess" w:date="2020-02-19T21:14:00Z"/>
        </w:rPr>
      </w:pPr>
      <w:ins w:id="1182" w:author="svcMRProcess" w:date="2020-02-19T21:14:00Z">
        <w:r>
          <w:tab/>
          <w:t>(a)</w:t>
        </w:r>
        <w:r>
          <w:tab/>
          <w:t xml:space="preserve">the Minister; </w:t>
        </w:r>
      </w:ins>
    </w:p>
    <w:p>
      <w:pPr>
        <w:pStyle w:val="Indenta"/>
        <w:rPr>
          <w:ins w:id="1183" w:author="svcMRProcess" w:date="2020-02-19T21:14:00Z"/>
        </w:rPr>
      </w:pPr>
      <w:ins w:id="1184" w:author="svcMRProcess" w:date="2020-02-19T21:14:00Z">
        <w:r>
          <w:tab/>
          <w:t>(b)</w:t>
        </w:r>
        <w:r>
          <w:tab/>
          <w:t>an interstate Minister; or</w:t>
        </w:r>
      </w:ins>
    </w:p>
    <w:p>
      <w:pPr>
        <w:pStyle w:val="Indenta"/>
        <w:rPr>
          <w:ins w:id="1185" w:author="svcMRProcess" w:date="2020-02-19T21:14:00Z"/>
        </w:rPr>
      </w:pPr>
      <w:ins w:id="1186" w:author="svcMRProcess" w:date="2020-02-19T21:14:00Z">
        <w:r>
          <w:tab/>
          <w:t>(c)</w:t>
        </w:r>
        <w:r>
          <w:tab/>
          <w:t>the body known as the Ministerial Council on Mineral and Petroleum Resources,</w:t>
        </w:r>
      </w:ins>
    </w:p>
    <w:p>
      <w:pPr>
        <w:pStyle w:val="Subsection"/>
        <w:rPr>
          <w:ins w:id="1187" w:author="svcMRProcess" w:date="2020-02-19T21:14:00Z"/>
        </w:rPr>
      </w:pPr>
      <w:ins w:id="1188" w:author="svcMRProcess" w:date="2020-02-19T21:14:00Z">
        <w:r>
          <w:tab/>
        </w:r>
        <w:r>
          <w:tab/>
          <w:t>the Board must give the Commonwealth Minister a written copy of that advice or those recommendations.</w:t>
        </w:r>
      </w:ins>
    </w:p>
    <w:p>
      <w:pPr>
        <w:pStyle w:val="Footnotesection"/>
        <w:rPr>
          <w:ins w:id="1189" w:author="svcMRProcess" w:date="2020-02-19T21:14:00Z"/>
        </w:rPr>
      </w:pPr>
      <w:ins w:id="1190" w:author="svcMRProcess" w:date="2020-02-19T21:14:00Z">
        <w:r>
          <w:tab/>
          <w:t>[Section 151H inserted by No. 13 of 2005 s. 44.]</w:t>
        </w:r>
      </w:ins>
    </w:p>
    <w:p>
      <w:pPr>
        <w:pStyle w:val="Heading5"/>
        <w:rPr>
          <w:ins w:id="1191" w:author="svcMRProcess" w:date="2020-02-19T21:14:00Z"/>
        </w:rPr>
      </w:pPr>
      <w:bookmarkStart w:id="1192" w:name="_Toc170190713"/>
      <w:ins w:id="1193" w:author="svcMRProcess" w:date="2020-02-19T21:14:00Z">
        <w:r>
          <w:rPr>
            <w:rStyle w:val="CharSectno"/>
          </w:rPr>
          <w:t>151I</w:t>
        </w:r>
        <w:r>
          <w:t>.</w:t>
        </w:r>
        <w:r>
          <w:tab/>
          <w:t>Powers of the Board</w:t>
        </w:r>
        <w:bookmarkEnd w:id="1192"/>
      </w:ins>
    </w:p>
    <w:p>
      <w:pPr>
        <w:pStyle w:val="Subsection"/>
        <w:rPr>
          <w:ins w:id="1194" w:author="svcMRProcess" w:date="2020-02-19T21:14:00Z"/>
        </w:rPr>
      </w:pPr>
      <w:ins w:id="1195" w:author="svcMRProcess" w:date="2020-02-19T21:14:00Z">
        <w:r>
          <w:tab/>
        </w:r>
        <w:r>
          <w:tab/>
          <w:t>The Board has power to do all things necessary or convenient to be done for or in connection with the performance of its functions.</w:t>
        </w:r>
      </w:ins>
    </w:p>
    <w:p>
      <w:pPr>
        <w:pStyle w:val="Footnotesection"/>
        <w:rPr>
          <w:ins w:id="1196" w:author="svcMRProcess" w:date="2020-02-19T21:14:00Z"/>
        </w:rPr>
      </w:pPr>
      <w:ins w:id="1197" w:author="svcMRProcess" w:date="2020-02-19T21:14:00Z">
        <w:r>
          <w:tab/>
          <w:t>[Section 151I inserted by No. 13 of 2005 s. 44.]</w:t>
        </w:r>
      </w:ins>
    </w:p>
    <w:p>
      <w:pPr>
        <w:pStyle w:val="Heading5"/>
        <w:rPr>
          <w:ins w:id="1198" w:author="svcMRProcess" w:date="2020-02-19T21:14:00Z"/>
        </w:rPr>
      </w:pPr>
      <w:bookmarkStart w:id="1199" w:name="_Toc170190714"/>
      <w:ins w:id="1200" w:author="svcMRProcess" w:date="2020-02-19T21:14:00Z">
        <w:r>
          <w:rPr>
            <w:rStyle w:val="CharSectno"/>
          </w:rPr>
          <w:t>151J</w:t>
        </w:r>
        <w:r>
          <w:t>.</w:t>
        </w:r>
        <w:r>
          <w:tab/>
          <w:t>Validity of decisions</w:t>
        </w:r>
        <w:bookmarkEnd w:id="1199"/>
      </w:ins>
    </w:p>
    <w:p>
      <w:pPr>
        <w:pStyle w:val="Subsection"/>
        <w:rPr>
          <w:ins w:id="1201" w:author="svcMRProcess" w:date="2020-02-19T21:14:00Z"/>
        </w:rPr>
      </w:pPr>
      <w:ins w:id="1202" w:author="svcMRProcess" w:date="2020-02-19T21:14:00Z">
        <w:r>
          <w:tab/>
        </w:r>
        <w:r>
          <w:tab/>
          <w:t>The performance of the functions, or the exercise of the powers, of the Board is not affected only because of there being a vacancy or vacancies in the membership of the Board.</w:t>
        </w:r>
      </w:ins>
    </w:p>
    <w:p>
      <w:pPr>
        <w:pStyle w:val="Footnotesection"/>
        <w:rPr>
          <w:ins w:id="1203" w:author="svcMRProcess" w:date="2020-02-19T21:14:00Z"/>
        </w:rPr>
      </w:pPr>
      <w:bookmarkStart w:id="1204" w:name="_Toc131393918"/>
      <w:ins w:id="1205" w:author="svcMRProcess" w:date="2020-02-19T21:14:00Z">
        <w:r>
          <w:tab/>
          <w:t>[Section 151J inserted by No. 13 of 2005 s. 44.]</w:t>
        </w:r>
      </w:ins>
    </w:p>
    <w:p>
      <w:pPr>
        <w:pStyle w:val="Heading3"/>
        <w:rPr>
          <w:ins w:id="1206" w:author="svcMRProcess" w:date="2020-02-19T21:14:00Z"/>
        </w:rPr>
      </w:pPr>
      <w:bookmarkStart w:id="1207" w:name="_Toc162761324"/>
      <w:bookmarkStart w:id="1208" w:name="_Toc170190715"/>
      <w:ins w:id="1209" w:author="svcMRProcess" w:date="2020-02-19T21:14:00Z">
        <w:r>
          <w:rPr>
            <w:rStyle w:val="CharDivNo"/>
          </w:rPr>
          <w:t>Division 4</w:t>
        </w:r>
        <w:r>
          <w:t> — </w:t>
        </w:r>
        <w:r>
          <w:rPr>
            <w:rStyle w:val="CharDivText"/>
          </w:rPr>
          <w:t>Chief Executive Officer and staff of the Safety Authority</w:t>
        </w:r>
        <w:bookmarkEnd w:id="1204"/>
        <w:bookmarkEnd w:id="1207"/>
        <w:bookmarkEnd w:id="1208"/>
      </w:ins>
    </w:p>
    <w:p>
      <w:pPr>
        <w:pStyle w:val="Footnoteheading"/>
        <w:rPr>
          <w:ins w:id="1210" w:author="svcMRProcess" w:date="2020-02-19T21:14:00Z"/>
        </w:rPr>
      </w:pPr>
      <w:ins w:id="1211" w:author="svcMRProcess" w:date="2020-02-19T21:14:00Z">
        <w:r>
          <w:tab/>
          <w:t>[Heading inserted by No. 13 of 2005 s. 44.]</w:t>
        </w:r>
      </w:ins>
    </w:p>
    <w:p>
      <w:pPr>
        <w:pStyle w:val="Heading5"/>
        <w:rPr>
          <w:ins w:id="1212" w:author="svcMRProcess" w:date="2020-02-19T21:14:00Z"/>
        </w:rPr>
      </w:pPr>
      <w:bookmarkStart w:id="1213" w:name="_Toc170190716"/>
      <w:ins w:id="1214" w:author="svcMRProcess" w:date="2020-02-19T21:14:00Z">
        <w:r>
          <w:rPr>
            <w:rStyle w:val="CharSectno"/>
          </w:rPr>
          <w:t>151K</w:t>
        </w:r>
        <w:r>
          <w:t>.</w:t>
        </w:r>
        <w:r>
          <w:tab/>
          <w:t>CEO acts for Safety Authority</w:t>
        </w:r>
        <w:bookmarkEnd w:id="1213"/>
      </w:ins>
    </w:p>
    <w:p>
      <w:pPr>
        <w:pStyle w:val="Subsection"/>
        <w:rPr>
          <w:ins w:id="1215" w:author="svcMRProcess" w:date="2020-02-19T21:14:00Z"/>
        </w:rPr>
      </w:pPr>
      <w:ins w:id="1216" w:author="svcMRProcess" w:date="2020-02-19T21:14:00Z">
        <w:r>
          <w:tab/>
        </w:r>
        <w:r>
          <w:tab/>
          <w:t>Anything done by the CEO in the name of the Safety Authority or on the Safety Authority’s behalf is taken to have been done by the Safety Authority.</w:t>
        </w:r>
      </w:ins>
    </w:p>
    <w:p>
      <w:pPr>
        <w:pStyle w:val="Footnotesection"/>
        <w:rPr>
          <w:ins w:id="1217" w:author="svcMRProcess" w:date="2020-02-19T21:14:00Z"/>
        </w:rPr>
      </w:pPr>
      <w:ins w:id="1218" w:author="svcMRProcess" w:date="2020-02-19T21:14:00Z">
        <w:r>
          <w:tab/>
          <w:t>[Section 151K inserted by No. 13 of 2005 s. 44.]</w:t>
        </w:r>
      </w:ins>
    </w:p>
    <w:p>
      <w:pPr>
        <w:pStyle w:val="Heading5"/>
        <w:rPr>
          <w:ins w:id="1219" w:author="svcMRProcess" w:date="2020-02-19T21:14:00Z"/>
        </w:rPr>
      </w:pPr>
      <w:bookmarkStart w:id="1220" w:name="_Toc170190717"/>
      <w:ins w:id="1221" w:author="svcMRProcess" w:date="2020-02-19T21:14:00Z">
        <w:r>
          <w:rPr>
            <w:rStyle w:val="CharSectno"/>
          </w:rPr>
          <w:t>151L</w:t>
        </w:r>
        <w:r>
          <w:t>.</w:t>
        </w:r>
        <w:r>
          <w:tab/>
          <w:t>Working with the Board</w:t>
        </w:r>
        <w:bookmarkEnd w:id="1220"/>
      </w:ins>
    </w:p>
    <w:p>
      <w:pPr>
        <w:pStyle w:val="Subsection"/>
        <w:rPr>
          <w:ins w:id="1222" w:author="svcMRProcess" w:date="2020-02-19T21:14:00Z"/>
        </w:rPr>
      </w:pPr>
      <w:ins w:id="1223" w:author="svcMRProcess" w:date="2020-02-19T21:14:00Z">
        <w:r>
          <w:tab/>
          <w:t>(1)</w:t>
        </w:r>
        <w:r>
          <w:tab/>
          <w:t>The CEO must request the Board’s advice on strategic matters relating to the performance of the Safety Authority’s functions.</w:t>
        </w:r>
      </w:ins>
    </w:p>
    <w:p>
      <w:pPr>
        <w:pStyle w:val="Subsection"/>
        <w:rPr>
          <w:ins w:id="1224" w:author="svcMRProcess" w:date="2020-02-19T21:14:00Z"/>
        </w:rPr>
      </w:pPr>
      <w:ins w:id="1225" w:author="svcMRProcess" w:date="2020-02-19T21:14:00Z">
        <w:r>
          <w:tab/>
          <w:t>(2)</w:t>
        </w:r>
        <w:r>
          <w:tab/>
          <w:t>The CEO must have regard to the advice given to him or her by the Board (whether or not the advice was given in response to a request).</w:t>
        </w:r>
      </w:ins>
    </w:p>
    <w:p>
      <w:pPr>
        <w:pStyle w:val="Subsection"/>
        <w:rPr>
          <w:ins w:id="1226" w:author="svcMRProcess" w:date="2020-02-19T21:14:00Z"/>
        </w:rPr>
      </w:pPr>
      <w:ins w:id="1227" w:author="svcMRProcess" w:date="2020-02-19T21:14:00Z">
        <w:r>
          <w:tab/>
          <w:t>(3)</w:t>
        </w:r>
        <w:r>
          <w:tab/>
          <w:t xml:space="preserve">The CEO must — </w:t>
        </w:r>
      </w:ins>
    </w:p>
    <w:p>
      <w:pPr>
        <w:pStyle w:val="Indenta"/>
        <w:rPr>
          <w:ins w:id="1228" w:author="svcMRProcess" w:date="2020-02-19T21:14:00Z"/>
        </w:rPr>
      </w:pPr>
      <w:ins w:id="1229" w:author="svcMRProcess" w:date="2020-02-19T21:14:00Z">
        <w:r>
          <w:tab/>
          <w:t>(a)</w:t>
        </w:r>
        <w:r>
          <w:tab/>
          <w:t>keep the Board informed of the Safety Authority’s operations; and</w:t>
        </w:r>
      </w:ins>
    </w:p>
    <w:p>
      <w:pPr>
        <w:pStyle w:val="Indenta"/>
        <w:rPr>
          <w:ins w:id="1230" w:author="svcMRProcess" w:date="2020-02-19T21:14:00Z"/>
        </w:rPr>
      </w:pPr>
      <w:ins w:id="1231" w:author="svcMRProcess" w:date="2020-02-19T21:14:00Z">
        <w:r>
          <w:tab/>
          <w:t>(b)</w:t>
        </w:r>
        <w:r>
          <w:tab/>
          <w:t>give the Board any reports, documents and information in relation to those operations that the Chair of the Board requires.</w:t>
        </w:r>
      </w:ins>
    </w:p>
    <w:p>
      <w:pPr>
        <w:pStyle w:val="Footnotesection"/>
        <w:rPr>
          <w:ins w:id="1232" w:author="svcMRProcess" w:date="2020-02-19T21:14:00Z"/>
        </w:rPr>
      </w:pPr>
      <w:ins w:id="1233" w:author="svcMRProcess" w:date="2020-02-19T21:14:00Z">
        <w:r>
          <w:tab/>
          <w:t>[Section 151L inserted by No. 13 of 2005 s. 44.]</w:t>
        </w:r>
      </w:ins>
    </w:p>
    <w:p>
      <w:pPr>
        <w:pStyle w:val="Heading5"/>
        <w:rPr>
          <w:ins w:id="1234" w:author="svcMRProcess" w:date="2020-02-19T21:14:00Z"/>
        </w:rPr>
      </w:pPr>
      <w:bookmarkStart w:id="1235" w:name="_Toc170190718"/>
      <w:ins w:id="1236" w:author="svcMRProcess" w:date="2020-02-19T21:14:00Z">
        <w:r>
          <w:rPr>
            <w:rStyle w:val="CharSectno"/>
          </w:rPr>
          <w:t>151M</w:t>
        </w:r>
        <w:r>
          <w:t>.</w:t>
        </w:r>
        <w:r>
          <w:tab/>
          <w:t>Delegation</w:t>
        </w:r>
        <w:bookmarkEnd w:id="1235"/>
      </w:ins>
    </w:p>
    <w:p>
      <w:pPr>
        <w:pStyle w:val="Subsection"/>
        <w:rPr>
          <w:ins w:id="1237" w:author="svcMRProcess" w:date="2020-02-19T21:14:00Z"/>
        </w:rPr>
      </w:pPr>
      <w:ins w:id="1238" w:author="svcMRProcess" w:date="2020-02-19T21:14:00Z">
        <w:r>
          <w:tab/>
          <w:t>(1)</w:t>
        </w:r>
        <w:r>
          <w:tab/>
          <w:t>An employee of this State, or of an authority of this State, may perform any function and exercise any power delegated to him or her by the CEO under the Commonwealth Act.</w:t>
        </w:r>
      </w:ins>
    </w:p>
    <w:p>
      <w:pPr>
        <w:pStyle w:val="Subsection"/>
        <w:rPr>
          <w:ins w:id="1239" w:author="svcMRProcess" w:date="2020-02-19T21:14:00Z"/>
        </w:rPr>
      </w:pPr>
      <w:ins w:id="1240" w:author="svcMRProcess" w:date="2020-02-19T21:14:00Z">
        <w:r>
          <w:tab/>
          <w:t>(2)</w:t>
        </w:r>
        <w:r>
          <w:tab/>
          <w:t>In performing a function or exercising a power under the delegation, the delegate must comply with any directions of the CEO.</w:t>
        </w:r>
      </w:ins>
    </w:p>
    <w:p>
      <w:pPr>
        <w:pStyle w:val="Footnotesection"/>
        <w:rPr>
          <w:ins w:id="1241" w:author="svcMRProcess" w:date="2020-02-19T21:14:00Z"/>
        </w:rPr>
      </w:pPr>
      <w:ins w:id="1242" w:author="svcMRProcess" w:date="2020-02-19T21:14:00Z">
        <w:r>
          <w:tab/>
          <w:t>[Section 151M inserted by No. 13 of 2005 s. 44.]</w:t>
        </w:r>
      </w:ins>
    </w:p>
    <w:p>
      <w:pPr>
        <w:pStyle w:val="Heading5"/>
        <w:rPr>
          <w:ins w:id="1243" w:author="svcMRProcess" w:date="2020-02-19T21:14:00Z"/>
        </w:rPr>
      </w:pPr>
      <w:bookmarkStart w:id="1244" w:name="_Toc170190719"/>
      <w:ins w:id="1245" w:author="svcMRProcess" w:date="2020-02-19T21:14:00Z">
        <w:r>
          <w:rPr>
            <w:rStyle w:val="CharSectno"/>
          </w:rPr>
          <w:t>151N</w:t>
        </w:r>
        <w:r>
          <w:t>.</w:t>
        </w:r>
        <w:r>
          <w:tab/>
          <w:t>Safety Authority may use State government staff</w:t>
        </w:r>
        <w:bookmarkEnd w:id="1244"/>
      </w:ins>
    </w:p>
    <w:p>
      <w:pPr>
        <w:pStyle w:val="Subsection"/>
        <w:rPr>
          <w:ins w:id="1246" w:author="svcMRProcess" w:date="2020-02-19T21:14:00Z"/>
        </w:rPr>
      </w:pPr>
      <w:ins w:id="1247" w:author="svcMRProcess" w:date="2020-02-19T21:14:00Z">
        <w:r>
          <w:tab/>
        </w:r>
        <w:r>
          <w:tab/>
          <w:t xml:space="preserve">An officer or employee — </w:t>
        </w:r>
      </w:ins>
    </w:p>
    <w:p>
      <w:pPr>
        <w:pStyle w:val="Indenta"/>
        <w:rPr>
          <w:ins w:id="1248" w:author="svcMRProcess" w:date="2020-02-19T21:14:00Z"/>
        </w:rPr>
      </w:pPr>
      <w:ins w:id="1249" w:author="svcMRProcess" w:date="2020-02-19T21:14:00Z">
        <w:r>
          <w:tab/>
          <w:t>(a)</w:t>
        </w:r>
        <w:r>
          <w:tab/>
          <w:t>in the Public Service;</w:t>
        </w:r>
      </w:ins>
    </w:p>
    <w:p>
      <w:pPr>
        <w:pStyle w:val="Indenta"/>
        <w:rPr>
          <w:ins w:id="1250" w:author="svcMRProcess" w:date="2020-02-19T21:14:00Z"/>
        </w:rPr>
      </w:pPr>
      <w:ins w:id="1251" w:author="svcMRProcess" w:date="2020-02-19T21:14:00Z">
        <w:r>
          <w:tab/>
          <w:t>(b)</w:t>
        </w:r>
        <w:r>
          <w:tab/>
          <w:t>in a State agency or instrumentality; or</w:t>
        </w:r>
      </w:ins>
    </w:p>
    <w:p>
      <w:pPr>
        <w:pStyle w:val="Indenta"/>
        <w:rPr>
          <w:ins w:id="1252" w:author="svcMRProcess" w:date="2020-02-19T21:14:00Z"/>
        </w:rPr>
      </w:pPr>
      <w:ins w:id="1253" w:author="svcMRProcess" w:date="2020-02-19T21:14:00Z">
        <w:r>
          <w:tab/>
          <w:t>(c)</w:t>
        </w:r>
        <w:r>
          <w:tab/>
          <w:t>otherwise in the service of the Crown in right of the State,</w:t>
        </w:r>
      </w:ins>
    </w:p>
    <w:p>
      <w:pPr>
        <w:pStyle w:val="Subsection"/>
        <w:rPr>
          <w:ins w:id="1254" w:author="svcMRProcess" w:date="2020-02-19T21:14:00Z"/>
        </w:rPr>
      </w:pPr>
      <w:ins w:id="1255" w:author="svcMRProcess" w:date="2020-02-19T21:14:00Z">
        <w:r>
          <w:tab/>
        </w:r>
        <w:r>
          <w:tab/>
          <w:t>may assist the Safety Authority in connection with the performance of any of the Safety Authority’s functions or the exercise of any of the Safety Authority’s powers under this Act, the Commonwealth Act or a corresponding law.</w:t>
        </w:r>
      </w:ins>
    </w:p>
    <w:p>
      <w:pPr>
        <w:pStyle w:val="Footnotesection"/>
        <w:rPr>
          <w:ins w:id="1256" w:author="svcMRProcess" w:date="2020-02-19T21:14:00Z"/>
        </w:rPr>
      </w:pPr>
      <w:bookmarkStart w:id="1257" w:name="_Toc131393919"/>
      <w:ins w:id="1258" w:author="svcMRProcess" w:date="2020-02-19T21:14:00Z">
        <w:r>
          <w:tab/>
          <w:t>[Section 151N inserted by No. 13 of 2005 s. 44.]</w:t>
        </w:r>
      </w:ins>
    </w:p>
    <w:p>
      <w:pPr>
        <w:pStyle w:val="Heading3"/>
        <w:rPr>
          <w:ins w:id="1259" w:author="svcMRProcess" w:date="2020-02-19T21:14:00Z"/>
        </w:rPr>
      </w:pPr>
      <w:bookmarkStart w:id="1260" w:name="_Toc162761329"/>
      <w:bookmarkStart w:id="1261" w:name="_Toc170190720"/>
      <w:ins w:id="1262" w:author="svcMRProcess" w:date="2020-02-19T21:14:00Z">
        <w:r>
          <w:rPr>
            <w:rStyle w:val="CharDivNo"/>
          </w:rPr>
          <w:t>Division 5</w:t>
        </w:r>
        <w:r>
          <w:t> — </w:t>
        </w:r>
        <w:r>
          <w:rPr>
            <w:rStyle w:val="CharDivText"/>
          </w:rPr>
          <w:t>Other Safety Authority provisions</w:t>
        </w:r>
        <w:bookmarkEnd w:id="1257"/>
        <w:bookmarkEnd w:id="1260"/>
        <w:bookmarkEnd w:id="1261"/>
      </w:ins>
    </w:p>
    <w:p>
      <w:pPr>
        <w:pStyle w:val="Footnoteheading"/>
        <w:rPr>
          <w:ins w:id="1263" w:author="svcMRProcess" w:date="2020-02-19T21:14:00Z"/>
        </w:rPr>
      </w:pPr>
      <w:ins w:id="1264" w:author="svcMRProcess" w:date="2020-02-19T21:14:00Z">
        <w:r>
          <w:tab/>
          <w:t>[Heading inserted by No. 13 of 2005 s. 44.]</w:t>
        </w:r>
      </w:ins>
    </w:p>
    <w:p>
      <w:pPr>
        <w:pStyle w:val="Heading5"/>
        <w:rPr>
          <w:ins w:id="1265" w:author="svcMRProcess" w:date="2020-02-19T21:14:00Z"/>
        </w:rPr>
      </w:pPr>
      <w:bookmarkStart w:id="1266" w:name="_Toc170190721"/>
      <w:ins w:id="1267" w:author="svcMRProcess" w:date="2020-02-19T21:14:00Z">
        <w:r>
          <w:rPr>
            <w:rStyle w:val="CharSectno"/>
          </w:rPr>
          <w:t>151O</w:t>
        </w:r>
        <w:r>
          <w:t>.</w:t>
        </w:r>
        <w:r>
          <w:tab/>
          <w:t>Minister may require the Safety Authority to prepare reports or give information</w:t>
        </w:r>
        <w:bookmarkEnd w:id="1266"/>
      </w:ins>
    </w:p>
    <w:p>
      <w:pPr>
        <w:pStyle w:val="Subsection"/>
        <w:rPr>
          <w:ins w:id="1268" w:author="svcMRProcess" w:date="2020-02-19T21:14:00Z"/>
        </w:rPr>
      </w:pPr>
      <w:ins w:id="1269" w:author="svcMRProcess" w:date="2020-02-19T21:14:00Z">
        <w:r>
          <w:tab/>
          <w:t>(1)</w:t>
        </w:r>
        <w:r>
          <w:tab/>
          <w:t xml:space="preserve">The Minister may, by written notice given to the Safety Authority, require the Safety Authority — </w:t>
        </w:r>
      </w:ins>
    </w:p>
    <w:p>
      <w:pPr>
        <w:pStyle w:val="Indenta"/>
        <w:rPr>
          <w:ins w:id="1270" w:author="svcMRProcess" w:date="2020-02-19T21:14:00Z"/>
        </w:rPr>
      </w:pPr>
      <w:ins w:id="1271" w:author="svcMRProcess" w:date="2020-02-19T21:14:00Z">
        <w:r>
          <w:tab/>
          <w:t>(a)</w:t>
        </w:r>
        <w:r>
          <w:tab/>
          <w:t>to prepare a report about one or more specified matters relating to the performance of the Safety Authority’s functions or the exercise of the Safety Authority’s powers; and</w:t>
        </w:r>
      </w:ins>
    </w:p>
    <w:p>
      <w:pPr>
        <w:pStyle w:val="Indenta"/>
        <w:rPr>
          <w:ins w:id="1272" w:author="svcMRProcess" w:date="2020-02-19T21:14:00Z"/>
        </w:rPr>
      </w:pPr>
      <w:ins w:id="1273" w:author="svcMRProcess" w:date="2020-02-19T21:14:00Z">
        <w:r>
          <w:tab/>
          <w:t>(b)</w:t>
        </w:r>
        <w:r>
          <w:tab/>
          <w:t xml:space="preserve">give a copy of the report to — </w:t>
        </w:r>
      </w:ins>
    </w:p>
    <w:p>
      <w:pPr>
        <w:pStyle w:val="Indenti"/>
        <w:rPr>
          <w:ins w:id="1274" w:author="svcMRProcess" w:date="2020-02-19T21:14:00Z"/>
        </w:rPr>
      </w:pPr>
      <w:ins w:id="1275" w:author="svcMRProcess" w:date="2020-02-19T21:14:00Z">
        <w:r>
          <w:tab/>
          <w:t>(i)</w:t>
        </w:r>
        <w:r>
          <w:tab/>
          <w:t xml:space="preserve">the Minister; </w:t>
        </w:r>
      </w:ins>
    </w:p>
    <w:p>
      <w:pPr>
        <w:pStyle w:val="Indenti"/>
        <w:rPr>
          <w:ins w:id="1276" w:author="svcMRProcess" w:date="2020-02-19T21:14:00Z"/>
        </w:rPr>
      </w:pPr>
      <w:ins w:id="1277" w:author="svcMRProcess" w:date="2020-02-19T21:14:00Z">
        <w:r>
          <w:tab/>
          <w:t>(ii)</w:t>
        </w:r>
        <w:r>
          <w:tab/>
          <w:t>each interstate Minister; and</w:t>
        </w:r>
      </w:ins>
    </w:p>
    <w:p>
      <w:pPr>
        <w:pStyle w:val="Indenti"/>
        <w:rPr>
          <w:ins w:id="1278" w:author="svcMRProcess" w:date="2020-02-19T21:14:00Z"/>
        </w:rPr>
      </w:pPr>
      <w:ins w:id="1279" w:author="svcMRProcess" w:date="2020-02-19T21:14:00Z">
        <w:r>
          <w:tab/>
          <w:t>(iii)</w:t>
        </w:r>
        <w:r>
          <w:tab/>
          <w:t>the Commonwealth Minister,</w:t>
        </w:r>
      </w:ins>
    </w:p>
    <w:p>
      <w:pPr>
        <w:pStyle w:val="Indenta"/>
        <w:rPr>
          <w:ins w:id="1280" w:author="svcMRProcess" w:date="2020-02-19T21:14:00Z"/>
        </w:rPr>
      </w:pPr>
      <w:ins w:id="1281" w:author="svcMRProcess" w:date="2020-02-19T21:14:00Z">
        <w:r>
          <w:tab/>
        </w:r>
        <w:r>
          <w:tab/>
          <w:t>within the period specified in the notice.</w:t>
        </w:r>
      </w:ins>
    </w:p>
    <w:p>
      <w:pPr>
        <w:pStyle w:val="Subsection"/>
        <w:rPr>
          <w:ins w:id="1282" w:author="svcMRProcess" w:date="2020-02-19T21:14:00Z"/>
        </w:rPr>
      </w:pPr>
      <w:ins w:id="1283" w:author="svcMRProcess" w:date="2020-02-19T21:14:00Z">
        <w:r>
          <w:tab/>
          <w:t>(2)</w:t>
        </w:r>
        <w:r>
          <w:tab/>
          <w:t xml:space="preserve">The Minister may, by written notice given to the Safety Authority, require the Safety Authority to — </w:t>
        </w:r>
      </w:ins>
    </w:p>
    <w:p>
      <w:pPr>
        <w:pStyle w:val="Indenta"/>
        <w:rPr>
          <w:ins w:id="1284" w:author="svcMRProcess" w:date="2020-02-19T21:14:00Z"/>
        </w:rPr>
      </w:pPr>
      <w:ins w:id="1285" w:author="svcMRProcess" w:date="2020-02-19T21:14:00Z">
        <w:r>
          <w:tab/>
          <w:t>(a)</w:t>
        </w:r>
        <w:r>
          <w:tab/>
          <w:t>prepare a document setting out specified information relating to the performance of the Safety Authority’s functions or the exercise of the Safety Authority’s powers; and</w:t>
        </w:r>
      </w:ins>
    </w:p>
    <w:p>
      <w:pPr>
        <w:pStyle w:val="Indenta"/>
        <w:rPr>
          <w:ins w:id="1286" w:author="svcMRProcess" w:date="2020-02-19T21:14:00Z"/>
        </w:rPr>
      </w:pPr>
      <w:ins w:id="1287" w:author="svcMRProcess" w:date="2020-02-19T21:14:00Z">
        <w:r>
          <w:tab/>
          <w:t>(b)</w:t>
        </w:r>
        <w:r>
          <w:tab/>
          <w:t xml:space="preserve">give a copy of the report to — </w:t>
        </w:r>
      </w:ins>
    </w:p>
    <w:p>
      <w:pPr>
        <w:pStyle w:val="Indenti"/>
        <w:rPr>
          <w:ins w:id="1288" w:author="svcMRProcess" w:date="2020-02-19T21:14:00Z"/>
        </w:rPr>
      </w:pPr>
      <w:ins w:id="1289" w:author="svcMRProcess" w:date="2020-02-19T21:14:00Z">
        <w:r>
          <w:tab/>
          <w:t>(i)</w:t>
        </w:r>
        <w:r>
          <w:tab/>
          <w:t>the Minister;</w:t>
        </w:r>
      </w:ins>
    </w:p>
    <w:p>
      <w:pPr>
        <w:pStyle w:val="Indenti"/>
        <w:rPr>
          <w:ins w:id="1290" w:author="svcMRProcess" w:date="2020-02-19T21:14:00Z"/>
        </w:rPr>
      </w:pPr>
      <w:ins w:id="1291" w:author="svcMRProcess" w:date="2020-02-19T21:14:00Z">
        <w:r>
          <w:tab/>
          <w:t>(ii)</w:t>
        </w:r>
        <w:r>
          <w:tab/>
          <w:t>each interstate Minister; and</w:t>
        </w:r>
      </w:ins>
    </w:p>
    <w:p>
      <w:pPr>
        <w:pStyle w:val="Indenti"/>
        <w:rPr>
          <w:ins w:id="1292" w:author="svcMRProcess" w:date="2020-02-19T21:14:00Z"/>
        </w:rPr>
      </w:pPr>
      <w:ins w:id="1293" w:author="svcMRProcess" w:date="2020-02-19T21:14:00Z">
        <w:r>
          <w:tab/>
          <w:t>(iii)</w:t>
        </w:r>
        <w:r>
          <w:tab/>
          <w:t>the Commonwealth Minister,</w:t>
        </w:r>
      </w:ins>
    </w:p>
    <w:p>
      <w:pPr>
        <w:pStyle w:val="Subsection"/>
        <w:rPr>
          <w:ins w:id="1294" w:author="svcMRProcess" w:date="2020-02-19T21:14:00Z"/>
        </w:rPr>
      </w:pPr>
      <w:ins w:id="1295" w:author="svcMRProcess" w:date="2020-02-19T21:14:00Z">
        <w:r>
          <w:tab/>
        </w:r>
        <w:r>
          <w:tab/>
          <w:t>within the period specified in the notice.</w:t>
        </w:r>
      </w:ins>
    </w:p>
    <w:p>
      <w:pPr>
        <w:pStyle w:val="Subsection"/>
        <w:rPr>
          <w:ins w:id="1296" w:author="svcMRProcess" w:date="2020-02-19T21:14:00Z"/>
        </w:rPr>
      </w:pPr>
      <w:ins w:id="1297" w:author="svcMRProcess" w:date="2020-02-19T21:14:00Z">
        <w:r>
          <w:tab/>
          <w:t>(3)</w:t>
        </w:r>
        <w:r>
          <w:tab/>
          <w:t>The Safety Authority must comply with a requirement under subsection (1) or (2).</w:t>
        </w:r>
      </w:ins>
    </w:p>
    <w:p>
      <w:pPr>
        <w:pStyle w:val="Footnotesection"/>
        <w:rPr>
          <w:ins w:id="1298" w:author="svcMRProcess" w:date="2020-02-19T21:14:00Z"/>
        </w:rPr>
      </w:pPr>
      <w:ins w:id="1299" w:author="svcMRProcess" w:date="2020-02-19T21:14:00Z">
        <w:r>
          <w:tab/>
          <w:t>[Section 151O inserted by No. 13 of 2005 s. 44.]</w:t>
        </w:r>
      </w:ins>
    </w:p>
    <w:p>
      <w:pPr>
        <w:pStyle w:val="Heading5"/>
        <w:rPr>
          <w:ins w:id="1300" w:author="svcMRProcess" w:date="2020-02-19T21:14:00Z"/>
        </w:rPr>
      </w:pPr>
      <w:bookmarkStart w:id="1301" w:name="_Toc170190722"/>
      <w:ins w:id="1302" w:author="svcMRProcess" w:date="2020-02-19T21:14:00Z">
        <w:r>
          <w:rPr>
            <w:rStyle w:val="CharSectno"/>
          </w:rPr>
          <w:t>151P</w:t>
        </w:r>
        <w:r>
          <w:t>.</w:t>
        </w:r>
        <w:r>
          <w:tab/>
          <w:t>Directions to the Safety Authority</w:t>
        </w:r>
        <w:bookmarkEnd w:id="1301"/>
      </w:ins>
    </w:p>
    <w:p>
      <w:pPr>
        <w:pStyle w:val="Subsection"/>
        <w:rPr>
          <w:ins w:id="1303" w:author="svcMRProcess" w:date="2020-02-19T21:14:00Z"/>
        </w:rPr>
      </w:pPr>
      <w:ins w:id="1304" w:author="svcMRProcess" w:date="2020-02-19T21:14:00Z">
        <w:r>
          <w:tab/>
          <w:t>(1)</w:t>
        </w:r>
        <w:r>
          <w:tab/>
          <w:t>The Minister may request the Commonwealth Minister to give a direction to the Safety Authority that relates wholly or principally to the Safety Authority’s operations in the adjacent area.</w:t>
        </w:r>
      </w:ins>
    </w:p>
    <w:p>
      <w:pPr>
        <w:pStyle w:val="Subsection"/>
        <w:rPr>
          <w:ins w:id="1305" w:author="svcMRProcess" w:date="2020-02-19T21:14:00Z"/>
        </w:rPr>
      </w:pPr>
      <w:ins w:id="1306" w:author="svcMRProcess" w:date="2020-02-19T21:14:00Z">
        <w:r>
          <w:tab/>
          <w:t>(2)</w:t>
        </w:r>
        <w:r>
          <w:tab/>
          <w:t>The Commonwealth Minister must use his or her best endeavours to make a decision on the request within 30 days after receiving the request.</w:t>
        </w:r>
      </w:ins>
    </w:p>
    <w:p>
      <w:pPr>
        <w:pStyle w:val="Subsection"/>
        <w:rPr>
          <w:ins w:id="1307" w:author="svcMRProcess" w:date="2020-02-19T21:14:00Z"/>
        </w:rPr>
      </w:pPr>
      <w:ins w:id="1308" w:author="svcMRProcess" w:date="2020-02-19T21:14:00Z">
        <w:r>
          <w:tab/>
          <w:t>(3)</w:t>
        </w:r>
        <w:r>
          <w:tab/>
          <w:t>If the Commonwealth Minister refuses the request, the Commonwealth Minister must give the Minister a written statement setting out the reasons for the refusal.</w:t>
        </w:r>
      </w:ins>
    </w:p>
    <w:p>
      <w:pPr>
        <w:pStyle w:val="Subsection"/>
        <w:rPr>
          <w:ins w:id="1309" w:author="svcMRProcess" w:date="2020-02-19T21:14:00Z"/>
        </w:rPr>
      </w:pPr>
      <w:ins w:id="1310" w:author="svcMRProcess" w:date="2020-02-19T21:14:00Z">
        <w:r>
          <w:tab/>
          <w:t>(4)</w:t>
        </w:r>
        <w:r>
          <w:tab/>
          <w:t>The Safety Authority must comply with any direction given by the Commonwealth Minister under this section.</w:t>
        </w:r>
      </w:ins>
    </w:p>
    <w:p>
      <w:pPr>
        <w:pStyle w:val="Footnotesection"/>
        <w:rPr>
          <w:ins w:id="1311" w:author="svcMRProcess" w:date="2020-02-19T21:14:00Z"/>
        </w:rPr>
      </w:pPr>
      <w:ins w:id="1312" w:author="svcMRProcess" w:date="2020-02-19T21:14:00Z">
        <w:r>
          <w:tab/>
          <w:t>[Section 151P inserted by No. 13 of 2005 s. 44.]</w:t>
        </w:r>
      </w:ins>
    </w:p>
    <w:p>
      <w:pPr>
        <w:pStyle w:val="Heading5"/>
        <w:rPr>
          <w:ins w:id="1313" w:author="svcMRProcess" w:date="2020-02-19T21:14:00Z"/>
        </w:rPr>
      </w:pPr>
      <w:bookmarkStart w:id="1314" w:name="_Toc170190723"/>
      <w:ins w:id="1315" w:author="svcMRProcess" w:date="2020-02-19T21:14:00Z">
        <w:r>
          <w:rPr>
            <w:rStyle w:val="CharSectno"/>
          </w:rPr>
          <w:t>151Q</w:t>
        </w:r>
        <w:r>
          <w:t>.</w:t>
        </w:r>
        <w:r>
          <w:tab/>
          <w:t>Reviews of operations of Safety Authority</w:t>
        </w:r>
        <w:bookmarkEnd w:id="1314"/>
      </w:ins>
    </w:p>
    <w:p>
      <w:pPr>
        <w:pStyle w:val="Subsection"/>
        <w:rPr>
          <w:ins w:id="1316" w:author="svcMRProcess" w:date="2020-02-19T21:14:00Z"/>
        </w:rPr>
      </w:pPr>
      <w:ins w:id="1317" w:author="svcMRProcess" w:date="2020-02-19T21:14:00Z">
        <w:r>
          <w:tab/>
          <w:t>(1)</w:t>
        </w:r>
        <w:r>
          <w:tab/>
          <w:t>The Minister must cause reviews to be conducted of the operations of the Safety Authority in relation to the adjacent area.</w:t>
        </w:r>
      </w:ins>
    </w:p>
    <w:p>
      <w:pPr>
        <w:pStyle w:val="Subsection"/>
        <w:rPr>
          <w:ins w:id="1318" w:author="svcMRProcess" w:date="2020-02-19T21:14:00Z"/>
        </w:rPr>
      </w:pPr>
      <w:ins w:id="1319" w:author="svcMRProcess" w:date="2020-02-19T21:14:00Z">
        <w:r>
          <w:tab/>
          <w:t>(2)</w:t>
        </w:r>
        <w:r>
          <w:tab/>
          <w:t>The Minister must cause to be prepared a report of a review under subsection (1).</w:t>
        </w:r>
      </w:ins>
    </w:p>
    <w:p>
      <w:pPr>
        <w:pStyle w:val="Subsection"/>
        <w:rPr>
          <w:ins w:id="1320" w:author="svcMRProcess" w:date="2020-02-19T21:14:00Z"/>
        </w:rPr>
      </w:pPr>
      <w:ins w:id="1321" w:author="svcMRProcess" w:date="2020-02-19T21:14:00Z">
        <w:r>
          <w:tab/>
          <w:t>(3)</w:t>
        </w:r>
        <w:r>
          <w:tab/>
          <w:t>The first review is to relate to the 3 year period beginning on 1 January 2005, and is to be completed within 6 months, or the longer period that the Minister allows, after the end of that 3 year period.</w:t>
        </w:r>
      </w:ins>
    </w:p>
    <w:p>
      <w:pPr>
        <w:pStyle w:val="Subsection"/>
        <w:rPr>
          <w:ins w:id="1322" w:author="svcMRProcess" w:date="2020-02-19T21:14:00Z"/>
        </w:rPr>
      </w:pPr>
      <w:ins w:id="1323" w:author="svcMRProcess" w:date="2020-02-19T21:14:00Z">
        <w:r>
          <w:tab/>
          <w:t>(4)</w:t>
        </w:r>
        <w:r>
          <w:tab/>
          <w:t>Subsequent reviews are to relate to successive 3 year periods, and must be completed within 6 months, or the longer period that the Minister allows, after the end of the 3 year period to which the review relates.</w:t>
        </w:r>
      </w:ins>
    </w:p>
    <w:p>
      <w:pPr>
        <w:pStyle w:val="Subsection"/>
        <w:rPr>
          <w:ins w:id="1324" w:author="svcMRProcess" w:date="2020-02-19T21:14:00Z"/>
        </w:rPr>
      </w:pPr>
      <w:ins w:id="1325" w:author="svcMRProcess" w:date="2020-02-19T21:14:00Z">
        <w:r>
          <w:tab/>
          <w:t>(5)</w:t>
        </w:r>
        <w:r>
          <w:tab/>
          <w:t>A review under this section may be conducted in conjunction with a review under the Commonwealth Act or a corresponding law (or both).</w:t>
        </w:r>
      </w:ins>
    </w:p>
    <w:p>
      <w:pPr>
        <w:pStyle w:val="Subsection"/>
        <w:rPr>
          <w:ins w:id="1326" w:author="svcMRProcess" w:date="2020-02-19T21:14:00Z"/>
        </w:rPr>
      </w:pPr>
      <w:ins w:id="1327" w:author="svcMRProcess" w:date="2020-02-19T21:14:00Z">
        <w:r>
          <w:tab/>
          <w:t>(6)</w:t>
        </w:r>
        <w:r>
          <w:tab/>
          <w:t>Without limiting the matters to be covered by a review under subsection (1), the review must include an assessment of the effectiveness of the Safety Authority in bringing about improvements in the occupational safety and health of persons engaged in offshore petroleum operations.</w:t>
        </w:r>
      </w:ins>
    </w:p>
    <w:p>
      <w:pPr>
        <w:pStyle w:val="Subsection"/>
        <w:rPr>
          <w:ins w:id="1328" w:author="svcMRProcess" w:date="2020-02-19T21:14:00Z"/>
        </w:rPr>
      </w:pPr>
      <w:ins w:id="1329" w:author="svcMRProcess" w:date="2020-02-19T21:14:00Z">
        <w:r>
          <w:tab/>
          <w:t>(7)</w:t>
        </w:r>
        <w:r>
          <w:tab/>
          <w:t>The Minister must cause a copy of the report of a review under subsection (1) to be tabled in each House of Parliament within 15 sitting days of that House after the report of the review is completed.</w:t>
        </w:r>
      </w:ins>
    </w:p>
    <w:p>
      <w:pPr>
        <w:pStyle w:val="Subsection"/>
        <w:rPr>
          <w:ins w:id="1330" w:author="svcMRProcess" w:date="2020-02-19T21:14:00Z"/>
        </w:rPr>
      </w:pPr>
      <w:ins w:id="1331" w:author="svcMRProcess" w:date="2020-02-19T21:14:00Z">
        <w:r>
          <w:tab/>
          <w:t>(8)</w:t>
        </w:r>
        <w:r>
          <w:tab/>
          <w:t>For the purposes of this section, a review is completed when the report of the review is made available to the Minister.</w:t>
        </w:r>
      </w:ins>
    </w:p>
    <w:p>
      <w:pPr>
        <w:pStyle w:val="Footnotesection"/>
        <w:rPr>
          <w:ins w:id="1332" w:author="svcMRProcess" w:date="2020-02-19T21:14:00Z"/>
        </w:rPr>
      </w:pPr>
      <w:ins w:id="1333" w:author="svcMRProcess" w:date="2020-02-19T21:14:00Z">
        <w:r>
          <w:tab/>
          <w:t>[Section 151Q inserted by No. 13 of 2005 s. 44.]</w:t>
        </w:r>
      </w:ins>
    </w:p>
    <w:p>
      <w:pPr>
        <w:pStyle w:val="Heading2"/>
      </w:pPr>
      <w:bookmarkStart w:id="1334" w:name="_Toc162761333"/>
      <w:bookmarkStart w:id="1335" w:name="_Toc170190724"/>
      <w:r>
        <w:rPr>
          <w:rStyle w:val="CharPartNo"/>
        </w:rPr>
        <w:t>Part IV</w:t>
      </w:r>
      <w:r>
        <w:rPr>
          <w:rStyle w:val="CharDivNo"/>
        </w:rPr>
        <w:t> </w:t>
      </w:r>
      <w:r>
        <w:t>—</w:t>
      </w:r>
      <w:r>
        <w:rPr>
          <w:rStyle w:val="CharDivText"/>
        </w:rPr>
        <w:t> </w:t>
      </w:r>
      <w:r>
        <w:rPr>
          <w:rStyle w:val="CharPartText"/>
        </w:rPr>
        <w:t>Regulations</w:t>
      </w:r>
      <w:bookmarkEnd w:id="997"/>
      <w:bookmarkEnd w:id="998"/>
      <w:bookmarkEnd w:id="999"/>
      <w:bookmarkEnd w:id="1000"/>
      <w:bookmarkEnd w:id="1001"/>
      <w:bookmarkEnd w:id="1002"/>
      <w:bookmarkEnd w:id="1334"/>
      <w:bookmarkEnd w:id="1335"/>
      <w:r>
        <w:rPr>
          <w:rStyle w:val="CharPartText"/>
        </w:rPr>
        <w:t xml:space="preserve"> </w:t>
      </w:r>
    </w:p>
    <w:p>
      <w:pPr>
        <w:pStyle w:val="Heading5"/>
        <w:rPr>
          <w:snapToGrid w:val="0"/>
        </w:rPr>
      </w:pPr>
      <w:bookmarkStart w:id="1336" w:name="_Toc501861844"/>
      <w:bookmarkStart w:id="1337" w:name="_Toc113772605"/>
      <w:bookmarkStart w:id="1338" w:name="_Toc170190725"/>
      <w:bookmarkStart w:id="1339" w:name="_Toc157933674"/>
      <w:r>
        <w:rPr>
          <w:rStyle w:val="CharSectno"/>
        </w:rPr>
        <w:t>152</w:t>
      </w:r>
      <w:r>
        <w:rPr>
          <w:snapToGrid w:val="0"/>
        </w:rPr>
        <w:t>.</w:t>
      </w:r>
      <w:r>
        <w:rPr>
          <w:snapToGrid w:val="0"/>
        </w:rPr>
        <w:tab/>
        <w:t>Regulations</w:t>
      </w:r>
      <w:bookmarkEnd w:id="1336"/>
      <w:bookmarkEnd w:id="1337"/>
      <w:bookmarkEnd w:id="1338"/>
      <w:bookmarkEnd w:id="1339"/>
      <w:r>
        <w:rPr>
          <w:snapToGrid w:val="0"/>
        </w:rPr>
        <w:t xml:space="preserve"> </w:t>
      </w:r>
    </w:p>
    <w:p>
      <w:pPr>
        <w:pStyle w:val="Subsection"/>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rPr>
          <w:snapToGrid w:val="0"/>
        </w:rPr>
      </w:pPr>
      <w:r>
        <w:rPr>
          <w:snapToGrid w:val="0"/>
        </w:rPr>
        <w:tab/>
        <w:t>(2)</w:t>
      </w:r>
      <w:r>
        <w:rPr>
          <w:snapToGrid w:val="0"/>
        </w:rPr>
        <w:tab/>
        <w:t>In particular, but without limiting the generality of subsection (1), regulations may make provision for securing, regulating, controlling or restricting all or any of the following matters — </w:t>
      </w:r>
    </w:p>
    <w:p>
      <w:pPr>
        <w:pStyle w:val="Indenta"/>
        <w:rPr>
          <w:snapToGrid w:val="0"/>
        </w:rPr>
      </w:pPr>
      <w:r>
        <w:rPr>
          <w:snapToGrid w:val="0"/>
        </w:rPr>
        <w:tab/>
        <w:t>(a)</w:t>
      </w:r>
      <w:r>
        <w:rPr>
          <w:snapToGrid w:val="0"/>
        </w:rPr>
        <w:tab/>
        <w:t>the exploration for petroleum and the carrying on of operations and the execution of works for that purpose;</w:t>
      </w:r>
    </w:p>
    <w:p>
      <w:pPr>
        <w:pStyle w:val="Indenta"/>
        <w:rPr>
          <w:snapToGrid w:val="0"/>
        </w:rPr>
      </w:pPr>
      <w:r>
        <w:rPr>
          <w:snapToGrid w:val="0"/>
        </w:rPr>
        <w:tab/>
        <w:t>(b)</w:t>
      </w:r>
      <w:r>
        <w:rPr>
          <w:snapToGrid w:val="0"/>
        </w:rPr>
        <w:tab/>
        <w:t>the recovery of petroleum and the carrying on of operations and the execution of works for that purpose;</w:t>
      </w:r>
    </w:p>
    <w:p>
      <w:pPr>
        <w:pStyle w:val="Indenta"/>
        <w:rPr>
          <w:snapToGrid w:val="0"/>
        </w:rPr>
      </w:pPr>
      <w:r>
        <w:rPr>
          <w:snapToGrid w:val="0"/>
        </w:rPr>
        <w:tab/>
        <w:t>(c)</w:t>
      </w:r>
      <w:r>
        <w:rPr>
          <w:snapToGrid w:val="0"/>
        </w:rPr>
        <w:tab/>
        <w:t>conserving and preventing the waste of the natural resources, whether petroleum or otherwise, of the adjacent area;</w:t>
      </w:r>
    </w:p>
    <w:p>
      <w:pPr>
        <w:pStyle w:val="Indenta"/>
        <w:rPr>
          <w:snapToGrid w:val="0"/>
        </w:rPr>
      </w:pPr>
      <w:r>
        <w:rPr>
          <w:snapToGrid w:val="0"/>
        </w:rPr>
        <w:tab/>
        <w:t>(d)</w:t>
      </w:r>
      <w:r>
        <w:rPr>
          <w:snapToGrid w:val="0"/>
        </w:rPr>
        <w:tab/>
        <w:t>the construction and operation of pipelines, water lines, secondary lines, pumping stations, tank stations or valve stations and the carrying on of operations, and the execution of works, for any of those purposes;</w:t>
      </w:r>
    </w:p>
    <w:p>
      <w:pPr>
        <w:pStyle w:val="Indenta"/>
        <w:rPr>
          <w:snapToGrid w:val="0"/>
        </w:rPr>
      </w:pPr>
      <w:r>
        <w:rPr>
          <w:snapToGrid w:val="0"/>
        </w:rPr>
        <w:tab/>
        <w:t>(e)</w:t>
      </w:r>
      <w:r>
        <w:rPr>
          <w:snapToGrid w:val="0"/>
        </w:rPr>
        <w:tab/>
        <w:t>the construction, erection, maintenance, operation or use of installations or equipment;</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(g)</w:t>
      </w:r>
      <w:r>
        <w:rPr>
          <w:snapToGrid w:val="0"/>
        </w:rPr>
        <w:tab/>
        <w:t>the clean</w:t>
      </w:r>
      <w:r>
        <w:rPr>
          <w:snapToGrid w:val="0"/>
        </w:rPr>
        <w:noBreakHyphen/>
        <w:t>up or other remedying of the effects of the escape of petroleum;</w:t>
      </w:r>
    </w:p>
    <w:p>
      <w:pPr>
        <w:pStyle w:val="Indenta"/>
        <w:rPr>
          <w:snapToGrid w:val="0"/>
        </w:rPr>
      </w:pPr>
      <w:r>
        <w:rPr>
          <w:snapToGrid w:val="0"/>
        </w:rPr>
        <w:tab/>
        <w:t>(h)</w:t>
      </w:r>
      <w:r>
        <w:rPr>
          <w:snapToGrid w:val="0"/>
        </w:rPr>
        <w:tab/>
        <w:t>the prevention of damage to petroleum bearing strata in an area, whether in the adjacent area or not, in respect of which a permit, lease or licence is not in force;</w:t>
      </w:r>
    </w:p>
    <w:p>
      <w:pPr>
        <w:pStyle w:val="Indenta"/>
        <w:rPr>
          <w:snapToGrid w:val="0"/>
        </w:rPr>
      </w:pPr>
      <w:r>
        <w:rPr>
          <w:snapToGrid w:val="0"/>
        </w:rPr>
        <w:tab/>
        <w:t>(i)</w:t>
      </w:r>
      <w:r>
        <w:rPr>
          <w:snapToGrid w:val="0"/>
        </w:rPr>
        <w:tab/>
        <w:t>the keeping separate of — </w:t>
      </w:r>
    </w:p>
    <w:p>
      <w:pPr>
        <w:pStyle w:val="Indenti"/>
        <w:rPr>
          <w:snapToGrid w:val="0"/>
        </w:rPr>
      </w:pPr>
      <w:r>
        <w:rPr>
          <w:snapToGrid w:val="0"/>
        </w:rPr>
        <w:tab/>
        <w:t>(i)</w:t>
      </w:r>
      <w:r>
        <w:rPr>
          <w:snapToGrid w:val="0"/>
        </w:rPr>
        <w:tab/>
        <w:t>each petroleum pool discovered in a permit area, lease area or licence area; and</w:t>
      </w:r>
    </w:p>
    <w:p>
      <w:pPr>
        <w:pStyle w:val="Indenti"/>
        <w:rPr>
          <w:snapToGrid w:val="0"/>
        </w:rPr>
      </w:pPr>
      <w:r>
        <w:rPr>
          <w:snapToGrid w:val="0"/>
        </w:rPr>
        <w:tab/>
        <w:t>(ii)</w:t>
      </w:r>
      <w:r>
        <w:rPr>
          <w:snapToGrid w:val="0"/>
        </w:rPr>
        <w:tab/>
        <w:t>each source of water discovered in a permit area, lease area or licence area;</w:t>
      </w:r>
    </w:p>
    <w:p>
      <w:pPr>
        <w:pStyle w:val="Indenta"/>
        <w:rPr>
          <w:snapToGrid w:val="0"/>
        </w:rPr>
      </w:pPr>
      <w:r>
        <w:rPr>
          <w:snapToGrid w:val="0"/>
        </w:rPr>
        <w:tab/>
        <w:t>(j)</w:t>
      </w:r>
      <w:r>
        <w:rPr>
          <w:snapToGrid w:val="0"/>
        </w:rPr>
        <w:tab/>
        <w:t>the prevention of water or other matter from entering a petroleum pool through wells;</w:t>
      </w:r>
    </w:p>
    <w:p>
      <w:pPr>
        <w:pStyle w:val="Indenta"/>
        <w:rPr>
          <w:snapToGrid w:val="0"/>
        </w:rPr>
      </w:pPr>
      <w:r>
        <w:rPr>
          <w:snapToGrid w:val="0"/>
        </w:rPr>
        <w:tab/>
        <w:t>(k)</w:t>
      </w:r>
      <w:r>
        <w:rPr>
          <w:snapToGrid w:val="0"/>
        </w:rPr>
        <w:tab/>
        <w:t>the prevention of the waste or escape of petroleum or water from a pipeline, water line, secondary line, pumping station, tank station or valve station;</w:t>
      </w:r>
    </w:p>
    <w:p>
      <w:pPr>
        <w:pStyle w:val="Indenta"/>
        <w:rPr>
          <w:snapToGrid w:val="0"/>
        </w:rPr>
      </w:pPr>
      <w:r>
        <w:rPr>
          <w:snapToGrid w:val="0"/>
        </w:rPr>
        <w:tab/>
        <w:t>(l)</w:t>
      </w:r>
      <w:r>
        <w:rPr>
          <w:snapToGrid w:val="0"/>
        </w:rPr>
        <w:tab/>
        <w:t xml:space="preserve">the maintaining in good condition and repair of all structures, equipment and other property in the adjacent area used or intended to be used for or in connection with the exploration for or the exploitation of petroleum in the adjacent area; </w:t>
      </w:r>
      <w:del w:id="1340" w:author="svcMRProcess" w:date="2020-02-19T21:14:00Z">
        <w:r>
          <w:rPr>
            <w:snapToGrid w:val="0"/>
          </w:rPr>
          <w:delText>and</w:delText>
        </w:r>
      </w:del>
    </w:p>
    <w:p>
      <w:pPr>
        <w:pStyle w:val="Indenta"/>
      </w:pPr>
      <w:r>
        <w:rPr>
          <w:snapToGrid w:val="0"/>
        </w:rPr>
        <w:tab/>
        <w:t>(m)</w:t>
      </w:r>
      <w:r>
        <w:rPr>
          <w:snapToGrid w:val="0"/>
        </w:rPr>
        <w:tab/>
        <w:t xml:space="preserve">the removal from the adjacent area of structures, equipment and other property brought into the adjacent area for or in connection with exploration for or the exploitation of petroleum that are not used or intended to be used in connection with exploration for, or the exploitation of, petroleum in the adjacent </w:t>
      </w:r>
      <w:r>
        <w:t>area</w:t>
      </w:r>
      <w:del w:id="1341" w:author="svcMRProcess" w:date="2020-02-19T21:14:00Z">
        <w:r>
          <w:rPr>
            <w:snapToGrid w:val="0"/>
          </w:rPr>
          <w:delText>.</w:delText>
        </w:r>
      </w:del>
      <w:ins w:id="1342" w:author="svcMRProcess" w:date="2020-02-19T21:14:00Z">
        <w:r>
          <w:t>;</w:t>
        </w:r>
      </w:ins>
    </w:p>
    <w:p>
      <w:pPr>
        <w:pStyle w:val="Indenta"/>
        <w:rPr>
          <w:ins w:id="1343" w:author="svcMRProcess" w:date="2020-02-19T21:14:00Z"/>
        </w:rPr>
      </w:pPr>
      <w:ins w:id="1344" w:author="svcMRProcess" w:date="2020-02-19T21:14:00Z">
        <w:r>
          <w:tab/>
          <w:t>(n)</w:t>
        </w:r>
        <w:r>
          <w:tab/>
          <w:t>fees in relation to offshore petroleum operations, safety audits or other services provided by the Minister;</w:t>
        </w:r>
      </w:ins>
    </w:p>
    <w:p>
      <w:pPr>
        <w:pStyle w:val="Indenta"/>
        <w:rPr>
          <w:ins w:id="1345" w:author="svcMRProcess" w:date="2020-02-19T21:14:00Z"/>
        </w:rPr>
      </w:pPr>
      <w:ins w:id="1346" w:author="svcMRProcess" w:date="2020-02-19T21:14:00Z">
        <w:r>
          <w:tab/>
          <w:t>(o)</w:t>
        </w:r>
        <w:r>
          <w:tab/>
          <w:t xml:space="preserve">any transitional matter arising out of the amendments made to this Act by the </w:t>
        </w:r>
        <w:r>
          <w:rPr>
            <w:i/>
            <w:iCs/>
          </w:rPr>
          <w:t>Petroleum Legislation Amendment and Repeal Act 2005.</w:t>
        </w:r>
      </w:ins>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rPr>
          <w:ins w:id="1347" w:author="svcMRProcess" w:date="2020-02-19T21:14:00Z"/>
        </w:rPr>
      </w:pPr>
      <w:ins w:id="1348" w:author="svcMRProcess" w:date="2020-02-19T21:14:00Z">
        <w:r>
          <w:tab/>
          <w:t>(2c)</w:t>
        </w:r>
        <w:r>
          <w:tab/>
          <w:t xml:space="preserve">Regulations under this section may adopt or apply, with or without modification, any regulation made under the Commonwealth Act, the </w:t>
        </w:r>
        <w:r>
          <w:rPr>
            <w:i/>
          </w:rPr>
          <w:t>Petroleum Act </w:t>
        </w:r>
        <w:r>
          <w:rPr>
            <w:i/>
            <w:iCs/>
          </w:rPr>
          <w:t>1967</w:t>
        </w:r>
        <w:r>
          <w:t xml:space="preserve"> or the </w:t>
        </w:r>
        <w:r>
          <w:rPr>
            <w:i/>
          </w:rPr>
          <w:t>Petroleum Pipelines Act 1969</w:t>
        </w:r>
        <w:r>
          <w:rPr>
            <w:iCs/>
          </w:rPr>
          <w:t>,</w:t>
        </w:r>
        <w:r>
          <w:rPr>
            <w:i/>
          </w:rPr>
          <w:t xml:space="preserve"> </w:t>
        </w:r>
        <w:r>
          <w:t>that is in force or existing at the time when the regulations under this section take effect or as in force or existing from time to time.</w:t>
        </w:r>
      </w:ins>
    </w:p>
    <w:p>
      <w:pPr>
        <w:pStyle w:val="Subsection"/>
        <w:rPr>
          <w:snapToGrid w:val="0"/>
        </w:rPr>
      </w:pPr>
      <w:r>
        <w:rPr>
          <w:snapToGrid w:val="0"/>
        </w:rPr>
        <w:tab/>
        <w:t>(3)</w:t>
      </w:r>
      <w:r>
        <w:rPr>
          <w:snapToGrid w:val="0"/>
        </w:rPr>
        <w:tab/>
        <w:t>The regulations may prescribe, in relation to the exploration for, and the exploitation of, the natural resources (being petroleum) of the adjacent area, matters for carrying out or giving effect to the Convention.</w:t>
      </w:r>
    </w:p>
    <w:p>
      <w:pPr>
        <w:pStyle w:val="Subsection"/>
        <w:rPr>
          <w:snapToGrid w:val="0"/>
        </w:rPr>
      </w:pPr>
      <w:r>
        <w:rPr>
          <w:snapToGrid w:val="0"/>
        </w:rPr>
        <w:tab/>
        <w:t>(4)</w:t>
      </w:r>
      <w:r>
        <w:rPr>
          <w:snapToGrid w:val="0"/>
        </w:rPr>
        <w:tab/>
        <w:t>The regulations may provide that a contravention or failure to comply with a regulation constitutes an offence, and for the imposition of — </w:t>
      </w:r>
    </w:p>
    <w:p>
      <w:pPr>
        <w:pStyle w:val="Indenta"/>
        <w:rPr>
          <w:snapToGrid w:val="0"/>
        </w:rPr>
      </w:pPr>
      <w:r>
        <w:rPr>
          <w:snapToGrid w:val="0"/>
        </w:rPr>
        <w:tab/>
        <w:t>(a)</w:t>
      </w:r>
      <w:r>
        <w:rPr>
          <w:snapToGrid w:val="0"/>
        </w:rPr>
        <w:tab/>
        <w:t>a fine not exceeding $10 000; or</w:t>
      </w:r>
    </w:p>
    <w:p>
      <w:pPr>
        <w:pStyle w:val="Indenta"/>
        <w:rPr>
          <w:snapToGrid w:val="0"/>
        </w:rPr>
      </w:pPr>
      <w:r>
        <w:rPr>
          <w:snapToGrid w:val="0"/>
        </w:rPr>
        <w:tab/>
        <w:t>(b)</w:t>
      </w:r>
      <w:r>
        <w:rPr>
          <w:snapToGrid w:val="0"/>
        </w:rPr>
        <w:tab/>
        <w:t>a fine not exceeding that amount for each day on which the offence occurs,</w:t>
      </w:r>
    </w:p>
    <w:p>
      <w:pPr>
        <w:pStyle w:val="Subsection"/>
        <w:rPr>
          <w:snapToGrid w:val="0"/>
        </w:rPr>
      </w:pPr>
      <w:r>
        <w:rPr>
          <w:snapToGrid w:val="0"/>
        </w:rPr>
        <w:tab/>
      </w:r>
      <w:r>
        <w:rPr>
          <w:snapToGrid w:val="0"/>
        </w:rPr>
        <w:tab/>
        <w:t>for offences against the regulations.</w:t>
      </w:r>
    </w:p>
    <w:p>
      <w:pPr>
        <w:pStyle w:val="Footnotesection"/>
      </w:pPr>
      <w:r>
        <w:tab/>
        <w:t>[Section 152 amended by No. 12 of 1990 s.</w:t>
      </w:r>
      <w:ins w:id="1349" w:author="svcMRProcess" w:date="2020-02-19T21:14:00Z">
        <w:r>
          <w:t> </w:t>
        </w:r>
      </w:ins>
      <w:r>
        <w:t>250</w:t>
      </w:r>
      <w:ins w:id="1350" w:author="svcMRProcess" w:date="2020-02-19T21:14:00Z">
        <w:r>
          <w:t>; No. 13 of 2005 s. 45</w:t>
        </w:r>
      </w:ins>
      <w:r>
        <w:t xml:space="preserve">.] </w:t>
      </w:r>
    </w:p>
    <w:p>
      <w:pPr>
        <w:rPr>
          <w:rStyle w:val="CharDivText"/>
        </w:r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pPr>
        <w:pStyle w:val="yScheduleHeading"/>
      </w:pPr>
      <w:bookmarkStart w:id="1351" w:name="_Toc113772606"/>
      <w:bookmarkStart w:id="1352" w:name="_Toc156977091"/>
      <w:bookmarkStart w:id="1353" w:name="_Toc157933675"/>
      <w:bookmarkStart w:id="1354" w:name="_Toc162761335"/>
      <w:bookmarkStart w:id="1355" w:name="_Toc170190726"/>
      <w:r>
        <w:rPr>
          <w:rStyle w:val="CharSchNo"/>
        </w:rPr>
        <w:t>Schedule 1</w:t>
      </w:r>
      <w:bookmarkEnd w:id="1351"/>
      <w:bookmarkEnd w:id="1352"/>
      <w:bookmarkEnd w:id="1353"/>
      <w:bookmarkEnd w:id="1354"/>
      <w:bookmarkEnd w:id="1355"/>
      <w:r>
        <w:rPr>
          <w:rStyle w:val="CharSchNo"/>
        </w:rPr>
        <w:t xml:space="preserve"> </w:t>
      </w:r>
    </w:p>
    <w:p>
      <w:pPr>
        <w:pStyle w:val="yShoulderClause"/>
        <w:spacing w:before="80"/>
        <w:rPr>
          <w:snapToGrid w:val="0"/>
        </w:rPr>
      </w:pPr>
      <w:r>
        <w:rPr>
          <w:snapToGrid w:val="0"/>
        </w:rPr>
        <w:t>[Section 4]</w:t>
      </w:r>
    </w:p>
    <w:p>
      <w:pPr>
        <w:pStyle w:val="MiscellaneousHeading"/>
        <w:spacing w:before="120"/>
        <w:rPr>
          <w:b/>
          <w:snapToGrid w:val="0"/>
          <w:sz w:val="22"/>
        </w:rPr>
      </w:pPr>
      <w:r>
        <w:rPr>
          <w:b/>
          <w:snapToGrid w:val="0"/>
          <w:sz w:val="22"/>
        </w:rPr>
        <w:t>CONVENTION ON THE CONTINENTAL SHELF</w:t>
      </w:r>
    </w:p>
    <w:p>
      <w:pPr>
        <w:pStyle w:val="yTable"/>
        <w:rPr>
          <w:i/>
          <w:snapToGrid w:val="0"/>
          <w:sz w:val="20"/>
        </w:rPr>
      </w:pPr>
      <w:r>
        <w:rPr>
          <w:i/>
          <w:snapToGrid w:val="0"/>
          <w:sz w:val="20"/>
        </w:rPr>
        <w:t>The States Parties to this Convention</w:t>
      </w:r>
    </w:p>
    <w:p>
      <w:pPr>
        <w:pStyle w:val="yTable"/>
        <w:spacing w:before="0"/>
        <w:rPr>
          <w:snapToGrid w:val="0"/>
          <w:sz w:val="20"/>
        </w:rPr>
      </w:pPr>
      <w:r>
        <w:rPr>
          <w:i/>
          <w:snapToGrid w:val="0"/>
          <w:sz w:val="20"/>
        </w:rPr>
        <w:t>have agreed</w:t>
      </w:r>
      <w:r>
        <w:rPr>
          <w:snapToGrid w:val="0"/>
          <w:sz w:val="20"/>
        </w:rPr>
        <w:t xml:space="preserve"> as follows:</w:t>
      </w:r>
    </w:p>
    <w:p>
      <w:pPr>
        <w:pStyle w:val="yTable"/>
        <w:jc w:val="center"/>
        <w:rPr>
          <w:b/>
          <w:i/>
          <w:snapToGrid w:val="0"/>
          <w:sz w:val="20"/>
        </w:rPr>
      </w:pPr>
      <w:r>
        <w:rPr>
          <w:b/>
          <w:i/>
          <w:snapToGrid w:val="0"/>
          <w:sz w:val="20"/>
        </w:rPr>
        <w:t>Article 1</w:t>
      </w:r>
    </w:p>
    <w:p>
      <w:pPr>
        <w:pStyle w:val="yTable"/>
        <w:rPr>
          <w:snapToGrid w:val="0"/>
          <w:sz w:val="20"/>
        </w:rPr>
      </w:pPr>
      <w:r>
        <w:rPr>
          <w:snapToGrid w:val="0"/>
          <w:sz w:val="20"/>
        </w:rPr>
        <w:t xml:space="preserve">For the purpose of these articles, the term </w:t>
      </w:r>
      <w:r>
        <w:rPr>
          <w:b/>
          <w:snapToGrid w:val="0"/>
          <w:sz w:val="20"/>
        </w:rPr>
        <w:t>“</w:t>
      </w:r>
      <w:r>
        <w:rPr>
          <w:rStyle w:val="CharDefText"/>
        </w:rPr>
        <w:t>continental shelf</w:t>
      </w:r>
      <w:r>
        <w:rPr>
          <w:b/>
          <w:snapToGrid w:val="0"/>
          <w:sz w:val="20"/>
        </w:rPr>
        <w:t>”</w:t>
      </w:r>
      <w:r>
        <w:rPr>
          <w:snapToGrid w:val="0"/>
          <w:sz w:val="20"/>
        </w:rPr>
        <w:t xml:space="preserve"> is used as referring (a) to the sea</w:t>
      </w:r>
      <w:r>
        <w:rPr>
          <w:snapToGrid w:val="0"/>
          <w:sz w:val="20"/>
        </w:rPr>
        <w:noBreakHyphen/>
        <w:t>bed and subsoil of the submarine areas adjacent to the coast but outside the area of the territorial sea, to a depth of 200 metres or, beyond that limit, to where the depth of the superjacent waters admits of the exploitation of the natural resources of the said areas; (b) to the sea</w:t>
      </w:r>
      <w:r>
        <w:rPr>
          <w:snapToGrid w:val="0"/>
          <w:sz w:val="20"/>
        </w:rPr>
        <w:noBreakHyphen/>
        <w:t>bed and subsoil of similar submarine areas adjacent to the coasts of islands.</w:t>
      </w:r>
    </w:p>
    <w:p>
      <w:pPr>
        <w:pStyle w:val="yTable"/>
        <w:jc w:val="center"/>
        <w:rPr>
          <w:b/>
          <w:i/>
          <w:snapToGrid w:val="0"/>
          <w:sz w:val="20"/>
        </w:rPr>
      </w:pPr>
      <w:r>
        <w:rPr>
          <w:b/>
          <w:i/>
          <w:snapToGrid w:val="0"/>
          <w:sz w:val="20"/>
        </w:rPr>
        <w:t>Article 2</w:t>
      </w:r>
    </w:p>
    <w:p>
      <w:pPr>
        <w:pStyle w:val="yTable"/>
        <w:ind w:left="720" w:hanging="720"/>
        <w:rPr>
          <w:snapToGrid w:val="0"/>
          <w:sz w:val="20"/>
        </w:rPr>
      </w:pPr>
      <w:r>
        <w:rPr>
          <w:snapToGrid w:val="0"/>
          <w:sz w:val="20"/>
        </w:rPr>
        <w:t>1.</w:t>
      </w:r>
      <w:r>
        <w:rPr>
          <w:snapToGrid w:val="0"/>
          <w:sz w:val="20"/>
        </w:rPr>
        <w:tab/>
        <w:t>The coastal State exercises over the continental shelf sovereign rights for the purpose of exploring it and exploiting its natural resources.</w:t>
      </w:r>
    </w:p>
    <w:p>
      <w:pPr>
        <w:pStyle w:val="yTable"/>
        <w:ind w:left="720" w:hanging="720"/>
        <w:rPr>
          <w:snapToGrid w:val="0"/>
          <w:sz w:val="20"/>
        </w:rPr>
      </w:pPr>
      <w:r>
        <w:rPr>
          <w:snapToGrid w:val="0"/>
          <w:sz w:val="20"/>
        </w:rPr>
        <w:t>2.</w:t>
      </w:r>
      <w:r>
        <w:rPr>
          <w:snapToGrid w:val="0"/>
          <w:sz w:val="20"/>
        </w:rPr>
        <w:tab/>
        <w:t>The rights referred to in paragraph 1 of this article are exclusive in the sense that if the coastal State does not explore the continental shelf or exploit its natural resources, no one may undertake these activities, or make a claim to the continental shelf, without the express consent of the coastal State.</w:t>
      </w:r>
    </w:p>
    <w:p>
      <w:pPr>
        <w:pStyle w:val="yTable"/>
        <w:ind w:left="720" w:hanging="720"/>
        <w:rPr>
          <w:snapToGrid w:val="0"/>
          <w:sz w:val="20"/>
        </w:rPr>
      </w:pPr>
      <w:r>
        <w:rPr>
          <w:snapToGrid w:val="0"/>
          <w:sz w:val="20"/>
        </w:rPr>
        <w:t>3.</w:t>
      </w:r>
      <w:r>
        <w:rPr>
          <w:snapToGrid w:val="0"/>
          <w:sz w:val="20"/>
        </w:rPr>
        <w:tab/>
        <w:t>The rights of the coastal State over the continental shelf do not depend on occupation, effective or notional, or on any express proclamation.</w:t>
      </w:r>
    </w:p>
    <w:p>
      <w:pPr>
        <w:pStyle w:val="yTable"/>
        <w:ind w:left="720" w:hanging="720"/>
        <w:rPr>
          <w:snapToGrid w:val="0"/>
          <w:sz w:val="20"/>
        </w:rPr>
      </w:pPr>
      <w:r>
        <w:rPr>
          <w:snapToGrid w:val="0"/>
          <w:sz w:val="20"/>
        </w:rPr>
        <w:t>4.</w:t>
      </w:r>
      <w:r>
        <w:rPr>
          <w:snapToGrid w:val="0"/>
          <w:sz w:val="20"/>
        </w:rPr>
        <w:tab/>
        <w:t>The natural resources referred to in these articles consist of the mineral and other non</w:t>
      </w:r>
      <w:r>
        <w:rPr>
          <w:snapToGrid w:val="0"/>
          <w:sz w:val="20"/>
        </w:rPr>
        <w:noBreakHyphen/>
        <w:t>living resources of the sea</w:t>
      </w:r>
      <w:r>
        <w:rPr>
          <w:snapToGrid w:val="0"/>
          <w:sz w:val="20"/>
        </w:rPr>
        <w:noBreakHyphen/>
        <w:t>bed and subsoil together with living organisms belonging to sedentary species, that is to say, organisms which, at the harvestable stage, either are immobile on or under the sea</w:t>
      </w:r>
      <w:r>
        <w:rPr>
          <w:snapToGrid w:val="0"/>
          <w:sz w:val="20"/>
        </w:rPr>
        <w:noBreakHyphen/>
        <w:t>bed or are unable to move except in constant physical contact with the sea</w:t>
      </w:r>
      <w:r>
        <w:rPr>
          <w:snapToGrid w:val="0"/>
          <w:sz w:val="20"/>
        </w:rPr>
        <w:noBreakHyphen/>
        <w:t>bed or the subsoil.</w:t>
      </w:r>
    </w:p>
    <w:p>
      <w:pPr>
        <w:pStyle w:val="yTable"/>
        <w:jc w:val="center"/>
        <w:rPr>
          <w:b/>
          <w:i/>
          <w:snapToGrid w:val="0"/>
          <w:sz w:val="20"/>
        </w:rPr>
      </w:pPr>
      <w:r>
        <w:rPr>
          <w:b/>
          <w:i/>
          <w:snapToGrid w:val="0"/>
          <w:sz w:val="20"/>
        </w:rPr>
        <w:t>Article 3</w:t>
      </w:r>
    </w:p>
    <w:p>
      <w:pPr>
        <w:pStyle w:val="yTable"/>
        <w:rPr>
          <w:snapToGrid w:val="0"/>
          <w:sz w:val="20"/>
        </w:rPr>
      </w:pPr>
      <w:r>
        <w:rPr>
          <w:snapToGrid w:val="0"/>
          <w:sz w:val="20"/>
        </w:rPr>
        <w:t>The rights of the coastal State over the continental shelf do not affect the legal status of the superjacent waters as high seas, or that of the airspace above those waters.</w:t>
      </w:r>
    </w:p>
    <w:p>
      <w:pPr>
        <w:pStyle w:val="yTable"/>
        <w:jc w:val="center"/>
        <w:rPr>
          <w:b/>
          <w:i/>
          <w:snapToGrid w:val="0"/>
          <w:sz w:val="20"/>
        </w:rPr>
      </w:pPr>
      <w:r>
        <w:rPr>
          <w:b/>
          <w:i/>
          <w:snapToGrid w:val="0"/>
          <w:sz w:val="20"/>
        </w:rPr>
        <w:t>Article 4</w:t>
      </w:r>
    </w:p>
    <w:p>
      <w:pPr>
        <w:pStyle w:val="yTable"/>
        <w:rPr>
          <w:snapToGrid w:val="0"/>
          <w:sz w:val="20"/>
        </w:rPr>
      </w:pPr>
      <w:r>
        <w:rPr>
          <w:snapToGrid w:val="0"/>
          <w:sz w:val="20"/>
        </w:rPr>
        <w:t>Subject to its right to take reasonable measures for the exploration of the continental shelf and the exploitation of its natural resources, the coastal State may not impede the laying or maintenance of submarine cables or pipelines on the continental shelf.</w:t>
      </w:r>
    </w:p>
    <w:p>
      <w:pPr>
        <w:pStyle w:val="yTable"/>
        <w:keepNext/>
        <w:jc w:val="center"/>
        <w:rPr>
          <w:b/>
          <w:i/>
          <w:snapToGrid w:val="0"/>
          <w:sz w:val="20"/>
        </w:rPr>
      </w:pPr>
      <w:r>
        <w:rPr>
          <w:b/>
          <w:i/>
          <w:snapToGrid w:val="0"/>
          <w:sz w:val="20"/>
        </w:rPr>
        <w:t>Article 5</w:t>
      </w:r>
    </w:p>
    <w:p>
      <w:pPr>
        <w:pStyle w:val="yTable"/>
        <w:ind w:left="720" w:hanging="720"/>
        <w:rPr>
          <w:snapToGrid w:val="0"/>
          <w:sz w:val="20"/>
        </w:rPr>
      </w:pPr>
      <w:r>
        <w:rPr>
          <w:snapToGrid w:val="0"/>
          <w:sz w:val="20"/>
        </w:rPr>
        <w:t>1.</w:t>
      </w:r>
      <w:r>
        <w:rPr>
          <w:snapToGrid w:val="0"/>
          <w:sz w:val="20"/>
        </w:rPr>
        <w:tab/>
        <w:t>The exploration of the continental shelf and the exploitation of its natural resources must not result in any unjustifiable interference with navigation, fishing or the conservation of the living resources of the sea, nor result in any interference with fundamental oceanographic or other scientific research carried out with the intention of open publication.</w:t>
      </w:r>
    </w:p>
    <w:p>
      <w:pPr>
        <w:pStyle w:val="yTable"/>
        <w:ind w:left="720" w:hanging="720"/>
        <w:rPr>
          <w:snapToGrid w:val="0"/>
          <w:sz w:val="20"/>
        </w:rPr>
      </w:pPr>
      <w:r>
        <w:rPr>
          <w:snapToGrid w:val="0"/>
          <w:sz w:val="20"/>
        </w:rPr>
        <w:t>2.</w:t>
      </w:r>
      <w:r>
        <w:rPr>
          <w:snapToGrid w:val="0"/>
          <w:sz w:val="20"/>
        </w:rPr>
        <w:tab/>
        <w:t>Subject to the provisions of paragraphs 1 and 6 of this article, the coastal State is entitled to construct and maintain or operate on the continental shelf installations and other devices necessary for its exploration and the exploitation of its natural resources, and to establish safety zones around such installations and devices and to take in those zones measures necessary for their protection.</w:t>
      </w:r>
    </w:p>
    <w:p>
      <w:pPr>
        <w:pStyle w:val="yTable"/>
        <w:ind w:left="720" w:hanging="720"/>
        <w:rPr>
          <w:snapToGrid w:val="0"/>
          <w:sz w:val="20"/>
        </w:rPr>
      </w:pPr>
      <w:r>
        <w:rPr>
          <w:snapToGrid w:val="0"/>
          <w:sz w:val="20"/>
        </w:rPr>
        <w:t>3.</w:t>
      </w:r>
      <w:r>
        <w:rPr>
          <w:snapToGrid w:val="0"/>
          <w:sz w:val="20"/>
        </w:rPr>
        <w:tab/>
        <w:t>The safety zones referred to in paragraph 2 of this article may extend to a distance of 500 metres around the installations and other devices which have been erected, measured from each point of their outer edge. Ships of all nationalities must respect these safety zones.</w:t>
      </w:r>
    </w:p>
    <w:p>
      <w:pPr>
        <w:pStyle w:val="yTable"/>
        <w:ind w:left="720" w:hanging="720"/>
        <w:rPr>
          <w:snapToGrid w:val="0"/>
          <w:sz w:val="20"/>
        </w:rPr>
      </w:pPr>
      <w:r>
        <w:rPr>
          <w:snapToGrid w:val="0"/>
          <w:sz w:val="20"/>
        </w:rPr>
        <w:t>4.</w:t>
      </w:r>
      <w:r>
        <w:rPr>
          <w:snapToGrid w:val="0"/>
          <w:sz w:val="20"/>
        </w:rPr>
        <w:tab/>
        <w:t>Such installations and devices, though under the jurisdiction of the coastal State, do not possess the status of islands. They have no territorial sea of their own, and their presence does not affect the delimitation of the territorial sea of the coastal State.</w:t>
      </w:r>
    </w:p>
    <w:p>
      <w:pPr>
        <w:pStyle w:val="yTable"/>
        <w:ind w:left="720" w:hanging="720"/>
        <w:rPr>
          <w:snapToGrid w:val="0"/>
          <w:sz w:val="20"/>
        </w:rPr>
      </w:pPr>
      <w:r>
        <w:rPr>
          <w:snapToGrid w:val="0"/>
          <w:sz w:val="20"/>
        </w:rPr>
        <w:t>5.</w:t>
      </w:r>
      <w:r>
        <w:rPr>
          <w:snapToGrid w:val="0"/>
          <w:sz w:val="20"/>
        </w:rPr>
        <w:tab/>
        <w:t>Due notice must be given of the construction of any such installations, and permanent means for giving warning of their presence must be maintained. Any installations which are abandoned or disused must be entirely removed.</w:t>
      </w:r>
    </w:p>
    <w:p>
      <w:pPr>
        <w:pStyle w:val="yTable"/>
        <w:ind w:left="720" w:hanging="720"/>
        <w:rPr>
          <w:snapToGrid w:val="0"/>
          <w:sz w:val="20"/>
        </w:rPr>
      </w:pPr>
      <w:r>
        <w:rPr>
          <w:snapToGrid w:val="0"/>
          <w:sz w:val="20"/>
        </w:rPr>
        <w:t>6.</w:t>
      </w:r>
      <w:r>
        <w:rPr>
          <w:snapToGrid w:val="0"/>
          <w:sz w:val="20"/>
        </w:rPr>
        <w:tab/>
        <w:t>Neither the installations or devices, nor the safety zones around them, may be established where interference may be caused to the use of recognized sea lanes essential to international navigation.</w:t>
      </w:r>
    </w:p>
    <w:p>
      <w:pPr>
        <w:pStyle w:val="yTable"/>
        <w:ind w:left="720" w:hanging="720"/>
        <w:rPr>
          <w:snapToGrid w:val="0"/>
          <w:sz w:val="20"/>
        </w:rPr>
      </w:pPr>
      <w:r>
        <w:rPr>
          <w:snapToGrid w:val="0"/>
          <w:sz w:val="20"/>
        </w:rPr>
        <w:t>7.</w:t>
      </w:r>
      <w:r>
        <w:rPr>
          <w:snapToGrid w:val="0"/>
          <w:sz w:val="20"/>
        </w:rPr>
        <w:tab/>
        <w:t>The coastal State is obliged to undertake, in the safety zones, all appropriate measures for the protection of the living resources of the sea from harmful agents.</w:t>
      </w:r>
    </w:p>
    <w:p>
      <w:pPr>
        <w:pStyle w:val="yTable"/>
        <w:ind w:left="720" w:hanging="720"/>
        <w:rPr>
          <w:snapToGrid w:val="0"/>
          <w:sz w:val="20"/>
        </w:rPr>
      </w:pPr>
      <w:r>
        <w:rPr>
          <w:snapToGrid w:val="0"/>
          <w:sz w:val="20"/>
        </w:rPr>
        <w:t>8.</w:t>
      </w:r>
      <w:r>
        <w:rPr>
          <w:snapToGrid w:val="0"/>
          <w:sz w:val="20"/>
        </w:rPr>
        <w:tab/>
        <w:t>The consent of the coastal State shall be obtained in respect of any research concerning the continental shelf and undertaken there. Nevertheless the coastal State shall not normally withhold its consent if the request is submitted by a qualified institution with a view to purely scientific research into the physical or biological characteristics of the continental shelf, subject to the proviso that the coastal State shall have the right, if it so desires, to participate or to be represented in the research, and that in any event the results shall be published.</w:t>
      </w:r>
    </w:p>
    <w:p>
      <w:pPr>
        <w:pStyle w:val="yTable"/>
        <w:jc w:val="center"/>
        <w:rPr>
          <w:b/>
          <w:i/>
          <w:snapToGrid w:val="0"/>
          <w:sz w:val="20"/>
        </w:rPr>
      </w:pPr>
      <w:r>
        <w:rPr>
          <w:b/>
          <w:i/>
          <w:snapToGrid w:val="0"/>
          <w:sz w:val="20"/>
        </w:rPr>
        <w:t>Article 6</w:t>
      </w:r>
    </w:p>
    <w:p>
      <w:pPr>
        <w:pStyle w:val="yTable"/>
        <w:ind w:left="720" w:hanging="720"/>
        <w:rPr>
          <w:snapToGrid w:val="0"/>
          <w:sz w:val="20"/>
        </w:rPr>
      </w:pPr>
      <w:r>
        <w:rPr>
          <w:snapToGrid w:val="0"/>
          <w:sz w:val="20"/>
        </w:rPr>
        <w:t>1.</w:t>
      </w:r>
      <w:r>
        <w:rPr>
          <w:snapToGrid w:val="0"/>
          <w:sz w:val="20"/>
        </w:rPr>
        <w:tab/>
        <w:t>Where the same continental shelf is adjacent to the territories of two or more States whose coasts are opposite each other, the boundary of the continental shelf appertaining to such States shall be determined by agreement between them. In the absence of agreement, and unless another boundary line is justified by special circumstances, the boundary is the median line, every point of which is equidistant from the nearest points of the baselines from which the breadth of the territorial sea of each State is measured.</w:t>
      </w:r>
    </w:p>
    <w:p>
      <w:pPr>
        <w:pStyle w:val="yTable"/>
        <w:ind w:left="720" w:hanging="720"/>
        <w:rPr>
          <w:snapToGrid w:val="0"/>
          <w:sz w:val="20"/>
        </w:rPr>
      </w:pPr>
      <w:r>
        <w:rPr>
          <w:snapToGrid w:val="0"/>
          <w:sz w:val="20"/>
        </w:rPr>
        <w:t>2.</w:t>
      </w:r>
      <w:r>
        <w:rPr>
          <w:snapToGrid w:val="0"/>
          <w:sz w:val="20"/>
        </w:rPr>
        <w:tab/>
        <w:t>Where the same continental shelf is adjacent to the territories of two adjacent States, the boundary of the continental shelf shall be determined by agreement between them. In the absence of agreement, and unless another boundary line is justified by special circumstances, the boundary shall be determined by application of the principle of equidistance from the nearest points of the baselines from which the breadth of the territorial sea of each State is measured.</w:t>
      </w:r>
    </w:p>
    <w:p>
      <w:pPr>
        <w:pStyle w:val="yTable"/>
        <w:ind w:left="720" w:hanging="720"/>
        <w:rPr>
          <w:snapToGrid w:val="0"/>
          <w:sz w:val="20"/>
        </w:rPr>
      </w:pPr>
      <w:r>
        <w:rPr>
          <w:snapToGrid w:val="0"/>
          <w:sz w:val="20"/>
        </w:rPr>
        <w:t>3.</w:t>
      </w:r>
      <w:r>
        <w:rPr>
          <w:snapToGrid w:val="0"/>
          <w:sz w:val="20"/>
        </w:rPr>
        <w:tab/>
        <w:t>In delimiting the boundaries of the continental shelf, any lines which are drawn in accordance with the principles set out in paragraphs 1 and 2 of this article should be defined with reference to charts and geographical features as they exist at a particular date, and reference should be made to fixed permanent identifiable points on the land.</w:t>
      </w:r>
    </w:p>
    <w:p>
      <w:pPr>
        <w:pStyle w:val="yTable"/>
        <w:jc w:val="center"/>
        <w:rPr>
          <w:b/>
          <w:i/>
          <w:snapToGrid w:val="0"/>
          <w:sz w:val="20"/>
        </w:rPr>
      </w:pPr>
      <w:r>
        <w:rPr>
          <w:b/>
          <w:i/>
          <w:snapToGrid w:val="0"/>
          <w:sz w:val="20"/>
        </w:rPr>
        <w:t>Article 7</w:t>
      </w:r>
    </w:p>
    <w:p>
      <w:pPr>
        <w:pStyle w:val="yTable"/>
        <w:rPr>
          <w:snapToGrid w:val="0"/>
          <w:sz w:val="20"/>
        </w:rPr>
      </w:pPr>
      <w:r>
        <w:rPr>
          <w:snapToGrid w:val="0"/>
          <w:sz w:val="20"/>
        </w:rPr>
        <w:t>The provisions of these articles shall not prejudice the right of the coastal State to exploit the subsoil by means of tunnelling irrespective of the depth of water above the subsoil.</w:t>
      </w:r>
    </w:p>
    <w:p>
      <w:pPr>
        <w:pStyle w:val="yTable"/>
        <w:jc w:val="center"/>
        <w:rPr>
          <w:b/>
          <w:i/>
          <w:snapToGrid w:val="0"/>
          <w:sz w:val="20"/>
        </w:rPr>
      </w:pPr>
      <w:r>
        <w:rPr>
          <w:b/>
          <w:i/>
          <w:snapToGrid w:val="0"/>
          <w:sz w:val="20"/>
        </w:rPr>
        <w:t>Article 8</w:t>
      </w:r>
    </w:p>
    <w:p>
      <w:pPr>
        <w:pStyle w:val="yTable"/>
        <w:rPr>
          <w:snapToGrid w:val="0"/>
          <w:sz w:val="20"/>
        </w:rPr>
      </w:pPr>
      <w:r>
        <w:rPr>
          <w:snapToGrid w:val="0"/>
          <w:sz w:val="20"/>
        </w:rPr>
        <w:t>This Convention shall, until 31st October, 1958, be open for signature by all States Members of the United Nations or of any of the specialized agencies, and by any other State invited by the General Assembly of the United Nations to become a party of the Convention.</w:t>
      </w:r>
    </w:p>
    <w:p>
      <w:pPr>
        <w:pStyle w:val="yTable"/>
        <w:jc w:val="center"/>
        <w:rPr>
          <w:b/>
          <w:i/>
          <w:snapToGrid w:val="0"/>
          <w:sz w:val="20"/>
        </w:rPr>
      </w:pPr>
      <w:r>
        <w:rPr>
          <w:b/>
          <w:i/>
          <w:snapToGrid w:val="0"/>
          <w:sz w:val="20"/>
        </w:rPr>
        <w:t>Article 9</w:t>
      </w:r>
    </w:p>
    <w:p>
      <w:pPr>
        <w:pStyle w:val="yTable"/>
        <w:rPr>
          <w:snapToGrid w:val="0"/>
          <w:sz w:val="20"/>
        </w:rPr>
      </w:pPr>
      <w:r>
        <w:rPr>
          <w:snapToGrid w:val="0"/>
          <w:sz w:val="20"/>
        </w:rPr>
        <w:t>This Convention is subject to ratification. The instruments of ratification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10</w:t>
      </w:r>
    </w:p>
    <w:p>
      <w:pPr>
        <w:pStyle w:val="yTable"/>
        <w:rPr>
          <w:snapToGrid w:val="0"/>
          <w:sz w:val="20"/>
        </w:rPr>
      </w:pPr>
      <w:r>
        <w:rPr>
          <w:snapToGrid w:val="0"/>
          <w:sz w:val="20"/>
        </w:rPr>
        <w:t>This Convention shall be open for accession by any States belonging to any of the categories mentioned in article 8. The instruments of accession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11</w:t>
      </w:r>
    </w:p>
    <w:p>
      <w:pPr>
        <w:pStyle w:val="yTable"/>
        <w:ind w:left="720" w:hanging="720"/>
        <w:rPr>
          <w:snapToGrid w:val="0"/>
          <w:sz w:val="20"/>
        </w:rPr>
      </w:pPr>
      <w:r>
        <w:rPr>
          <w:snapToGrid w:val="0"/>
          <w:sz w:val="20"/>
        </w:rPr>
        <w:t>1.</w:t>
      </w:r>
      <w:r>
        <w:rPr>
          <w:snapToGrid w:val="0"/>
          <w:sz w:val="20"/>
        </w:rPr>
        <w:tab/>
        <w:t>This Convention shall come into force on the thirtieth day following the date of deposit of the twenty</w:t>
      </w:r>
      <w:r>
        <w:rPr>
          <w:snapToGrid w:val="0"/>
          <w:sz w:val="20"/>
        </w:rPr>
        <w:noBreakHyphen/>
        <w:t>second instrument of ratification or accession with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For each State ratifying or acceding to the Convention after the deposit of the twenty</w:t>
      </w:r>
      <w:r>
        <w:rPr>
          <w:snapToGrid w:val="0"/>
          <w:sz w:val="20"/>
        </w:rPr>
        <w:noBreakHyphen/>
        <w:t>second instrument of ratification or accession, the Convention shall enter into force on the thirtieth day after deposit by such State of its instrument of ratification or accession.</w:t>
      </w:r>
    </w:p>
    <w:p>
      <w:pPr>
        <w:pStyle w:val="yTable"/>
        <w:keepNext/>
        <w:jc w:val="center"/>
        <w:rPr>
          <w:b/>
          <w:i/>
          <w:snapToGrid w:val="0"/>
          <w:sz w:val="20"/>
        </w:rPr>
      </w:pPr>
      <w:r>
        <w:rPr>
          <w:b/>
          <w:i/>
          <w:snapToGrid w:val="0"/>
          <w:sz w:val="20"/>
        </w:rPr>
        <w:t>Article 12</w:t>
      </w:r>
    </w:p>
    <w:p>
      <w:pPr>
        <w:pStyle w:val="yTable"/>
        <w:ind w:left="720" w:hanging="720"/>
        <w:rPr>
          <w:snapToGrid w:val="0"/>
          <w:sz w:val="20"/>
        </w:rPr>
      </w:pPr>
      <w:r>
        <w:rPr>
          <w:snapToGrid w:val="0"/>
          <w:sz w:val="20"/>
        </w:rPr>
        <w:t>1.</w:t>
      </w:r>
      <w:r>
        <w:rPr>
          <w:snapToGrid w:val="0"/>
          <w:sz w:val="20"/>
        </w:rPr>
        <w:tab/>
        <w:t>At the time of signature, ratification or accession, any State may make reservations to articles of the Convention other than to articles 1 to 3 inclusive.</w:t>
      </w:r>
    </w:p>
    <w:p>
      <w:pPr>
        <w:pStyle w:val="yTable"/>
        <w:ind w:left="720" w:hanging="720"/>
        <w:rPr>
          <w:snapToGrid w:val="0"/>
          <w:sz w:val="20"/>
        </w:rPr>
      </w:pPr>
      <w:r>
        <w:rPr>
          <w:snapToGrid w:val="0"/>
          <w:sz w:val="20"/>
        </w:rPr>
        <w:t>2.</w:t>
      </w:r>
      <w:r>
        <w:rPr>
          <w:snapToGrid w:val="0"/>
          <w:sz w:val="20"/>
        </w:rPr>
        <w:tab/>
        <w:t>Any Contracting State making a reservation in accordance with the preceding paragraph may at any time withdraw the reservation by a communication to that effect addressed to the Secretary</w:t>
      </w:r>
      <w:r>
        <w:rPr>
          <w:snapToGrid w:val="0"/>
          <w:sz w:val="20"/>
        </w:rPr>
        <w:noBreakHyphen/>
        <w:t>General of the United Nations.</w:t>
      </w:r>
    </w:p>
    <w:p>
      <w:pPr>
        <w:pStyle w:val="yTable"/>
        <w:jc w:val="center"/>
        <w:rPr>
          <w:b/>
          <w:i/>
          <w:snapToGrid w:val="0"/>
          <w:sz w:val="20"/>
        </w:rPr>
      </w:pPr>
      <w:r>
        <w:rPr>
          <w:b/>
          <w:i/>
          <w:snapToGrid w:val="0"/>
          <w:sz w:val="20"/>
        </w:rPr>
        <w:t>Article 13</w:t>
      </w:r>
    </w:p>
    <w:p>
      <w:pPr>
        <w:pStyle w:val="yTable"/>
        <w:ind w:left="720" w:hanging="720"/>
        <w:rPr>
          <w:snapToGrid w:val="0"/>
          <w:sz w:val="20"/>
        </w:rPr>
      </w:pPr>
      <w:r>
        <w:rPr>
          <w:snapToGrid w:val="0"/>
          <w:sz w:val="20"/>
        </w:rPr>
        <w:t>1.</w:t>
      </w:r>
      <w:r>
        <w:rPr>
          <w:snapToGrid w:val="0"/>
          <w:sz w:val="20"/>
        </w:rPr>
        <w:tab/>
        <w:t>After the expiration of a period of five years from the date on which this Convention shall enter into force, a request for the revision of this Convention may be made at any time by any Contracting Party by means of a notification in writing addressed to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The General Assembly of the United Nations shall decide upon the steps, if any, to be taken in respect of such request.</w:t>
      </w:r>
    </w:p>
    <w:p>
      <w:pPr>
        <w:pStyle w:val="yTable"/>
        <w:jc w:val="center"/>
        <w:rPr>
          <w:b/>
          <w:i/>
          <w:snapToGrid w:val="0"/>
          <w:sz w:val="20"/>
        </w:rPr>
      </w:pPr>
      <w:r>
        <w:rPr>
          <w:b/>
          <w:i/>
          <w:snapToGrid w:val="0"/>
          <w:sz w:val="20"/>
        </w:rPr>
        <w:t>Article 14</w:t>
      </w:r>
    </w:p>
    <w:p>
      <w:pPr>
        <w:pStyle w:val="yTable"/>
        <w:rPr>
          <w:snapToGrid w:val="0"/>
          <w:sz w:val="20"/>
        </w:rPr>
      </w:pPr>
      <w:r>
        <w:rPr>
          <w:snapToGrid w:val="0"/>
          <w:sz w:val="20"/>
        </w:rPr>
        <w:t>The Secretary</w:t>
      </w:r>
      <w:r>
        <w:rPr>
          <w:snapToGrid w:val="0"/>
          <w:sz w:val="20"/>
        </w:rPr>
        <w:noBreakHyphen/>
        <w:t>General of the United Nations shall inform all States Members of the United Nations and the other States referred to in article 8 — </w:t>
      </w:r>
    </w:p>
    <w:p>
      <w:pPr>
        <w:pStyle w:val="yTable"/>
        <w:ind w:left="811" w:hanging="503"/>
        <w:rPr>
          <w:snapToGrid w:val="0"/>
          <w:sz w:val="20"/>
        </w:rPr>
      </w:pPr>
      <w:r>
        <w:rPr>
          <w:snapToGrid w:val="0"/>
          <w:sz w:val="20"/>
        </w:rPr>
        <w:t>(a)</w:t>
      </w:r>
      <w:r>
        <w:rPr>
          <w:snapToGrid w:val="0"/>
          <w:sz w:val="20"/>
        </w:rPr>
        <w:tab/>
        <w:t>of signatures to this Convention and of the deposit of instruments of ratification or accession, in accordance with articles 8, 9 and 10;</w:t>
      </w:r>
    </w:p>
    <w:p>
      <w:pPr>
        <w:pStyle w:val="yTable"/>
        <w:ind w:left="811" w:hanging="503"/>
        <w:rPr>
          <w:snapToGrid w:val="0"/>
          <w:sz w:val="20"/>
        </w:rPr>
      </w:pPr>
      <w:r>
        <w:rPr>
          <w:snapToGrid w:val="0"/>
          <w:sz w:val="20"/>
        </w:rPr>
        <w:t>(b)</w:t>
      </w:r>
      <w:r>
        <w:rPr>
          <w:snapToGrid w:val="0"/>
          <w:sz w:val="20"/>
        </w:rPr>
        <w:tab/>
        <w:t>of the date on which this Convention will come into force, in accordance with article 11;</w:t>
      </w:r>
    </w:p>
    <w:p>
      <w:pPr>
        <w:pStyle w:val="yTable"/>
        <w:ind w:left="811" w:hanging="503"/>
        <w:rPr>
          <w:snapToGrid w:val="0"/>
          <w:sz w:val="20"/>
        </w:rPr>
      </w:pPr>
      <w:r>
        <w:rPr>
          <w:snapToGrid w:val="0"/>
          <w:sz w:val="20"/>
        </w:rPr>
        <w:t>(c)</w:t>
      </w:r>
      <w:r>
        <w:rPr>
          <w:snapToGrid w:val="0"/>
          <w:sz w:val="20"/>
        </w:rPr>
        <w:tab/>
        <w:t>of requests for revision in accordance with article 13;</w:t>
      </w:r>
    </w:p>
    <w:p>
      <w:pPr>
        <w:pStyle w:val="yTable"/>
        <w:ind w:left="811" w:hanging="503"/>
        <w:rPr>
          <w:snapToGrid w:val="0"/>
          <w:sz w:val="20"/>
        </w:rPr>
      </w:pPr>
      <w:r>
        <w:rPr>
          <w:snapToGrid w:val="0"/>
          <w:sz w:val="20"/>
        </w:rPr>
        <w:t>(d)</w:t>
      </w:r>
      <w:r>
        <w:rPr>
          <w:snapToGrid w:val="0"/>
          <w:sz w:val="20"/>
        </w:rPr>
        <w:tab/>
        <w:t>of reservations to this Convention, in accordance with article 12.</w:t>
      </w:r>
    </w:p>
    <w:p>
      <w:pPr>
        <w:pStyle w:val="yTable"/>
        <w:jc w:val="center"/>
        <w:rPr>
          <w:b/>
          <w:i/>
          <w:snapToGrid w:val="0"/>
          <w:sz w:val="20"/>
        </w:rPr>
      </w:pPr>
      <w:r>
        <w:rPr>
          <w:b/>
          <w:i/>
          <w:snapToGrid w:val="0"/>
          <w:sz w:val="20"/>
        </w:rPr>
        <w:t>Article 15</w:t>
      </w:r>
    </w:p>
    <w:p>
      <w:pPr>
        <w:pStyle w:val="yTable"/>
        <w:rPr>
          <w:snapToGrid w:val="0"/>
          <w:sz w:val="20"/>
        </w:rPr>
      </w:pPr>
      <w:r>
        <w:rPr>
          <w:snapToGrid w:val="0"/>
          <w:sz w:val="20"/>
        </w:rPr>
        <w:t>The original of this Convention, of which the Chinese, English, French, Russian and Spanish Texts are equally authentic, shall be deposited with the Secretary</w:t>
      </w:r>
      <w:r>
        <w:rPr>
          <w:snapToGrid w:val="0"/>
          <w:sz w:val="20"/>
        </w:rPr>
        <w:noBreakHyphen/>
        <w:t>General of the United Nations, who shall send certified copies thereof to all States referred to in article 8.</w:t>
      </w:r>
    </w:p>
    <w:p>
      <w:pPr>
        <w:pStyle w:val="yTable"/>
        <w:rPr>
          <w:snapToGrid w:val="0"/>
          <w:sz w:val="20"/>
        </w:rPr>
      </w:pPr>
      <w:r>
        <w:rPr>
          <w:snapToGrid w:val="0"/>
          <w:sz w:val="20"/>
        </w:rPr>
        <w:t>In Witness Whereof the undersigned Plenipotentiaries, being duly authorized thereto by their respective Governments, have signed this Convention.</w:t>
      </w:r>
    </w:p>
    <w:p>
      <w:pPr>
        <w:pStyle w:val="yTable"/>
        <w:rPr>
          <w:snapToGrid w:val="0"/>
          <w:sz w:val="20"/>
        </w:rPr>
      </w:pPr>
      <w:r>
        <w:rPr>
          <w:snapToGrid w:val="0"/>
          <w:sz w:val="20"/>
        </w:rPr>
        <w:t>Done at Geneva, this twenty</w:t>
      </w:r>
      <w:r>
        <w:rPr>
          <w:snapToGrid w:val="0"/>
          <w:sz w:val="20"/>
        </w:rPr>
        <w:noBreakHyphen/>
        <w:t>ninth day of April, one thousand nine hundred and fifty</w:t>
      </w:r>
      <w:r>
        <w:rPr>
          <w:snapToGrid w:val="0"/>
          <w:sz w:val="20"/>
        </w:rPr>
        <w:noBreakHyphen/>
        <w:t>eight.</w:t>
      </w:r>
    </w:p>
    <w:p>
      <w:pPr>
        <w:pStyle w:val="yTable"/>
        <w:rPr>
          <w:snapToGrid w:val="0"/>
          <w:sz w:val="20"/>
        </w:rPr>
      </w:pPr>
      <w:r>
        <w:rPr>
          <w:snapToGrid w:val="0"/>
          <w:sz w:val="20"/>
        </w:rPr>
        <w:t>(</w:t>
      </w:r>
      <w:r>
        <w:rPr>
          <w:i/>
          <w:snapToGrid w:val="0"/>
          <w:sz w:val="20"/>
        </w:rPr>
        <w:t>Here follow the signatures on behalf of the parties to the Agreement, including Australia</w:t>
      </w:r>
      <w:r>
        <w:rPr>
          <w:snapToGrid w:val="0"/>
          <w:sz w:val="20"/>
        </w:rPr>
        <w:t>.)</w:t>
      </w:r>
    </w:p>
    <w:p>
      <w:pPr>
        <w:pStyle w:val="yScheduleHeading"/>
      </w:pPr>
      <w:bookmarkStart w:id="1356" w:name="_Toc113772607"/>
      <w:bookmarkStart w:id="1357" w:name="_Toc156977092"/>
      <w:bookmarkStart w:id="1358" w:name="_Toc157933676"/>
      <w:bookmarkStart w:id="1359" w:name="_Toc162761336"/>
      <w:bookmarkStart w:id="1360" w:name="_Toc170190727"/>
      <w:r>
        <w:rPr>
          <w:rStyle w:val="CharSchNo"/>
        </w:rPr>
        <w:t>Schedule 2</w:t>
      </w:r>
      <w:bookmarkEnd w:id="1356"/>
      <w:bookmarkEnd w:id="1357"/>
      <w:bookmarkEnd w:id="1358"/>
      <w:bookmarkEnd w:id="1359"/>
      <w:bookmarkEnd w:id="1360"/>
      <w:r>
        <w:rPr>
          <w:rStyle w:val="CharSchNo"/>
        </w:rPr>
        <w:t xml:space="preserve"> </w:t>
      </w:r>
    </w:p>
    <w:p>
      <w:pPr>
        <w:pStyle w:val="yShoulderClause"/>
        <w:spacing w:before="60"/>
      </w:pPr>
      <w:r>
        <w:t xml:space="preserve"> [Section 4]</w:t>
      </w:r>
    </w:p>
    <w:p>
      <w:pPr>
        <w:pStyle w:val="yTable"/>
        <w:spacing w:before="40"/>
        <w:jc w:val="center"/>
        <w:rPr>
          <w:b/>
          <w:snapToGrid w:val="0"/>
          <w:sz w:val="24"/>
        </w:rPr>
      </w:pPr>
      <w:r>
        <w:rPr>
          <w:b/>
          <w:snapToGrid w:val="0"/>
          <w:sz w:val="24"/>
        </w:rPr>
        <w:t>Area that includes the adjacent area</w:t>
      </w:r>
    </w:p>
    <w:p>
      <w:pPr>
        <w:pStyle w:val="yMiscellaneousHeading"/>
      </w:pPr>
      <w:r>
        <w:t>(Regulations referred to in section 10(5) prescribe a datum for the purposes of this Schedule)</w:t>
      </w:r>
    </w:p>
    <w:p>
      <w:pPr>
        <w:pStyle w:val="yTable"/>
        <w:rPr>
          <w:sz w:val="20"/>
        </w:rPr>
      </w:pPr>
      <w:r>
        <w:rPr>
          <w:sz w:val="20"/>
        </w:rPr>
        <w:t>The area the boundary of which commences at a point that is the intersection of the coastline at mean low water by the boundary between the States of South Australia and Western Australia and runs thence southerly along the geodesic to a point of Latitude 31° 45′ South, Longitude 129° East, thence southerly along the meridian of Longitude 129° East to its intersection by the parallel of Latitude 44° South, thence westerly along that parallel to its intersection by the meridian of Longitude 110° East, thence northerly along that meridian to its intersection by the parallel of Latitude 17° South, thence north</w:t>
      </w:r>
      <w:r>
        <w:rPr>
          <w:sz w:val="20"/>
        </w:rPr>
        <w:noBreakHyphen/>
        <w:t>easterly along the geodesic to a point of Latitude 12° 24′ South, Longitude 121° 24′ East, thence south</w:t>
      </w:r>
      <w:r>
        <w:rPr>
          <w:sz w:val="20"/>
        </w:rPr>
        <w:noBreakHyphen/>
        <w:t>easterly along the geodesic to a point of Latitude 12° 56′ South, Longitude 122° 06′ East, thence south</w:t>
      </w:r>
      <w:r>
        <w:rPr>
          <w:sz w:val="20"/>
        </w:rPr>
        <w:noBreakHyphen/>
        <w:t>easterly along the geodesic to a point of Latitude 13° 20′ South, Longitude 122° 41′ East, thence easterly along the geodesic to a point of Latitude 13° 19′ 30″ South, Longitude 120° 16′ 45″ East, thence easterly along the parallel of Latitude 13° 19′ 30″ South to its intersection by the meridian of Longitude 124° 27′ 45″ East, thence north</w:t>
      </w:r>
      <w:r>
        <w:rPr>
          <w:sz w:val="20"/>
        </w:rPr>
        <w:noBreakHyphen/>
        <w:t>easterly along the geodesic to a point of Latitude 13° 13′ 15″ South, Longitude 124° 36′ 15″ East, thence north</w:t>
      </w:r>
      <w:r>
        <w:rPr>
          <w:sz w:val="20"/>
        </w:rPr>
        <w:noBreakHyphen/>
        <w:t>easterly along the geodesic to a point of Latitude 12° 46′ 15″ South, Longitude 124° 55′ 30″ East, thence north</w:t>
      </w:r>
      <w:r>
        <w:rPr>
          <w:sz w:val="20"/>
        </w:rPr>
        <w:noBreakHyphen/>
        <w:t>easterly along the geodesic to a point of Latitude 11° 51′ South, Longitude 125° 27′ 45″ East, thence north</w:t>
      </w:r>
      <w:r>
        <w:rPr>
          <w:sz w:val="20"/>
        </w:rPr>
        <w:noBreakHyphen/>
        <w:t>easterly along the geodesic to a point of Latitude 11° 44′ 30″ South, Longitude 125° 31′ 30″ East, thence north</w:t>
      </w:r>
      <w:r>
        <w:rPr>
          <w:sz w:val="20"/>
        </w:rPr>
        <w:noBreakHyphen/>
        <w:t>easterly along the geodesic to a point of Latitude 10° 21′ 30″ South, Longitude 126° 10′ 30″ East, thence north</w:t>
      </w:r>
      <w:r>
        <w:rPr>
          <w:sz w:val="20"/>
        </w:rPr>
        <w:noBreakHyphen/>
        <w:t>easterly along the geodesic to a point of Latitude 10° 13′ South, Longitude 126° 26′ 30″ East, thence north</w:t>
      </w:r>
      <w:r>
        <w:rPr>
          <w:sz w:val="20"/>
        </w:rPr>
        <w:noBreakHyphen/>
        <w:t>easterly along the geodesic to a point of Latitude 10° 05′ South, Longitude 126° 47′ 30″ East, thence south</w:t>
      </w:r>
      <w:r>
        <w:rPr>
          <w:sz w:val="20"/>
        </w:rPr>
        <w:noBreakHyphen/>
        <w:t>easterly along the geodesic to a point of Latitude 11° 13′ 15″ South, Longitude 127° 32′ East, thence south</w:t>
      </w:r>
      <w:r>
        <w:rPr>
          <w:sz w:val="20"/>
        </w:rPr>
        <w:noBreakHyphen/>
        <w:t>easterly along the geodesic to a point of Latitude 11° 48′ South, Longitude 127° 53′ 45″ East, thence south</w:t>
      </w:r>
      <w:r>
        <w:rPr>
          <w:sz w:val="20"/>
        </w:rPr>
        <w:noBreakHyphen/>
        <w:t>easterly along the geodesic to a point of Latitude 12° 26′ 30″ South, Longitude 128° 22′ East, thence south</w:t>
      </w:r>
      <w:r>
        <w:rPr>
          <w:sz w:val="20"/>
        </w:rPr>
        <w:noBreakHyphen/>
        <w:t>easterly along the geodesic to a point of Latitude 12° 32′ 45″ South, Longitude 128° 24′ East, thence south</w:t>
      </w:r>
      <w:r>
        <w:rPr>
          <w:sz w:val="20"/>
        </w:rPr>
        <w:noBreakHyphen/>
        <w:t>easterly along the geodesic to a point of Latitude 12° 55′ 30″ South, Longitude 128° 28′ East, thence southerly along the meridian of Longitude 128° 28′ East to its intersection by the parallel of Latitude 13° 15′ 30″ South, thence south</w:t>
      </w:r>
      <w:r>
        <w:rPr>
          <w:sz w:val="20"/>
        </w:rPr>
        <w:noBreakHyphen/>
        <w:t>easterly along the geodesic to a point of Latitude 13° 39′ 45″ South, Longitude 128° 30′ 45″ East, thence south</w:t>
      </w:r>
      <w:r>
        <w:rPr>
          <w:sz w:val="20"/>
        </w:rPr>
        <w:noBreakHyphen/>
        <w:t>easterly along the geodesic to a point of Latitude 13° 49′ 45″ South, Longitude 128° 33′ 15″ East, thence south</w:t>
      </w:r>
      <w:r>
        <w:rPr>
          <w:sz w:val="20"/>
        </w:rPr>
        <w:noBreakHyphen/>
        <w:t>easterly along the geodesic to a point of Latitude 14° South, Longitude 128° 42′ 15″ East, thence south</w:t>
      </w:r>
      <w:r>
        <w:rPr>
          <w:sz w:val="20"/>
        </w:rPr>
        <w:noBreakHyphen/>
        <w:t>easterly along the geodesic to a point of Latitude 14° 19′ 30″ South, Longitude 128° 53′ East, thence south</w:t>
      </w:r>
      <w:r>
        <w:rPr>
          <w:sz w:val="20"/>
        </w:rPr>
        <w:noBreakHyphen/>
        <w:t>easterly along the geodesic to a point of Latitude 14° 32′ 30″ South, Longitude 129° 01′ 15″ East, thence southerly along the geodesic to a point of Latitude 14° 37′ 30″ South, Longitude 129° 01′ 45″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p>
      <w:pPr>
        <w:pStyle w:val="yFootnotesection"/>
        <w:rPr>
          <w:del w:id="1361" w:author="svcMRProcess" w:date="2020-02-19T21:14:00Z"/>
        </w:rPr>
      </w:pPr>
      <w:r>
        <w:tab/>
        <w:t>[Schedule 2 amended by No. 54 of 2000 s.8(4).]</w:t>
      </w:r>
      <w:bookmarkStart w:id="1362" w:name="_Toc113772608"/>
      <w:bookmarkStart w:id="1363" w:name="_Toc156977093"/>
      <w:bookmarkStart w:id="1364" w:name="_Toc157933677"/>
    </w:p>
    <w:p>
      <w:pPr>
        <w:pStyle w:val="yFootnotesection"/>
        <w:rPr>
          <w:ins w:id="1365" w:author="svcMRProcess" w:date="2020-02-19T21:14:00Z"/>
          <w:rStyle w:val="CharSchNo"/>
        </w:r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yScheduleHeading"/>
      </w:pPr>
      <w:bookmarkStart w:id="1366" w:name="_Toc162761337"/>
      <w:bookmarkStart w:id="1367" w:name="_Toc170190728"/>
      <w:r>
        <w:rPr>
          <w:rStyle w:val="CharSchNo"/>
        </w:rPr>
        <w:t>Schedule 3</w:t>
      </w:r>
      <w:bookmarkEnd w:id="1362"/>
      <w:bookmarkEnd w:id="1363"/>
      <w:bookmarkEnd w:id="1364"/>
      <w:bookmarkEnd w:id="1366"/>
      <w:bookmarkEnd w:id="1367"/>
      <w:r>
        <w:rPr>
          <w:rStyle w:val="CharDivNo"/>
        </w:rPr>
        <w:t xml:space="preserve"> </w:t>
      </w:r>
    </w:p>
    <w:p>
      <w:pPr>
        <w:pStyle w:val="yShoulderClause"/>
      </w:pPr>
      <w:r>
        <w:t>[Section 3(2)]</w:t>
      </w:r>
    </w:p>
    <w:p>
      <w:pPr>
        <w:pStyle w:val="yTable"/>
        <w:spacing w:before="40"/>
        <w:jc w:val="center"/>
        <w:rPr>
          <w:b/>
          <w:snapToGrid w:val="0"/>
        </w:rPr>
      </w:pPr>
      <w:r>
        <w:rPr>
          <w:b/>
          <w:snapToGrid w:val="0"/>
        </w:rPr>
        <w:t>Scheme for transitional arrangements</w:t>
      </w:r>
    </w:p>
    <w:p>
      <w:pPr>
        <w:pStyle w:val="yHeading5"/>
        <w:outlineLvl w:val="9"/>
      </w:pPr>
      <w:bookmarkStart w:id="1368" w:name="_Toc113772609"/>
      <w:bookmarkStart w:id="1369" w:name="_Toc170190729"/>
      <w:bookmarkStart w:id="1370" w:name="_Toc157933678"/>
      <w:r>
        <w:rPr>
          <w:rStyle w:val="CharSClsNo"/>
        </w:rPr>
        <w:t>1</w:t>
      </w:r>
      <w:r>
        <w:t>.</w:t>
      </w:r>
      <w:r>
        <w:tab/>
        <w:t>Interpretation</w:t>
      </w:r>
      <w:bookmarkEnd w:id="1368"/>
      <w:bookmarkEnd w:id="1369"/>
      <w:bookmarkEnd w:id="1370"/>
    </w:p>
    <w:p>
      <w:pPr>
        <w:pStyle w:val="ySubsection"/>
        <w:rPr>
          <w:snapToGrid w:val="0"/>
        </w:rPr>
      </w:pPr>
      <w:r>
        <w:rPr>
          <w:snapToGrid w:val="0"/>
        </w:rPr>
        <w:tab/>
        <w:t>(1)</w:t>
      </w:r>
      <w:r>
        <w:rPr>
          <w:snapToGrid w:val="0"/>
        </w:rPr>
        <w:tab/>
        <w:t>In this scheme — </w:t>
      </w:r>
    </w:p>
    <w:p>
      <w:pPr>
        <w:pStyle w:val="yDefstart"/>
      </w:pPr>
      <w:r>
        <w:rPr>
          <w:b/>
        </w:rPr>
        <w:tab/>
        <w:t>“</w:t>
      </w:r>
      <w:r>
        <w:rPr>
          <w:rStyle w:val="CharDefText"/>
        </w:rPr>
        <w:t>altered arrangements</w:t>
      </w:r>
      <w:r>
        <w:rPr>
          <w:b/>
        </w:rPr>
        <w:t>”</w:t>
      </w:r>
      <w:r>
        <w:t xml:space="preserve"> means the arrangements agreed on between the Commonwealth, the States and the Northern Territory with respect to the exploration for, and the exploitation of, the petroleum resources of certain submerged lands in lieu of the arrangements provided for by the agreement between the Commonwealth and the States dated 16 October 1967;</w:t>
      </w:r>
    </w:p>
    <w:p>
      <w:pPr>
        <w:pStyle w:val="yDefstart"/>
      </w:pPr>
      <w:r>
        <w:rPr>
          <w:b/>
        </w:rPr>
        <w:tab/>
        <w:t>“</w:t>
      </w:r>
      <w:r>
        <w:rPr>
          <w:rStyle w:val="CharDefText"/>
        </w:rPr>
        <w:t>commencing day</w:t>
      </w:r>
      <w:r>
        <w:rPr>
          <w:b/>
        </w:rPr>
        <w:t>”</w:t>
      </w:r>
      <w:r>
        <w:t xml:space="preserve"> means the day on which the </w:t>
      </w:r>
      <w:r>
        <w:rPr>
          <w:i/>
        </w:rPr>
        <w:t>Petroleum (Submerged Lands) Amendment Act 1980</w:t>
      </w:r>
      <w:r>
        <w:t xml:space="preserve"> of the Commonwealth, or that Act as amended, comes into operation;</w:t>
      </w:r>
    </w:p>
    <w:p>
      <w:pPr>
        <w:pStyle w:val="y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w:t>
      </w:r>
    </w:p>
    <w:p>
      <w:pPr>
        <w:pStyle w:val="yDefstart"/>
      </w:pPr>
      <w:r>
        <w:rPr>
          <w:b/>
        </w:rPr>
        <w:tab/>
        <w:t>“</w:t>
      </w:r>
      <w:r>
        <w:rPr>
          <w:rStyle w:val="CharDefText"/>
        </w:rPr>
        <w:t>Commonwealth jurisdiction</w:t>
      </w:r>
      <w:r>
        <w:rPr>
          <w:b/>
        </w:rPr>
        <w:t>”</w:t>
      </w:r>
      <w:r>
        <w:t xml:space="preserve"> means the areas comprised in the adjacent areas under the Commonwealth Act, as amended to give effect to the altered arrangements;</w:t>
      </w:r>
    </w:p>
    <w:p>
      <w:pPr>
        <w:pStyle w:val="yDefstart"/>
      </w:pPr>
      <w:r>
        <w:rPr>
          <w:b/>
        </w:rPr>
        <w:tab/>
        <w:t>“</w:t>
      </w:r>
      <w:r>
        <w:rPr>
          <w:rStyle w:val="CharDefText"/>
        </w:rPr>
        <w:t>new permit</w:t>
      </w:r>
      <w:r>
        <w:rPr>
          <w:b/>
        </w:rPr>
        <w:t>”</w:t>
      </w:r>
      <w:r>
        <w:t xml:space="preserve"> means a permit that is to be deemed, under clause 2 of this scheme, to be in force on and after the commencing day;</w:t>
      </w:r>
    </w:p>
    <w:p>
      <w:pPr>
        <w:pStyle w:val="yDefstart"/>
      </w:pPr>
      <w:r>
        <w:rPr>
          <w:b/>
        </w:rPr>
        <w:tab/>
        <w:t>“</w:t>
      </w:r>
      <w:r>
        <w:rPr>
          <w:rStyle w:val="CharDefText"/>
        </w:rPr>
        <w:t>new pipeline licence</w:t>
      </w:r>
      <w:r>
        <w:rPr>
          <w:b/>
        </w:rPr>
        <w:t>”</w:t>
      </w:r>
      <w:r>
        <w:t xml:space="preserve"> means a pipeline licence that is to be deemed, under clause 4 of this scheme, to be in force on and after the commencing day;</w:t>
      </w:r>
    </w:p>
    <w:p>
      <w:pPr>
        <w:pStyle w:val="yDefstart"/>
      </w:pPr>
      <w:r>
        <w:rPr>
          <w:b/>
        </w:rPr>
        <w:tab/>
        <w:t>“</w:t>
      </w:r>
      <w:r>
        <w:rPr>
          <w:rStyle w:val="CharDefText"/>
        </w:rPr>
        <w:t>pipeline</w:t>
      </w:r>
      <w:r>
        <w:rPr>
          <w:b/>
        </w:rPr>
        <w:t>”</w:t>
      </w:r>
      <w:r>
        <w:t xml:space="preserve"> includes pumping stations, tank stations or valve stations related to a pipeline;</w:t>
      </w:r>
    </w:p>
    <w:p>
      <w:pPr>
        <w:pStyle w:val="yDefstart"/>
      </w:pPr>
      <w:r>
        <w:rPr>
          <w:b/>
        </w:rPr>
        <w:tab/>
        <w:t>“</w:t>
      </w:r>
      <w:r>
        <w:rPr>
          <w:rStyle w:val="CharDefText"/>
        </w:rPr>
        <w:t>State Act</w:t>
      </w:r>
      <w:r>
        <w:rPr>
          <w:b/>
        </w:rPr>
        <w:t>”</w:t>
      </w:r>
      <w:r>
        <w:t>, in relation to a State, means the Act of that State that deals with the exploration for, and the exploitation of, the petroleum resources of submerged lands and contains a Schedule substantially corresponding to this Schedule, and includes that Act as amended from time to time.</w:t>
      </w:r>
    </w:p>
    <w:p>
      <w:pPr>
        <w:pStyle w:val="yDefstart"/>
      </w:pPr>
      <w:r>
        <w:rPr>
          <w:b/>
        </w:rPr>
        <w:tab/>
        <w:t>“</w:t>
      </w:r>
      <w:r>
        <w:rPr>
          <w:rStyle w:val="CharDefText"/>
        </w:rPr>
        <w:t>State jurisdiction</w:t>
      </w:r>
      <w:r>
        <w:rPr>
          <w:b/>
        </w:rPr>
        <w:t>”</w:t>
      </w:r>
      <w:r>
        <w:t xml:space="preserve"> in relation to a State, means the area comprised in the adjacent area under the State Act of that State;</w:t>
      </w:r>
    </w:p>
    <w:p>
      <w:pPr>
        <w:pStyle w:val="yDefstart"/>
      </w:pPr>
      <w:r>
        <w:rPr>
          <w:b/>
        </w:rPr>
        <w:tab/>
        <w:t>“</w:t>
      </w:r>
      <w:r>
        <w:rPr>
          <w:rStyle w:val="CharDefText"/>
        </w:rPr>
        <w:t>subsisting permit</w:t>
      </w:r>
      <w:r>
        <w:rPr>
          <w:b/>
        </w:rPr>
        <w:t>”</w:t>
      </w:r>
      <w:r>
        <w:t xml:space="preserve"> means an exploration permit for petroleum subsisting under the Commonwealth Act immediately before the commencing day, being a permit in respect of an area that is partly in the Commonwealth jurisdiction and partly in a State jurisdiction;</w:t>
      </w:r>
    </w:p>
    <w:p>
      <w:pPr>
        <w:pStyle w:val="yDefstart"/>
      </w:pPr>
      <w:r>
        <w:rPr>
          <w:b/>
        </w:rPr>
        <w:tab/>
        <w:t>“</w:t>
      </w:r>
      <w:r>
        <w:rPr>
          <w:rStyle w:val="CharDefText"/>
        </w:rPr>
        <w:t>subsisting pipeline licence</w:t>
      </w:r>
      <w:r>
        <w:rPr>
          <w:b/>
        </w:rPr>
        <w:t>”</w:t>
      </w:r>
      <w:r>
        <w:t xml:space="preserve"> means a pipeline licence subsisting under the Commonwealth Act immediately before the commencing day, being a pipeline licence in respect of a pipeline that is, or is to be, partly in the Commonwealth jurisdiction and partly in the State jurisdiction.</w:t>
      </w:r>
    </w:p>
    <w:p>
      <w:pPr>
        <w:pStyle w:val="ySubsection"/>
        <w:rPr>
          <w:snapToGrid w:val="0"/>
        </w:rPr>
      </w:pPr>
      <w:r>
        <w:rPr>
          <w:snapToGrid w:val="0"/>
        </w:rPr>
        <w:tab/>
        <w:t>(2)</w:t>
      </w:r>
      <w:r>
        <w:rPr>
          <w:snapToGrid w:val="0"/>
        </w:rPr>
        <w:tab/>
        <w:t>References in this scheme to a State shall, unless the contrary intention appears, be read as including references to the Northern Territory.</w:t>
      </w:r>
    </w:p>
    <w:p>
      <w:pPr>
        <w:pStyle w:val="yHeading5"/>
        <w:outlineLvl w:val="9"/>
      </w:pPr>
      <w:bookmarkStart w:id="1371" w:name="_Toc113772610"/>
      <w:bookmarkStart w:id="1372" w:name="_Toc170190730"/>
      <w:bookmarkStart w:id="1373" w:name="_Toc157933679"/>
      <w:r>
        <w:rPr>
          <w:rStyle w:val="CharSClsNo"/>
        </w:rPr>
        <w:t>2</w:t>
      </w:r>
      <w:r>
        <w:t>.</w:t>
      </w:r>
      <w:r>
        <w:tab/>
        <w:t>Subsisting permits to be deemed to be 2 permits</w:t>
      </w:r>
      <w:bookmarkEnd w:id="1371"/>
      <w:bookmarkEnd w:id="1372"/>
      <w:bookmarkEnd w:id="1373"/>
    </w:p>
    <w:p>
      <w:pPr>
        <w:pStyle w:val="ySubsection"/>
        <w:rPr>
          <w:snapToGrid w:val="0"/>
        </w:rPr>
      </w:pPr>
      <w:r>
        <w:rPr>
          <w:snapToGrid w:val="0"/>
        </w:rPr>
        <w:tab/>
        <w:t>(1)</w:t>
      </w:r>
      <w:r>
        <w:rPr>
          <w:snapToGrid w:val="0"/>
        </w:rPr>
        <w:tab/>
        <w:t>On and after the commencing day but subject to the law relating to surrender, cancellation, variation or suspension of permits, each subsisting permit shall be deemed to comprise 2 permits, being — </w:t>
      </w:r>
    </w:p>
    <w:p>
      <w:pPr>
        <w:pStyle w:val="yIndenta"/>
        <w:rPr>
          <w:snapToGrid w:val="0"/>
        </w:rPr>
      </w:pPr>
      <w:r>
        <w:rPr>
          <w:snapToGrid w:val="0"/>
        </w:rPr>
        <w:tab/>
        <w:t>(a)</w:t>
      </w:r>
      <w:r>
        <w:rPr>
          <w:snapToGrid w:val="0"/>
        </w:rPr>
        <w:tab/>
        <w:t>a permit under the Commonwealth Act, in respect of the portion of the permit area that is within the Commonwealth jurisdiction, for the balance of the period of the subsisting permit but otherwise in the same terms as the subsisting permit; and</w:t>
      </w:r>
    </w:p>
    <w:p>
      <w:pPr>
        <w:pStyle w:val="yIndenta"/>
        <w:rPr>
          <w:snapToGrid w:val="0"/>
        </w:rPr>
      </w:pPr>
      <w:r>
        <w:rPr>
          <w:snapToGrid w:val="0"/>
        </w:rPr>
        <w:tab/>
        <w:t>(b)</w:t>
      </w:r>
      <w:r>
        <w:rPr>
          <w:snapToGrid w:val="0"/>
        </w:rPr>
        <w:tab/>
        <w:t>a permit under the State Act, in respect of the portion of the permit area that is within the State jurisdiction of a State, for the balance of the period of the subsisting permit but otherwise in the same terms as the subsisting permit.</w:t>
      </w:r>
    </w:p>
    <w:p>
      <w:pPr>
        <w:pStyle w:val="ySubsection"/>
        <w:spacing w:before="120"/>
        <w:rPr>
          <w:snapToGrid w:val="0"/>
        </w:rPr>
      </w:pPr>
      <w:r>
        <w:rPr>
          <w:snapToGrid w:val="0"/>
        </w:rPr>
        <w:tab/>
        <w:t>(2)</w:t>
      </w:r>
      <w:r>
        <w:rPr>
          <w:snapToGrid w:val="0"/>
        </w:rPr>
        <w:tab/>
        <w:t>The carrying out of work or the expenditure of money by the permittee in or in relation to the permit area of either of the new permits (whether before or after the commencing day) is to be taken into account as performance to the extent of that work or expenditure of the conditions of both the new permits.</w:t>
      </w:r>
    </w:p>
    <w:p>
      <w:pPr>
        <w:pStyle w:val="ySubsection"/>
        <w:spacing w:before="120"/>
        <w:rPr>
          <w:snapToGrid w:val="0"/>
        </w:rPr>
      </w:pPr>
      <w:r>
        <w:rPr>
          <w:snapToGrid w:val="0"/>
        </w:rPr>
        <w:tab/>
        <w:t>(3)</w:t>
      </w:r>
      <w:r>
        <w:rPr>
          <w:snapToGrid w:val="0"/>
        </w:rPr>
        <w:tab/>
        <w:t>For the purposes of any condition of a new permit relating to the carrying out of work or the expending of moneys by the permittee — </w:t>
      </w:r>
    </w:p>
    <w:p>
      <w:pPr>
        <w:pStyle w:val="yIndenta"/>
        <w:rPr>
          <w:snapToGrid w:val="0"/>
        </w:rPr>
      </w:pPr>
      <w:r>
        <w:rPr>
          <w:snapToGrid w:val="0"/>
        </w:rPr>
        <w:tab/>
        <w:t>(a)</w:t>
      </w:r>
      <w:r>
        <w:rPr>
          <w:snapToGrid w:val="0"/>
        </w:rPr>
        <w:tab/>
        <w:t>a reference in that condition to a year of the permit shall be read as a reference to a year that was, or would have been, that year of the subsisting permit; and</w:t>
      </w:r>
    </w:p>
    <w:p>
      <w:pPr>
        <w:pStyle w:val="yIndenta"/>
        <w:rPr>
          <w:snapToGrid w:val="0"/>
        </w:rPr>
      </w:pPr>
      <w:r>
        <w:rPr>
          <w:snapToGrid w:val="0"/>
        </w:rPr>
        <w:tab/>
        <w:t>(b)</w:t>
      </w:r>
      <w:r>
        <w:rPr>
          <w:snapToGrid w:val="0"/>
        </w:rPr>
        <w:tab/>
        <w:t>the new permits shall be deemed to have been in force during the whole of the year of the subsisting permit that is current on the commencing day.</w:t>
      </w:r>
    </w:p>
    <w:p>
      <w:pPr>
        <w:pStyle w:val="ySubsection"/>
        <w:rPr>
          <w:snapToGrid w:val="0"/>
        </w:rPr>
      </w:pPr>
      <w:r>
        <w:rPr>
          <w:snapToGrid w:val="0"/>
        </w:rPr>
        <w:tab/>
        <w:t>(4)</w:t>
      </w:r>
      <w:r>
        <w:rPr>
          <w:snapToGrid w:val="0"/>
        </w:rPr>
        <w:tab/>
        <w:t>A variation or suspension of, or an exemption from compliance with, any of the conditions of a new permit arising out of a subsisting permit shall not have effect unless the same variation, suspension or exemption is effected in respect of the other new permit arising out of the same subsisting permit.</w:t>
      </w:r>
    </w:p>
    <w:p>
      <w:pPr>
        <w:pStyle w:val="ySubsection"/>
        <w:rPr>
          <w:snapToGrid w:val="0"/>
        </w:rPr>
      </w:pPr>
      <w:r>
        <w:rPr>
          <w:snapToGrid w:val="0"/>
        </w:rPr>
        <w:tab/>
        <w:t>(5)</w:t>
      </w:r>
      <w:r>
        <w:rPr>
          <w:snapToGrid w:val="0"/>
        </w:rPr>
        <w:tab/>
        <w:t>In a matter arising under a State Act in relation to a new permit, being a matter of a kind that, if it arose under the Commonwealth Act, would be a matter for decision by, or could be referred to, a Joint Authority established under the Commonwealth Act, the Designated Authority under the State Act shall not take action except after consultation with the Commonwealth Minister.</w:t>
      </w:r>
    </w:p>
    <w:p>
      <w:pPr>
        <w:pStyle w:val="yHeading5"/>
        <w:outlineLvl w:val="9"/>
      </w:pPr>
      <w:bookmarkStart w:id="1374" w:name="_Toc113772611"/>
      <w:bookmarkStart w:id="1375" w:name="_Toc170190731"/>
      <w:bookmarkStart w:id="1376" w:name="_Toc157933680"/>
      <w:r>
        <w:rPr>
          <w:rStyle w:val="CharSClsNo"/>
        </w:rPr>
        <w:t>3</w:t>
      </w:r>
      <w:r>
        <w:t>.</w:t>
      </w:r>
      <w:r>
        <w:tab/>
        <w:t>Renewal of permits</w:t>
      </w:r>
      <w:bookmarkEnd w:id="1374"/>
      <w:bookmarkEnd w:id="1375"/>
      <w:bookmarkEnd w:id="1376"/>
    </w:p>
    <w:p>
      <w:pPr>
        <w:pStyle w:val="ySubsection"/>
        <w:rPr>
          <w:snapToGrid w:val="0"/>
        </w:rPr>
      </w:pPr>
      <w:r>
        <w:rPr>
          <w:snapToGrid w:val="0"/>
        </w:rPr>
        <w:tab/>
        <w:t>(1)</w:t>
      </w:r>
      <w:r>
        <w:rPr>
          <w:snapToGrid w:val="0"/>
        </w:rPr>
        <w:tab/>
        <w:t>A person who holds 2 new permits arising out of a subsisting permit may apply under the Commonwealth Act for renewal of the new permit under that Act and may apply under the State Act for renewal of the new permit under that Act, or may make either of such applications.</w:t>
      </w:r>
    </w:p>
    <w:p>
      <w:pPr>
        <w:pStyle w:val="ySubsection"/>
        <w:rPr>
          <w:snapToGrid w:val="0"/>
        </w:rPr>
      </w:pPr>
      <w:r>
        <w:rPr>
          <w:snapToGrid w:val="0"/>
        </w:rPr>
        <w:tab/>
        <w:t>(2)</w:t>
      </w:r>
      <w:r>
        <w:rPr>
          <w:snapToGrid w:val="0"/>
        </w:rPr>
        <w:tab/>
        <w:t>If a person who was the holder of 2 new permits arising out of a subsisting permit has ceased to be the holder of one of those permits, he may apply under the Commonwealth Act or the State Act, whichever is appropriate, for renewal of the other new permit, and the relevant Act shall apply in relation to such an application as if the new permit had been a permit granted under that Act in respect of the blocks that are comprised in the new permit.</w:t>
      </w:r>
    </w:p>
    <w:p>
      <w:pPr>
        <w:pStyle w:val="ySubsection"/>
        <w:rPr>
          <w:snapToGrid w:val="0"/>
        </w:rPr>
      </w:pPr>
      <w:r>
        <w:rPr>
          <w:snapToGrid w:val="0"/>
        </w:rPr>
        <w:tab/>
        <w:t>(3)</w:t>
      </w:r>
      <w:r>
        <w:rPr>
          <w:snapToGrid w:val="0"/>
        </w:rPr>
        <w:tab/>
        <w:t>Where the holder of 2 new permits arising out of a subsisting permit wishes to apply for renewal of either or both of the new permits, the blocks that were comprised in the subsisting permit that may be included, in whole or in part, in the application or applications shall be selected in accordance with the Commonwealth Act as if the new permits were one permit under the Commonwealth Act and the application or applications were an application under that Act for renewal of that permit.</w:t>
      </w:r>
    </w:p>
    <w:p>
      <w:pPr>
        <w:pStyle w:val="ySubsection"/>
        <w:rPr>
          <w:snapToGrid w:val="0"/>
        </w:rPr>
      </w:pPr>
      <w:r>
        <w:rPr>
          <w:snapToGrid w:val="0"/>
        </w:rPr>
        <w:tab/>
        <w:t>(4)</w:t>
      </w:r>
      <w:r>
        <w:rPr>
          <w:snapToGrid w:val="0"/>
        </w:rPr>
        <w:tab/>
        <w:t>For the purposes of subclause (3), the Designated Authority under the Commonwealth Act may exercise his powers under section 31(5) and (6) of the Commonwealth Act.</w:t>
      </w:r>
    </w:p>
    <w:p>
      <w:pPr>
        <w:pStyle w:val="ySubsection"/>
        <w:rPr>
          <w:snapToGrid w:val="0"/>
        </w:rPr>
      </w:pPr>
      <w:r>
        <w:rPr>
          <w:snapToGrid w:val="0"/>
        </w:rPr>
        <w:tab/>
        <w:t>(5)</w:t>
      </w:r>
      <w:r>
        <w:rPr>
          <w:snapToGrid w:val="0"/>
        </w:rPr>
        <w:tab/>
        <w:t>An application referred to in subclause (3) under the Commonwealth Act shall relate to the blocks selected in accordance with that subclause, and parts of those blocks, that are within the Commonwealth jurisdiction and an application referred to in that subclause under the State Act shall relate to the blocks so selected, and parts of those blocks, that are within the State jurisdiction.</w:t>
      </w:r>
    </w:p>
    <w:p>
      <w:pPr>
        <w:pStyle w:val="ySubsection"/>
        <w:rPr>
          <w:snapToGrid w:val="0"/>
        </w:rPr>
      </w:pPr>
      <w:r>
        <w:rPr>
          <w:snapToGrid w:val="0"/>
        </w:rPr>
        <w:tab/>
        <w:t>(6)</w:t>
      </w:r>
      <w:r>
        <w:rPr>
          <w:snapToGrid w:val="0"/>
        </w:rPr>
        <w:tab/>
        <w:t>Subject to the foregoing provisions of this clause, an application under the Commonwealth Act made in accordance with this clause shall be dealt with under the Commonwealth Act and an application under the State Act made in accordance with this clause shall be dealt with under the State Act.</w:t>
      </w:r>
    </w:p>
    <w:p>
      <w:pPr>
        <w:pStyle w:val="ySubsection"/>
        <w:rPr>
          <w:snapToGrid w:val="0"/>
        </w:rPr>
      </w:pPr>
      <w:r>
        <w:rPr>
          <w:snapToGrid w:val="0"/>
        </w:rPr>
        <w:tab/>
        <w:t>(7)</w:t>
      </w:r>
      <w:r>
        <w:rPr>
          <w:snapToGrid w:val="0"/>
        </w:rPr>
        <w:tab/>
        <w:t>For the purposes of the application, in accordance with this clause, of the provisions of the Commonwealth Act or of the State Act relating to the renewal of permits, a reference in those provisions to compliance with the conditions to which the permit is subject shall be read as including a reference to compliance with the conditions to which the subsisting permit was subject before the commencing day.</w:t>
      </w:r>
    </w:p>
    <w:p>
      <w:pPr>
        <w:pStyle w:val="yHeading5"/>
        <w:outlineLvl w:val="9"/>
      </w:pPr>
      <w:bookmarkStart w:id="1377" w:name="_Toc113772612"/>
      <w:bookmarkStart w:id="1378" w:name="_Toc170190732"/>
      <w:bookmarkStart w:id="1379" w:name="_Toc157933681"/>
      <w:r>
        <w:rPr>
          <w:rStyle w:val="CharSClsNo"/>
        </w:rPr>
        <w:t>4</w:t>
      </w:r>
      <w:r>
        <w:t>.</w:t>
      </w:r>
      <w:r>
        <w:tab/>
        <w:t>Subsisting pipeline licences to be deemed to be 2 licences</w:t>
      </w:r>
      <w:bookmarkEnd w:id="1377"/>
      <w:bookmarkEnd w:id="1378"/>
      <w:bookmarkEnd w:id="1379"/>
    </w:p>
    <w:p>
      <w:pPr>
        <w:pStyle w:val="ySubsection"/>
        <w:rPr>
          <w:snapToGrid w:val="0"/>
        </w:rPr>
      </w:pPr>
      <w:r>
        <w:rPr>
          <w:snapToGrid w:val="0"/>
        </w:rPr>
        <w:tab/>
        <w:t>(1)</w:t>
      </w:r>
      <w:r>
        <w:rPr>
          <w:snapToGrid w:val="0"/>
        </w:rPr>
        <w:tab/>
        <w:t>On and after the commencing day but subject to the law relating to surrender, cancellation or variation of pipeline licences, each subsisting pipeline licence shall be deemed to comprise 2 pipeline licences, being — </w:t>
      </w:r>
    </w:p>
    <w:p>
      <w:pPr>
        <w:pStyle w:val="yIndenta"/>
        <w:rPr>
          <w:snapToGrid w:val="0"/>
        </w:rPr>
      </w:pPr>
      <w:r>
        <w:rPr>
          <w:snapToGrid w:val="0"/>
        </w:rPr>
        <w:tab/>
        <w:t>(a)</w:t>
      </w:r>
      <w:r>
        <w:rPr>
          <w:snapToGrid w:val="0"/>
        </w:rPr>
        <w:tab/>
        <w:t>a pipeline licence under the Commonwealth Act, in respect of the portion of the pipeline that is, or is to be, within the Commonwealth jurisdiction,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the Commonwealth jurisdiction; and</w:t>
      </w:r>
    </w:p>
    <w:p>
      <w:pPr>
        <w:pStyle w:val="yIndenta"/>
        <w:rPr>
          <w:snapToGrid w:val="0"/>
        </w:rPr>
      </w:pPr>
      <w:r>
        <w:rPr>
          <w:snapToGrid w:val="0"/>
        </w:rPr>
        <w:tab/>
        <w:t>(b)</w:t>
      </w:r>
      <w:r>
        <w:rPr>
          <w:snapToGrid w:val="0"/>
        </w:rPr>
        <w:tab/>
        <w:t>a pipeline licence under the State Act, in respect of the portion of the pipeline that is, or is to be, within the State jurisdiction of a State,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that State jurisdiction.</w:t>
      </w:r>
    </w:p>
    <w:p>
      <w:pPr>
        <w:pStyle w:val="ySubsection"/>
        <w:rPr>
          <w:snapToGrid w:val="0"/>
        </w:rPr>
      </w:pPr>
      <w:r>
        <w:rPr>
          <w:snapToGrid w:val="0"/>
        </w:rPr>
        <w:tab/>
        <w:t>(2)</w:t>
      </w:r>
      <w:r>
        <w:rPr>
          <w:snapToGrid w:val="0"/>
        </w:rPr>
        <w:tab/>
        <w:t>For the purposes of the application, in relation to a new pipeline licence, of the provisions of the Commonwealth Act or of the State Act relating to the renewal of pipeline licences, a reference in those provisions to compliance with the conditions to which the pipeline licence is subject shall be read as including a reference to compliance with the conditions to which the subsisting pipeline licence was subject before the commencing day.</w:t>
      </w:r>
    </w:p>
    <w:p>
      <w:pPr>
        <w:pStyle w:val="yHeading5"/>
        <w:outlineLvl w:val="9"/>
      </w:pPr>
      <w:bookmarkStart w:id="1380" w:name="_Toc113772613"/>
      <w:bookmarkStart w:id="1381" w:name="_Toc170190733"/>
      <w:bookmarkStart w:id="1382" w:name="_Toc157933682"/>
      <w:r>
        <w:rPr>
          <w:rStyle w:val="CharSClsNo"/>
        </w:rPr>
        <w:t>5</w:t>
      </w:r>
      <w:r>
        <w:t>.</w:t>
      </w:r>
      <w:r>
        <w:tab/>
        <w:t>Transfer of permits and pipeline licences</w:t>
      </w:r>
      <w:bookmarkEnd w:id="1380"/>
      <w:bookmarkEnd w:id="1381"/>
      <w:bookmarkEnd w:id="1382"/>
    </w:p>
    <w:p>
      <w:pPr>
        <w:pStyle w:val="ySubsection"/>
        <w:rPr>
          <w:snapToGrid w:val="0"/>
        </w:rPr>
      </w:pPr>
      <w:r>
        <w:rPr>
          <w:snapToGrid w:val="0"/>
        </w:rPr>
        <w:tab/>
      </w:r>
      <w:r>
        <w:rPr>
          <w:snapToGrid w:val="0"/>
        </w:rPr>
        <w:tab/>
        <w:t>A transfer of a new permit arising out of a subsisting permit or of a new pipeline licence arising out of a subsisting pipeline licence shall not be made unless a transfer to the same transferee of the other new permit or new pipeline licence arising out of that subsisting permit or subsisting pipeline licence (if that other permit or licence is still in force) is made at the same time and neither of such transfers has effect before the other transfer has been approved in accordance with the Commonwealth Act, or the State Act, as the case requires.</w:t>
      </w:r>
    </w:p>
    <w:p>
      <w:pPr>
        <w:pStyle w:val="yHeading5"/>
        <w:outlineLvl w:val="9"/>
      </w:pPr>
      <w:bookmarkStart w:id="1383" w:name="_Toc113772614"/>
      <w:bookmarkStart w:id="1384" w:name="_Toc170190734"/>
      <w:bookmarkStart w:id="1385" w:name="_Toc157933683"/>
      <w:r>
        <w:rPr>
          <w:rStyle w:val="CharSClsNo"/>
        </w:rPr>
        <w:t>6</w:t>
      </w:r>
      <w:r>
        <w:t>.</w:t>
      </w:r>
      <w:r>
        <w:tab/>
        <w:t>Preservation of existing interests and rights</w:t>
      </w:r>
      <w:bookmarkEnd w:id="1383"/>
      <w:bookmarkEnd w:id="1384"/>
      <w:bookmarkEnd w:id="1385"/>
    </w:p>
    <w:p>
      <w:pPr>
        <w:pStyle w:val="ySubsection"/>
        <w:rPr>
          <w:snapToGrid w:val="0"/>
        </w:rPr>
      </w:pPr>
      <w:r>
        <w:rPr>
          <w:snapToGrid w:val="0"/>
        </w:rPr>
        <w:tab/>
      </w:r>
      <w:r>
        <w:rPr>
          <w:snapToGrid w:val="0"/>
        </w:rPr>
        <w:tab/>
        <w:t>All legal and equitable interests and rights that existed immediately before the commencing day in or in relation to a subsisting permit or subsisting pipeline licence, to the extent that those interests or rights were applicable in relation to the permit area of a new permit arising out of that subsisting permit, or to the portion of the pipeline to which a new pipeline licence arising out of the subsisting pipeline licence relates, shall be deemed to continue in or in relation to that new permit or new pipeline licence.</w:t>
      </w:r>
    </w:p>
    <w:p>
      <w:pPr>
        <w:pStyle w:val="yHeading5"/>
        <w:outlineLvl w:val="9"/>
      </w:pPr>
      <w:bookmarkStart w:id="1386" w:name="_Toc113772615"/>
      <w:bookmarkStart w:id="1387" w:name="_Toc170190735"/>
      <w:bookmarkStart w:id="1388" w:name="_Toc157933684"/>
      <w:r>
        <w:rPr>
          <w:rStyle w:val="CharSClsNo"/>
        </w:rPr>
        <w:t>7</w:t>
      </w:r>
      <w:r>
        <w:t>.</w:t>
      </w:r>
      <w:r>
        <w:tab/>
        <w:t>Saving of approvals, consents and directions</w:t>
      </w:r>
      <w:bookmarkEnd w:id="1386"/>
      <w:bookmarkEnd w:id="1387"/>
      <w:bookmarkEnd w:id="1388"/>
    </w:p>
    <w:p>
      <w:pPr>
        <w:pStyle w:val="ySubsection"/>
        <w:rPr>
          <w:snapToGrid w:val="0"/>
        </w:rPr>
      </w:pPr>
      <w:r>
        <w:rPr>
          <w:snapToGrid w:val="0"/>
        </w:rPr>
        <w:tab/>
      </w:r>
      <w:r>
        <w:rPr>
          <w:snapToGrid w:val="0"/>
        </w:rPr>
        <w:tab/>
        <w:t>Every approval, consent or direction given before the commencing day under or in relation to a subsisting permit or subsisting pipeline licence has effect, on and after the commencing day, in relation to each new permit or new pipeline licence arising out of that subsisting permit or subsisting pipeline licence, as if it were a corresponding approval, consent or direction given under or in relation to that new permit or new pipeline licence.</w:t>
      </w:r>
    </w:p>
    <w:p>
      <w:pPr>
        <w:pStyle w:val="yHeading5"/>
        <w:outlineLvl w:val="9"/>
      </w:pPr>
      <w:bookmarkStart w:id="1389" w:name="_Toc113772616"/>
      <w:bookmarkStart w:id="1390" w:name="_Toc170190736"/>
      <w:bookmarkStart w:id="1391" w:name="_Toc157933685"/>
      <w:r>
        <w:rPr>
          <w:rStyle w:val="CharSClsNo"/>
        </w:rPr>
        <w:t>8</w:t>
      </w:r>
      <w:r>
        <w:t>.</w:t>
      </w:r>
      <w:r>
        <w:tab/>
        <w:t>Existing Register</w:t>
      </w:r>
      <w:bookmarkEnd w:id="1389"/>
      <w:bookmarkEnd w:id="1390"/>
      <w:bookmarkEnd w:id="1391"/>
    </w:p>
    <w:p>
      <w:pPr>
        <w:pStyle w:val="ySubsection"/>
        <w:rPr>
          <w:snapToGrid w:val="0"/>
        </w:rPr>
      </w:pPr>
      <w:r>
        <w:rPr>
          <w:snapToGrid w:val="0"/>
        </w:rPr>
        <w:tab/>
      </w:r>
      <w:r>
        <w:rPr>
          <w:snapToGrid w:val="0"/>
        </w:rPr>
        <w:tab/>
        <w:t>The Register kept and maintained by the Designated Authority for the purposes of the Commonwealth Act immediately before the commencing day shall continue to be the Register for the purposes of the Commonwealth Act and, except as provided in clause 9, shall cease on that day to be the Register for the purposes of a State Act.</w:t>
      </w:r>
    </w:p>
    <w:p>
      <w:pPr>
        <w:pStyle w:val="yHeading5"/>
        <w:outlineLvl w:val="9"/>
      </w:pPr>
      <w:bookmarkStart w:id="1392" w:name="_Toc113772617"/>
      <w:bookmarkStart w:id="1393" w:name="_Toc170190737"/>
      <w:bookmarkStart w:id="1394" w:name="_Toc157933686"/>
      <w:r>
        <w:rPr>
          <w:rStyle w:val="CharSClsNo"/>
        </w:rPr>
        <w:t>9</w:t>
      </w:r>
      <w:r>
        <w:t>.</w:t>
      </w:r>
      <w:r>
        <w:tab/>
        <w:t>Registration of, and of instruments relating to, subsisting permits and pipeline licences</w:t>
      </w:r>
      <w:bookmarkEnd w:id="1392"/>
      <w:bookmarkEnd w:id="1393"/>
      <w:bookmarkEnd w:id="1394"/>
    </w:p>
    <w:p>
      <w:pPr>
        <w:pStyle w:val="ySubsection"/>
        <w:rPr>
          <w:snapToGrid w:val="0"/>
        </w:rPr>
      </w:pPr>
      <w:r>
        <w:rPr>
          <w:snapToGrid w:val="0"/>
        </w:rPr>
        <w:tab/>
        <w:t>(1)</w:t>
      </w:r>
      <w:r>
        <w:rPr>
          <w:snapToGrid w:val="0"/>
        </w:rPr>
        <w:tab/>
        <w:t>This clause applies to — </w:t>
      </w:r>
    </w:p>
    <w:p>
      <w:pPr>
        <w:pStyle w:val="yIndenta"/>
        <w:rPr>
          <w:snapToGrid w:val="0"/>
        </w:rPr>
      </w:pPr>
      <w:r>
        <w:rPr>
          <w:snapToGrid w:val="0"/>
        </w:rPr>
        <w:tab/>
        <w:t>(a)</w:t>
      </w:r>
      <w:r>
        <w:rPr>
          <w:snapToGrid w:val="0"/>
        </w:rPr>
        <w:tab/>
        <w:t>every instrument being a subsisting permit or subsisting pipeline licence; and</w:t>
      </w:r>
    </w:p>
    <w:p>
      <w:pPr>
        <w:pStyle w:val="yIndenta"/>
        <w:rPr>
          <w:snapToGrid w:val="0"/>
        </w:rPr>
      </w:pPr>
      <w:r>
        <w:rPr>
          <w:snapToGrid w:val="0"/>
        </w:rPr>
        <w:tab/>
        <w:t>(b)</w:t>
      </w:r>
      <w:r>
        <w:rPr>
          <w:snapToGrid w:val="0"/>
        </w:rPr>
        <w:tab/>
        <w:t>any instrument by which such a permit or licence has been transferred or by which a legal or equitable interest in or affecting such a permit or licence has or may have been created, assigned, affected or dealt with, being an instrument in respect of which an entry or notation has been made before the commencing day in the Register kept for the purposes of the Commonwealth Act.</w:t>
      </w:r>
    </w:p>
    <w:p>
      <w:pPr>
        <w:pStyle w:val="ySubsection"/>
        <w:rPr>
          <w:snapToGrid w:val="0"/>
        </w:rPr>
      </w:pPr>
      <w:r>
        <w:rPr>
          <w:snapToGrid w:val="0"/>
        </w:rPr>
        <w:tab/>
        <w:t>(2)</w:t>
      </w:r>
      <w:r>
        <w:rPr>
          <w:snapToGrid w:val="0"/>
        </w:rPr>
        <w:tab/>
        <w:t>On the commencing day, the Designated Authority under the Commonwealth Act shall forthwith make such entries in the Register referred to in subclause (1) and on copies of instruments to which this clause applies that are kept by him as he thinks appropriate to indicate that instruments to which this clause applies have effect subject to the provisions of this Scheme.</w:t>
      </w:r>
    </w:p>
    <w:p>
      <w:pPr>
        <w:pStyle w:val="ySubsection"/>
        <w:rPr>
          <w:snapToGrid w:val="0"/>
        </w:rPr>
      </w:pPr>
      <w:r>
        <w:rPr>
          <w:snapToGrid w:val="0"/>
        </w:rPr>
        <w:tab/>
        <w:t>(3)</w:t>
      </w:r>
      <w:r>
        <w:rPr>
          <w:snapToGrid w:val="0"/>
        </w:rPr>
        <w:tab/>
        <w:t>For the purposes of the State Act but subject to subclause (4), the Commonwealth Register shall be deemed to be the State Register in relation to instruments to which this clause applies to the extent that they have effect under the State Act in accordance with this Scheme, transfers of interests under such instruments, and instruments by which legal or equitable interests in or affecting interests under such instruments are or may be created.</w:t>
      </w:r>
    </w:p>
    <w:p>
      <w:pPr>
        <w:pStyle w:val="ySubsection"/>
        <w:rPr>
          <w:snapToGrid w:val="0"/>
        </w:rPr>
      </w:pPr>
      <w:r>
        <w:rPr>
          <w:snapToGrid w:val="0"/>
        </w:rPr>
        <w:tab/>
        <w:t>(4)</w:t>
      </w:r>
      <w:r>
        <w:rPr>
          <w:snapToGrid w:val="0"/>
        </w:rPr>
        <w:tab/>
        <w:t>The Designated Authority under a State Act may, if he thinks fit to do so, make entries in the Register kept by him under the State Act, in accordance with the State Act, in respect of a subsisting permit or subsisting pipeline licence that has effect, in accordance with this Scheme, under the law of the State, and if he does so — </w:t>
      </w:r>
    </w:p>
    <w:p>
      <w:pPr>
        <w:pStyle w:val="yIndenta"/>
        <w:rPr>
          <w:snapToGrid w:val="0"/>
        </w:rPr>
      </w:pPr>
      <w:r>
        <w:rPr>
          <w:snapToGrid w:val="0"/>
        </w:rPr>
        <w:tab/>
        <w:t>(a)</w:t>
      </w:r>
      <w:r>
        <w:rPr>
          <w:snapToGrid w:val="0"/>
        </w:rPr>
        <w:tab/>
        <w:t>he shall make an appropriate entry of the kind referred to in subclause (2); and</w:t>
      </w:r>
    </w:p>
    <w:p>
      <w:pPr>
        <w:pStyle w:val="yIndenta"/>
        <w:rPr>
          <w:snapToGrid w:val="0"/>
        </w:rPr>
      </w:pPr>
      <w:r>
        <w:rPr>
          <w:snapToGrid w:val="0"/>
        </w:rPr>
        <w:tab/>
        <w:t>(b)</w:t>
      </w:r>
      <w:r>
        <w:rPr>
          <w:snapToGrid w:val="0"/>
        </w:rPr>
        <w:tab/>
        <w:t>the Commonwealth Register shall cease to be deemed to be the State Register in relation to that permit or licence to the extent that it has effect under the State Act in accordance with this Scheme, or in relation to instruments of the kind referred to in subclause (3) affecting that permit or licence as so having effect.</w:t>
      </w:r>
    </w:p>
    <w:p>
      <w:pPr>
        <w:pStyle w:val="yHeading5"/>
        <w:outlineLvl w:val="9"/>
      </w:pPr>
      <w:bookmarkStart w:id="1395" w:name="_Toc113772618"/>
      <w:bookmarkStart w:id="1396" w:name="_Toc170190738"/>
      <w:bookmarkStart w:id="1397" w:name="_Toc157933687"/>
      <w:r>
        <w:rPr>
          <w:rStyle w:val="CharSClsNo"/>
        </w:rPr>
        <w:t>10</w:t>
      </w:r>
      <w:r>
        <w:t>.</w:t>
      </w:r>
      <w:r>
        <w:tab/>
        <w:t>Fees</w:t>
      </w:r>
      <w:bookmarkEnd w:id="1395"/>
      <w:bookmarkEnd w:id="1396"/>
      <w:bookmarkEnd w:id="1397"/>
    </w:p>
    <w:p>
      <w:pPr>
        <w:pStyle w:val="ySubsection"/>
        <w:rPr>
          <w:snapToGrid w:val="0"/>
        </w:rPr>
      </w:pPr>
      <w:r>
        <w:rPr>
          <w:snapToGrid w:val="0"/>
        </w:rPr>
        <w:tab/>
      </w:r>
      <w:r>
        <w:rPr>
          <w:snapToGrid w:val="0"/>
        </w:rPr>
        <w:tab/>
        <w:t>In the application in relation to, or to transactions in respect of, a new permit or new pipeline licence of the laws of the Commonwealth and of the States relating to fees — </w:t>
      </w:r>
    </w:p>
    <w:p>
      <w:pPr>
        <w:pStyle w:val="yIndenta"/>
        <w:rPr>
          <w:snapToGrid w:val="0"/>
        </w:rPr>
      </w:pPr>
      <w:r>
        <w:rPr>
          <w:snapToGrid w:val="0"/>
        </w:rPr>
        <w:tab/>
        <w:t>(a)</w:t>
      </w:r>
      <w:r>
        <w:rPr>
          <w:snapToGrid w:val="0"/>
        </w:rPr>
        <w:tab/>
        <w:t>a reference to a year of the term of the permit or pipeline licence shall be read as a reference to a year that would have been a year of the term of the subsisting permit or subsisting pipeline licence commencing on or after the commencing day;</w:t>
      </w:r>
    </w:p>
    <w:p>
      <w:pPr>
        <w:pStyle w:val="yIndenta"/>
        <w:rPr>
          <w:snapToGrid w:val="0"/>
        </w:rPr>
      </w:pPr>
      <w:r>
        <w:rPr>
          <w:snapToGrid w:val="0"/>
        </w:rPr>
        <w:tab/>
        <w:t>(b)</w:t>
      </w:r>
      <w:r>
        <w:rPr>
          <w:snapToGrid w:val="0"/>
        </w:rPr>
        <w:tab/>
        <w:t>fees in respect of a year of the term of the subsisting permit or subsisting pipeline licence that commenced before the commencing day and not paid before the commencing day shall be payable in accordance with the law that was in force immediately before that day; and</w:t>
      </w:r>
    </w:p>
    <w:p>
      <w:pPr>
        <w:pStyle w:val="yIndenta"/>
        <w:rPr>
          <w:snapToGrid w:val="0"/>
        </w:rPr>
      </w:pPr>
      <w:r>
        <w:rPr>
          <w:snapToGrid w:val="0"/>
        </w:rPr>
        <w:tab/>
        <w:t>(c)</w:t>
      </w:r>
      <w:r>
        <w:rPr>
          <w:snapToGrid w:val="0"/>
        </w:rPr>
        <w:tab/>
        <w:t>a person is not liable to pay by way of such fees in respect of any year or transaction, a greater total amount than would have been payable if the subsisting permit or subsisting pipeline licence had continued in force and the whole of the permit area, or the whole of the pipeline, had been within the Commonwealth jurisdiction.</w:t>
      </w:r>
    </w:p>
    <w:p>
      <w:pPr>
        <w:pStyle w:val="yScheduleHeading"/>
      </w:pPr>
      <w:bookmarkStart w:id="1398" w:name="UpToHere"/>
      <w:bookmarkStart w:id="1399" w:name="_Toc113772619"/>
      <w:bookmarkStart w:id="1400" w:name="_Toc156977104"/>
      <w:bookmarkStart w:id="1401" w:name="_Toc157933688"/>
      <w:bookmarkStart w:id="1402" w:name="_Toc162761348"/>
      <w:bookmarkStart w:id="1403" w:name="_Toc170190739"/>
      <w:bookmarkEnd w:id="1398"/>
      <w:r>
        <w:rPr>
          <w:rStyle w:val="CharSchNo"/>
        </w:rPr>
        <w:t>Schedule 4</w:t>
      </w:r>
      <w:bookmarkEnd w:id="1399"/>
      <w:bookmarkEnd w:id="1400"/>
      <w:bookmarkEnd w:id="1401"/>
      <w:bookmarkEnd w:id="1402"/>
      <w:bookmarkEnd w:id="1403"/>
    </w:p>
    <w:p>
      <w:pPr>
        <w:pStyle w:val="yShoulderClause"/>
      </w:pPr>
      <w:r>
        <w:t>[Section 3(5)]</w:t>
      </w:r>
    </w:p>
    <w:p>
      <w:pPr>
        <w:pStyle w:val="yTable"/>
        <w:spacing w:before="40"/>
        <w:jc w:val="center"/>
        <w:rPr>
          <w:b/>
          <w:snapToGrid w:val="0"/>
        </w:rPr>
      </w:pPr>
      <w:r>
        <w:rPr>
          <w:b/>
          <w:snapToGrid w:val="0"/>
        </w:rPr>
        <w:t>Transitional provisions</w:t>
      </w:r>
    </w:p>
    <w:p>
      <w:pPr>
        <w:pStyle w:val="yHeading5"/>
        <w:outlineLvl w:val="9"/>
      </w:pPr>
      <w:bookmarkStart w:id="1404" w:name="_Toc113772620"/>
      <w:bookmarkStart w:id="1405" w:name="_Toc170190740"/>
      <w:bookmarkStart w:id="1406" w:name="_Toc157933689"/>
      <w:r>
        <w:rPr>
          <w:rStyle w:val="CharSClsNo"/>
        </w:rPr>
        <w:t>1</w:t>
      </w:r>
      <w:r>
        <w:t>.</w:t>
      </w:r>
      <w:r>
        <w:tab/>
        <w:t>Transitional provisions relating to Barrow Island lease</w:t>
      </w:r>
      <w:bookmarkEnd w:id="1404"/>
      <w:bookmarkEnd w:id="1405"/>
      <w:bookmarkEnd w:id="1406"/>
    </w:p>
    <w:p>
      <w:pPr>
        <w:pStyle w:val="ySubsection"/>
        <w:rPr>
          <w:snapToGrid w:val="0"/>
        </w:rPr>
      </w:pPr>
      <w:r>
        <w:rPr>
          <w:snapToGrid w:val="0"/>
        </w:rPr>
        <w:tab/>
        <w:t>(1)</w:t>
      </w:r>
      <w:r>
        <w:rPr>
          <w:snapToGrid w:val="0"/>
        </w:rPr>
        <w:tab/>
        <w:t>When the Barrow Island lease is surrendered under and in accordance with clause 21 thereof, the lessee for the time being under that lease may make an application for the grant to him of a licence in respect of such portions of the adjacent area as are comprised in the land described and delineated in the First Schedule to that lease.</w:t>
      </w:r>
    </w:p>
    <w:p>
      <w:pPr>
        <w:pStyle w:val="ySubsection"/>
        <w:rPr>
          <w:snapToGrid w:val="0"/>
        </w:rPr>
      </w:pPr>
      <w:r>
        <w:rPr>
          <w:snapToGrid w:val="0"/>
        </w:rPr>
        <w:tab/>
        <w:t>(2)</w:t>
      </w:r>
      <w:r>
        <w:rPr>
          <w:snapToGrid w:val="0"/>
        </w:rPr>
        <w:tab/>
        <w:t>An application under subclause (1) — </w:t>
      </w:r>
    </w:p>
    <w:p>
      <w:pPr>
        <w:pStyle w:val="yIndenta"/>
        <w:rPr>
          <w:snapToGrid w:val="0"/>
        </w:rPr>
      </w:pPr>
      <w:r>
        <w:rPr>
          <w:snapToGrid w:val="0"/>
        </w:rPr>
        <w:tab/>
        <w:t>(a)</w:t>
      </w:r>
      <w:r>
        <w:rPr>
          <w:snapToGrid w:val="0"/>
        </w:rPr>
        <w:tab/>
        <w:t>shall comply with section 41(1)(a) and (b), but is not otherwise required to comply with that subsection; and</w:t>
      </w:r>
    </w:p>
    <w:p>
      <w:pPr>
        <w:pStyle w:val="yIndenta"/>
        <w:rPr>
          <w:snapToGrid w:val="0"/>
        </w:rPr>
      </w:pPr>
      <w:r>
        <w:rPr>
          <w:snapToGrid w:val="0"/>
        </w:rPr>
        <w:tab/>
        <w:t>(b)</w:t>
      </w:r>
      <w:r>
        <w:rPr>
          <w:snapToGrid w:val="0"/>
        </w:rPr>
        <w:tab/>
        <w:t>shall be accompanied by particulars of the proposals of the applicant for work and expenditure in respect of the portions of the adjacent area specified in the application.</w:t>
      </w:r>
    </w:p>
    <w:p>
      <w:pPr>
        <w:pStyle w:val="ySubsection"/>
        <w:rPr>
          <w:snapToGrid w:val="0"/>
        </w:rPr>
      </w:pPr>
      <w:r>
        <w:rPr>
          <w:snapToGrid w:val="0"/>
        </w:rPr>
        <w:tab/>
        <w:t>(3)</w:t>
      </w:r>
      <w:r>
        <w:rPr>
          <w:snapToGrid w:val="0"/>
        </w:rPr>
        <w:tab/>
        <w:t>The Minister may, at any time, by instrument in writing, served on the applicant, require him to furnish within the time specified therein, such further information in connection with his application as is so specified.</w:t>
      </w:r>
    </w:p>
    <w:p>
      <w:pPr>
        <w:pStyle w:val="ySubsection"/>
        <w:rPr>
          <w:snapToGrid w:val="0"/>
        </w:rPr>
      </w:pPr>
      <w:r>
        <w:rPr>
          <w:snapToGrid w:val="0"/>
        </w:rPr>
        <w:tab/>
        <w:t>(4)</w:t>
      </w:r>
      <w:r>
        <w:rPr>
          <w:snapToGrid w:val="0"/>
        </w:rPr>
        <w:tab/>
        <w:t>The Minister may direct the holder of a licence granted on an application made under this clause to maintain insurance in terms of section 97A and that section shall apply to and in relation to that insurance.</w:t>
      </w:r>
    </w:p>
    <w:p>
      <w:pPr>
        <w:pStyle w:val="ySubsection"/>
        <w:rPr>
          <w:snapToGrid w:val="0"/>
        </w:rPr>
      </w:pPr>
      <w:r>
        <w:rPr>
          <w:snapToGrid w:val="0"/>
        </w:rPr>
        <w:tab/>
        <w:t>(5)</w:t>
      </w:r>
      <w:r>
        <w:rPr>
          <w:snapToGrid w:val="0"/>
        </w:rPr>
        <w:tab/>
        <w:t>Where the lessee — </w:t>
      </w:r>
    </w:p>
    <w:p>
      <w:pPr>
        <w:pStyle w:val="yIndenta"/>
        <w:rPr>
          <w:snapToGrid w:val="0"/>
        </w:rPr>
      </w:pPr>
      <w:r>
        <w:rPr>
          <w:snapToGrid w:val="0"/>
        </w:rPr>
        <w:tab/>
        <w:t>(a)</w:t>
      </w:r>
      <w:r>
        <w:rPr>
          <w:snapToGrid w:val="0"/>
        </w:rPr>
        <w:tab/>
        <w:t>makes an application in accordance with this clause;</w:t>
      </w:r>
    </w:p>
    <w:p>
      <w:pPr>
        <w:pStyle w:val="yIndenta"/>
        <w:rPr>
          <w:snapToGrid w:val="0"/>
        </w:rPr>
      </w:pPr>
      <w:r>
        <w:rPr>
          <w:snapToGrid w:val="0"/>
        </w:rPr>
        <w:tab/>
        <w:t>(b)</w:t>
      </w:r>
      <w:r>
        <w:rPr>
          <w:snapToGrid w:val="0"/>
        </w:rPr>
        <w:tab/>
        <w:t>furnishes the information, if any, required by the Minister under subclause (3); and</w:t>
      </w:r>
    </w:p>
    <w:p>
      <w:pPr>
        <w:pStyle w:val="yIndenta"/>
        <w:rPr>
          <w:snapToGrid w:val="0"/>
        </w:rPr>
      </w:pPr>
      <w:r>
        <w:rPr>
          <w:snapToGrid w:val="0"/>
        </w:rPr>
        <w:tab/>
        <w:t>(c)</w:t>
      </w:r>
      <w:r>
        <w:rPr>
          <w:snapToGrid w:val="0"/>
        </w:rPr>
        <w:tab/>
        <w:t>lodges with the Minister the security referred to in subclause (4), if it is required pursuant to that subclause,</w:t>
      </w:r>
    </w:p>
    <w:p>
      <w:pPr>
        <w:pStyle w:val="ySubsection"/>
        <w:rPr>
          <w:snapToGrid w:val="0"/>
        </w:rPr>
      </w:pPr>
      <w:r>
        <w:rPr>
          <w:snapToGrid w:val="0"/>
        </w:rPr>
        <w:tab/>
      </w:r>
      <w:r>
        <w:rPr>
          <w:snapToGrid w:val="0"/>
        </w:rPr>
        <w:tab/>
        <w:t>the Minister shall grant to the lessee a licence in respect of the portions of the adjacent area specified in the application.</w:t>
      </w:r>
    </w:p>
    <w:p>
      <w:pPr>
        <w:pStyle w:val="ySubsection"/>
        <w:rPr>
          <w:snapToGrid w:val="0"/>
        </w:rPr>
      </w:pPr>
      <w:r>
        <w:rPr>
          <w:snapToGrid w:val="0"/>
        </w:rPr>
        <w:tab/>
        <w:t>(6)</w:t>
      </w:r>
      <w:r>
        <w:rPr>
          <w:snapToGrid w:val="0"/>
        </w:rPr>
        <w:tab/>
        <w:t xml:space="preserve">In the application of Part III to and in relation to a licence granted on an application under this clause, references to </w:t>
      </w:r>
      <w:r>
        <w:rPr>
          <w:b/>
          <w:snapToGrid w:val="0"/>
        </w:rPr>
        <w:t>“</w:t>
      </w:r>
      <w:r>
        <w:rPr>
          <w:rStyle w:val="CharDefText"/>
        </w:rPr>
        <w:t>the licence area</w:t>
      </w:r>
      <w:r>
        <w:rPr>
          <w:b/>
          <w:snapToGrid w:val="0"/>
        </w:rPr>
        <w:t>”</w:t>
      </w:r>
      <w:r>
        <w:rPr>
          <w:snapToGrid w:val="0"/>
        </w:rPr>
        <w:t xml:space="preserve"> are references to the portions of the adjacent area the subject of the licence.</w:t>
      </w:r>
    </w:p>
    <w:p>
      <w:pPr>
        <w:pStyle w:val="ySubsection"/>
        <w:rPr>
          <w:snapToGrid w:val="0"/>
        </w:rPr>
      </w:pPr>
      <w:r>
        <w:rPr>
          <w:snapToGrid w:val="0"/>
        </w:rPr>
        <w:tab/>
        <w:t>(7)</w:t>
      </w:r>
      <w:r>
        <w:rPr>
          <w:snapToGrid w:val="0"/>
        </w:rPr>
        <w:tab/>
        <w:t>It is not an offence against section 39 for the lessee for the time being of the Barrow Island lease to carry on operations for the recovery of petroleum in the adjacent area in accordance with the Barrow Island lease.</w:t>
      </w:r>
    </w:p>
    <w:p>
      <w:pPr>
        <w:pStyle w:val="ySubsection"/>
        <w:rPr>
          <w:snapToGrid w:val="0"/>
        </w:rPr>
      </w:pPr>
      <w:r>
        <w:rPr>
          <w:snapToGrid w:val="0"/>
        </w:rPr>
        <w:tab/>
        <w:t>(8)</w:t>
      </w:r>
      <w:r>
        <w:rPr>
          <w:snapToGrid w:val="0"/>
        </w:rPr>
        <w:tab/>
        <w:t>Except as provided by this clause, Part III applies to and in relation to a licence granted on an application made under this clause.</w:t>
      </w:r>
    </w:p>
    <w:p>
      <w:pPr>
        <w:pStyle w:val="ySubsection"/>
        <w:rPr>
          <w:snapToGrid w:val="0"/>
        </w:rPr>
      </w:pPr>
      <w:r>
        <w:rPr>
          <w:snapToGrid w:val="0"/>
        </w:rPr>
        <w:tab/>
        <w:t>(9)</w:t>
      </w:r>
      <w:r>
        <w:rPr>
          <w:snapToGrid w:val="0"/>
        </w:rPr>
        <w:tab/>
        <w:t xml:space="preserve">In this clause the </w:t>
      </w:r>
      <w:r>
        <w:rPr>
          <w:b/>
          <w:snapToGrid w:val="0"/>
        </w:rPr>
        <w:t>“</w:t>
      </w:r>
      <w:r>
        <w:rPr>
          <w:rStyle w:val="CharDefText"/>
        </w:rPr>
        <w:t>Barrow Island lease</w:t>
      </w:r>
      <w:r>
        <w:rPr>
          <w:b/>
          <w:snapToGrid w:val="0"/>
        </w:rPr>
        <w:t>”</w:t>
      </w:r>
      <w:r>
        <w:rPr>
          <w:snapToGrid w:val="0"/>
        </w:rPr>
        <w:t xml:space="preserve"> means the petroleum lease dated 27 February 1967 granted under the </w:t>
      </w:r>
      <w:r>
        <w:rPr>
          <w:i/>
          <w:snapToGrid w:val="0"/>
        </w:rPr>
        <w:t>Petroleum Act 1936</w:t>
      </w:r>
      <w:r>
        <w:rPr>
          <w:snapToGrid w:val="0"/>
        </w:rPr>
        <w:t xml:space="preserve"> </w:t>
      </w:r>
      <w:r>
        <w:rPr>
          <w:snapToGrid w:val="0"/>
          <w:vertAlign w:val="superscript"/>
        </w:rPr>
        <w:t>12</w:t>
      </w:r>
      <w:r>
        <w:rPr>
          <w:snapToGrid w:val="0"/>
        </w:rPr>
        <w:t xml:space="preserve"> and registered as number 2H and named </w:t>
      </w:r>
      <w:r>
        <w:rPr>
          <w:b/>
          <w:snapToGrid w:val="0"/>
        </w:rPr>
        <w:t>“</w:t>
      </w:r>
      <w:r>
        <w:rPr>
          <w:rStyle w:val="CharDefText"/>
        </w:rPr>
        <w:t>Barrow Marine</w:t>
      </w:r>
      <w:r>
        <w:rPr>
          <w:b/>
          <w:snapToGrid w:val="0"/>
        </w:rPr>
        <w:t>”</w:t>
      </w:r>
      <w:r>
        <w:rPr>
          <w:snapToGrid w:val="0"/>
        </w:rPr>
        <w:t xml:space="preserve"> pursuant to that Act.</w:t>
      </w:r>
    </w:p>
    <w:p>
      <w:pPr>
        <w:pStyle w:val="yHeading5"/>
        <w:outlineLvl w:val="9"/>
      </w:pPr>
      <w:bookmarkStart w:id="1407" w:name="_Toc113772621"/>
      <w:bookmarkStart w:id="1408" w:name="_Toc170190741"/>
      <w:bookmarkStart w:id="1409" w:name="_Toc157933690"/>
      <w:r>
        <w:rPr>
          <w:rStyle w:val="CharSClsNo"/>
        </w:rPr>
        <w:t>2</w:t>
      </w:r>
      <w:r>
        <w:t>.</w:t>
      </w:r>
      <w:r>
        <w:tab/>
        <w:t>Pipelines, etc. illegally constructed, etc.</w:t>
      </w:r>
      <w:bookmarkEnd w:id="1407"/>
      <w:bookmarkEnd w:id="1408"/>
      <w:bookmarkEnd w:id="1409"/>
    </w:p>
    <w:p>
      <w:pPr>
        <w:pStyle w:val="ySubsection"/>
        <w:rPr>
          <w:snapToGrid w:val="0"/>
        </w:rPr>
      </w:pPr>
      <w:r>
        <w:rPr>
          <w:snapToGrid w:val="0"/>
        </w:rPr>
        <w:tab/>
      </w:r>
      <w:r>
        <w:rPr>
          <w:snapToGrid w:val="0"/>
        </w:rPr>
        <w:tab/>
        <w:t>Where, in the adjacent area (within the meaning of this Act) — </w:t>
      </w:r>
    </w:p>
    <w:p>
      <w:pPr>
        <w:pStyle w:val="yIndenta"/>
        <w:rPr>
          <w:snapToGrid w:val="0"/>
        </w:rPr>
      </w:pPr>
      <w:r>
        <w:rPr>
          <w:snapToGrid w:val="0"/>
        </w:rPr>
        <w:tab/>
        <w:t>(a)</w:t>
      </w:r>
      <w:r>
        <w:rPr>
          <w:snapToGrid w:val="0"/>
        </w:rPr>
        <w:tab/>
        <w:t>the construction of a pipeline, water line, pumping station, tank station, valve station or secondary line was, before the commencement of this Act, commenced, continued or completed in contravention of the Commonwealth Act as then in force; or</w:t>
      </w:r>
    </w:p>
    <w:p>
      <w:pPr>
        <w:pStyle w:val="yIndenta"/>
        <w:rPr>
          <w:snapToGrid w:val="0"/>
        </w:rPr>
      </w:pPr>
      <w:r>
        <w:rPr>
          <w:snapToGrid w:val="0"/>
        </w:rPr>
        <w:tab/>
        <w:t>(b)</w:t>
      </w:r>
      <w:r>
        <w:rPr>
          <w:snapToGrid w:val="0"/>
        </w:rPr>
        <w:tab/>
        <w:t>a pipeline, water line, pumping station, tank station, valve station or secondary line was, before the commencement of this Act, altered or reconstructed in contravention of the Commonwealth Act as then in force,</w:t>
      </w:r>
    </w:p>
    <w:p>
      <w:pPr>
        <w:pStyle w:val="ySubsection"/>
        <w:rPr>
          <w:snapToGrid w:val="0"/>
        </w:rPr>
      </w:pPr>
      <w:r>
        <w:rPr>
          <w:snapToGrid w:val="0"/>
        </w:rPr>
        <w:tab/>
      </w:r>
      <w:r>
        <w:rPr>
          <w:snapToGrid w:val="0"/>
        </w:rPr>
        <w:tab/>
        <w:t>the contravention of the Commonwealth Act shall, for the purposes of section 62 of this Act, be deemed to be a contravention of this Act.</w:t>
      </w:r>
    </w:p>
    <w:p>
      <w:pPr>
        <w:pStyle w:val="yHeading5"/>
        <w:outlineLvl w:val="9"/>
      </w:pPr>
      <w:bookmarkStart w:id="1410" w:name="_Toc113772622"/>
      <w:bookmarkStart w:id="1411" w:name="_Toc170190742"/>
      <w:bookmarkStart w:id="1412" w:name="_Toc157933691"/>
      <w:r>
        <w:rPr>
          <w:rStyle w:val="CharSClsNo"/>
        </w:rPr>
        <w:t>3</w:t>
      </w:r>
      <w:r>
        <w:t>.</w:t>
      </w:r>
      <w:r>
        <w:tab/>
        <w:t>Powers of Minister in respect of certain wells</w:t>
      </w:r>
      <w:bookmarkEnd w:id="1410"/>
      <w:bookmarkEnd w:id="1411"/>
      <w:bookmarkEnd w:id="1412"/>
    </w:p>
    <w:p>
      <w:pPr>
        <w:pStyle w:val="ySubsection"/>
        <w:rPr>
          <w:snapToGrid w:val="0"/>
        </w:rPr>
      </w:pPr>
      <w:r>
        <w:rPr>
          <w:snapToGrid w:val="0"/>
        </w:rPr>
        <w:tab/>
      </w:r>
      <w:r>
        <w:rPr>
          <w:snapToGrid w:val="0"/>
        </w:rPr>
        <w:tab/>
        <w:t>Where, before the commencement of this Act, the registered holder of an exploration permit for petroleum or a production licence for petroleum under the Commonwealth Act as then in force made a well any part of which is less than 300 metres from the boundary of the permit area or licence area without the consent in writing of the Designated Authority in respect of the adjacent area in respect of Western Australia under section 100 of that Act as then in force, or without complying with the conditions (if any) specified in an instrument of consent under that section, the registered holder shall, if the well is within the adjacent area (within the meaning of this Act), for the purposes of section 100(2) of this Act be deemed to have failed to comply with section 100(1) of this Act and the Minister may take action accordingly.</w:t>
      </w:r>
    </w:p>
    <w:p>
      <w:pPr>
        <w:pStyle w:val="yHeading5"/>
        <w:outlineLvl w:val="9"/>
      </w:pPr>
      <w:bookmarkStart w:id="1413" w:name="_Toc113772623"/>
      <w:bookmarkStart w:id="1414" w:name="_Toc170190743"/>
      <w:bookmarkStart w:id="1415" w:name="_Toc157933692"/>
      <w:r>
        <w:rPr>
          <w:rStyle w:val="CharSClsNo"/>
        </w:rPr>
        <w:t>4</w:t>
      </w:r>
      <w:r>
        <w:t>.</w:t>
      </w:r>
      <w:r>
        <w:tab/>
        <w:t>Cancellation of certain new permits and new pipeline licences</w:t>
      </w:r>
      <w:bookmarkEnd w:id="1413"/>
      <w:bookmarkEnd w:id="1414"/>
      <w:bookmarkEnd w:id="1415"/>
    </w:p>
    <w:p>
      <w:pPr>
        <w:pStyle w:val="ySubsection"/>
        <w:rPr>
          <w:snapToGrid w:val="0"/>
        </w:rPr>
      </w:pPr>
      <w:r>
        <w:rPr>
          <w:snapToGrid w:val="0"/>
        </w:rPr>
        <w:tab/>
        <w:t>(1)</w:t>
      </w:r>
      <w:r>
        <w:rPr>
          <w:snapToGrid w:val="0"/>
        </w:rPr>
        <w:tab/>
        <w:t>If, in respect of a subsisting permit or subsisting pipeline licence, being a permit or licence in respect of an area or route that is partly within the adjacent area (within the meaning of this Act), a circumstance referred to in section 105(1)(a), (b), (c) or (d) of the Commonwealth Act existed immediately before the commencement of this Act, section 105 of this Act applies in relation to the new permit or new pipeline licence arising out of that subsisting permit or subsisting pipeline licence as if the grounds upon which, under subsection (1) of that section, the new permit or new pipeline licence may be cancelled, in whole or in part, included the existence, immediately before the commencement of this Act, of that circumstance in relation to that subsisting permit or subsisting pipeline licence.</w:t>
      </w:r>
    </w:p>
    <w:p>
      <w:pPr>
        <w:pStyle w:val="ySubsection"/>
        <w:rPr>
          <w:snapToGrid w:val="0"/>
        </w:rPr>
      </w:pPr>
      <w:r>
        <w:rPr>
          <w:snapToGrid w:val="0"/>
        </w:rPr>
        <w:tab/>
        <w:t>(2)</w:t>
      </w:r>
      <w:r>
        <w:rPr>
          <w:snapToGrid w:val="0"/>
        </w:rPr>
        <w:tab/>
        <w:t xml:space="preserve">In subclause (1) the terms </w:t>
      </w:r>
      <w:r>
        <w:rPr>
          <w:b/>
          <w:snapToGrid w:val="0"/>
        </w:rPr>
        <w:t>“</w:t>
      </w:r>
      <w:r>
        <w:rPr>
          <w:rStyle w:val="CharDefText"/>
        </w:rPr>
        <w:t>subsisting permit</w:t>
      </w:r>
      <w:r>
        <w:rPr>
          <w:b/>
          <w:snapToGrid w:val="0"/>
        </w:rPr>
        <w:t>”</w:t>
      </w:r>
      <w:r>
        <w:rPr>
          <w:snapToGrid w:val="0"/>
        </w:rPr>
        <w:t xml:space="preserve"> and </w:t>
      </w:r>
      <w:r>
        <w:rPr>
          <w:b/>
          <w:snapToGrid w:val="0"/>
        </w:rPr>
        <w:t>“</w:t>
      </w:r>
      <w:r>
        <w:rPr>
          <w:rStyle w:val="CharDefText"/>
        </w:rPr>
        <w:t>subsisting pipeline licence</w:t>
      </w:r>
      <w:r>
        <w:rPr>
          <w:b/>
          <w:snapToGrid w:val="0"/>
        </w:rPr>
        <w:t>”</w:t>
      </w:r>
      <w:r>
        <w:rPr>
          <w:snapToGrid w:val="0"/>
        </w:rPr>
        <w:t xml:space="preserve"> have the same meanings as they have in clause 1(1) of Schedule 3.</w:t>
      </w:r>
    </w:p>
    <w:p>
      <w:pPr>
        <w:pStyle w:val="yHeading5"/>
        <w:outlineLvl w:val="9"/>
      </w:pPr>
      <w:bookmarkStart w:id="1416" w:name="_Toc113772624"/>
      <w:bookmarkStart w:id="1417" w:name="_Toc170190744"/>
      <w:bookmarkStart w:id="1418" w:name="_Toc157933693"/>
      <w:r>
        <w:rPr>
          <w:rStyle w:val="CharSClsNo"/>
        </w:rPr>
        <w:t>5</w:t>
      </w:r>
      <w:r>
        <w:t>.</w:t>
      </w:r>
      <w:r>
        <w:tab/>
        <w:t>Application of section 107 to certain areas</w:t>
      </w:r>
      <w:bookmarkEnd w:id="1416"/>
      <w:bookmarkEnd w:id="1417"/>
      <w:bookmarkEnd w:id="1418"/>
    </w:p>
    <w:p>
      <w:pPr>
        <w:pStyle w:val="ySubsection"/>
        <w:rPr>
          <w:snapToGrid w:val="0"/>
        </w:rPr>
      </w:pPr>
      <w:r>
        <w:rPr>
          <w:snapToGrid w:val="0"/>
        </w:rPr>
        <w:tab/>
      </w:r>
      <w:r>
        <w:rPr>
          <w:snapToGrid w:val="0"/>
        </w:rPr>
        <w:tab/>
        <w:t>Where, before the commencement of this Act — </w:t>
      </w:r>
    </w:p>
    <w:p>
      <w:pPr>
        <w:pStyle w:val="yIndenta"/>
        <w:rPr>
          <w:snapToGrid w:val="0"/>
        </w:rPr>
      </w:pPr>
      <w:r>
        <w:rPr>
          <w:snapToGrid w:val="0"/>
        </w:rPr>
        <w:tab/>
        <w:t>(a)</w:t>
      </w:r>
      <w:r>
        <w:rPr>
          <w:snapToGrid w:val="0"/>
        </w:rPr>
        <w:tab/>
        <w:t>an exploration permit for petroleum; or</w:t>
      </w:r>
    </w:p>
    <w:p>
      <w:pPr>
        <w:pStyle w:val="yIndenta"/>
        <w:rPr>
          <w:snapToGrid w:val="0"/>
        </w:rPr>
      </w:pPr>
      <w:r>
        <w:rPr>
          <w:snapToGrid w:val="0"/>
        </w:rPr>
        <w:tab/>
        <w:t>(b)</w:t>
      </w:r>
      <w:r>
        <w:rPr>
          <w:snapToGrid w:val="0"/>
        </w:rPr>
        <w:tab/>
        <w:t>a pipeline licence,</w:t>
      </w:r>
    </w:p>
    <w:p>
      <w:pPr>
        <w:pStyle w:val="ySubsection"/>
        <w:rPr>
          <w:snapToGrid w:val="0"/>
        </w:rPr>
      </w:pPr>
      <w:r>
        <w:rPr>
          <w:snapToGrid w:val="0"/>
        </w:rPr>
        <w:tab/>
      </w:r>
      <w:r>
        <w:rPr>
          <w:snapToGrid w:val="0"/>
        </w:rPr>
        <w:tab/>
        <w:t>under the Commonwealth Act was wholly or partly cancelled or determined under the Commonwealth Act as then in force, or expired by virtue of that Act as then in force, and the relinquished area is wholly or partly within the adjacent area (within the meaning of this Act), the cancellation or determination, or the expiration, of the permit, licence or pipeline licence shall, insofar as it relates to the relinquished area, or the part of the relinquished area that is within the adjacent area (within the meaning of this Act), as the case may be, be deemed for the purposes of section 107 of this Act to have occurred under or by virtue of this Act.</w:t>
      </w:r>
    </w:p>
    <w:p>
      <w:pPr>
        <w:pStyle w:val="yHeading5"/>
        <w:outlineLvl w:val="9"/>
      </w:pPr>
      <w:bookmarkStart w:id="1419" w:name="_Toc113772625"/>
      <w:bookmarkStart w:id="1420" w:name="_Toc170190745"/>
      <w:bookmarkStart w:id="1421" w:name="_Toc157933694"/>
      <w:r>
        <w:rPr>
          <w:rStyle w:val="CharSClsNo"/>
        </w:rPr>
        <w:t>6</w:t>
      </w:r>
      <w:r>
        <w:t>.</w:t>
      </w:r>
      <w:r>
        <w:tab/>
        <w:t>Application of section 113(2), (3) and (4) to certain property</w:t>
      </w:r>
      <w:bookmarkEnd w:id="1419"/>
      <w:bookmarkEnd w:id="1420"/>
      <w:bookmarkEnd w:id="1421"/>
    </w:p>
    <w:p>
      <w:pPr>
        <w:pStyle w:val="ySubsection"/>
        <w:rPr>
          <w:snapToGrid w:val="0"/>
        </w:rPr>
      </w:pPr>
      <w:r>
        <w:rPr>
          <w:snapToGrid w:val="0"/>
        </w:rPr>
        <w:tab/>
      </w:r>
      <w:r>
        <w:rPr>
          <w:snapToGrid w:val="0"/>
        </w:rPr>
        <w:tab/>
        <w:t>Where, before the commencement of this Act, the Designated Authority in respect of the adjacent area in respect of Western Australia exercised a power conferred upon him by section 113(1) of the Commonwealth Act as then in force in relation to property which is, or was, within the adjacent area (within the meaning of this Act), the power shall for the purposes of section 113(2)(3) and (4) of this Act be deemed to have been exercised by the Minister under and in accordance with section 113(1) of this Act.</w:t>
      </w:r>
    </w:p>
    <w:p>
      <w:pPr>
        <w:pStyle w:val="yFootnotesection"/>
      </w:pPr>
      <w:r>
        <w:tab/>
        <w:t>[Schedule 4 amended by No. 28 of 1994 s.112.]</w:t>
      </w:r>
      <w:bookmarkStart w:id="1422" w:name="_Toc131393923"/>
    </w:p>
    <w:p>
      <w:pPr>
        <w:pStyle w:val="yFootnotesection"/>
        <w:sectPr>
          <w:headerReference w:type="default" r:id="rId28"/>
          <w:pgSz w:w="11906" w:h="16838" w:code="9"/>
          <w:pgMar w:top="2376" w:right="2405" w:bottom="3542" w:left="2405" w:header="706" w:footer="3380" w:gutter="0"/>
          <w:cols w:space="720"/>
          <w:noEndnote/>
          <w:docGrid w:linePitch="326"/>
        </w:sectPr>
      </w:pPr>
    </w:p>
    <w:p>
      <w:pPr>
        <w:pStyle w:val="nHeading2"/>
        <w:rPr>
          <w:del w:id="1423" w:author="svcMRProcess" w:date="2020-02-19T21:14:00Z"/>
        </w:rPr>
      </w:pPr>
      <w:bookmarkStart w:id="1424" w:name="_Toc162761355"/>
      <w:bookmarkStart w:id="1425" w:name="_Toc170190746"/>
      <w:del w:id="1426" w:author="svcMRProcess" w:date="2020-02-19T21:14:00Z">
        <w:r>
          <w:delText>Notes</w:delText>
        </w:r>
      </w:del>
    </w:p>
    <w:p>
      <w:pPr>
        <w:pStyle w:val="nSubsection"/>
        <w:rPr>
          <w:del w:id="1427" w:author="svcMRProcess" w:date="2020-02-19T21:14:00Z"/>
          <w:snapToGrid w:val="0"/>
        </w:rPr>
      </w:pPr>
      <w:del w:id="1428" w:author="svcMRProcess" w:date="2020-02-19T21:14:00Z">
        <w:r>
          <w:rPr>
            <w:snapToGrid w:val="0"/>
            <w:vertAlign w:val="superscript"/>
          </w:rPr>
          <w:delText>1</w:delText>
        </w:r>
        <w:r>
          <w:rPr>
            <w:snapToGrid w:val="0"/>
          </w:rPr>
          <w:tab/>
          <w:delText xml:space="preserve">This is a compilation of the </w:delText>
        </w:r>
        <w:r>
          <w:rPr>
            <w:i/>
            <w:snapToGrid w:val="0"/>
          </w:rPr>
          <w:delText>Petroleum (Submerged Lands) Act 1982</w:delText>
        </w:r>
        <w:r>
          <w:rPr>
            <w:snapToGrid w:val="0"/>
          </w:rPr>
          <w:delText xml:space="preserve"> and includes the amendments made by the other written laws referred to in the following table </w:delText>
        </w:r>
        <w:r>
          <w:rPr>
            <w:snapToGrid w:val="0"/>
            <w:vertAlign w:val="superscript"/>
          </w:rPr>
          <w:delText>1a</w:delText>
        </w:r>
        <w:r>
          <w:rPr>
            <w:snapToGrid w:val="0"/>
          </w:rPr>
          <w:delText>.</w:delText>
        </w:r>
      </w:del>
    </w:p>
    <w:p>
      <w:pPr>
        <w:pStyle w:val="nHeading3"/>
        <w:rPr>
          <w:del w:id="1429" w:author="svcMRProcess" w:date="2020-02-19T21:14:00Z"/>
          <w:snapToGrid w:val="0"/>
        </w:rPr>
      </w:pPr>
      <w:bookmarkStart w:id="1430" w:name="_Toc157933696"/>
      <w:del w:id="1431" w:author="svcMRProcess" w:date="2020-02-19T21:14:00Z">
        <w:r>
          <w:rPr>
            <w:snapToGrid w:val="0"/>
          </w:rPr>
          <w:delText>Compilation table</w:delText>
        </w:r>
        <w:bookmarkEnd w:id="1430"/>
      </w:del>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del w:id="1432" w:author="svcMRProcess" w:date="2020-02-19T21:14:00Z"/>
        </w:trPr>
        <w:tc>
          <w:tcPr>
            <w:tcW w:w="2268" w:type="dxa"/>
            <w:tcBorders>
              <w:top w:val="single" w:sz="8" w:space="0" w:color="auto"/>
              <w:bottom w:val="single" w:sz="8" w:space="0" w:color="auto"/>
            </w:tcBorders>
          </w:tcPr>
          <w:p>
            <w:pPr>
              <w:pStyle w:val="nTable"/>
              <w:spacing w:after="40"/>
              <w:ind w:right="170"/>
              <w:rPr>
                <w:del w:id="1433" w:author="svcMRProcess" w:date="2020-02-19T21:14:00Z"/>
                <w:b/>
                <w:sz w:val="19"/>
              </w:rPr>
            </w:pPr>
            <w:del w:id="1434" w:author="svcMRProcess" w:date="2020-02-19T21:14:00Z">
              <w:r>
                <w:rPr>
                  <w:b/>
                  <w:sz w:val="19"/>
                </w:rPr>
                <w:delText>Short title</w:delText>
              </w:r>
            </w:del>
          </w:p>
        </w:tc>
        <w:tc>
          <w:tcPr>
            <w:tcW w:w="1134" w:type="dxa"/>
            <w:tcBorders>
              <w:top w:val="single" w:sz="8" w:space="0" w:color="auto"/>
              <w:bottom w:val="single" w:sz="8" w:space="0" w:color="auto"/>
            </w:tcBorders>
          </w:tcPr>
          <w:p>
            <w:pPr>
              <w:pStyle w:val="nTable"/>
              <w:spacing w:after="40"/>
              <w:rPr>
                <w:del w:id="1435" w:author="svcMRProcess" w:date="2020-02-19T21:14:00Z"/>
                <w:b/>
                <w:sz w:val="19"/>
              </w:rPr>
            </w:pPr>
            <w:del w:id="1436" w:author="svcMRProcess" w:date="2020-02-19T21:14:00Z">
              <w:r>
                <w:rPr>
                  <w:b/>
                  <w:sz w:val="19"/>
                </w:rPr>
                <w:delText>Number and year</w:delText>
              </w:r>
            </w:del>
          </w:p>
        </w:tc>
        <w:tc>
          <w:tcPr>
            <w:tcW w:w="1134" w:type="dxa"/>
            <w:tcBorders>
              <w:top w:val="single" w:sz="8" w:space="0" w:color="auto"/>
              <w:bottom w:val="single" w:sz="8" w:space="0" w:color="auto"/>
            </w:tcBorders>
          </w:tcPr>
          <w:p>
            <w:pPr>
              <w:pStyle w:val="nTable"/>
              <w:spacing w:after="40"/>
              <w:rPr>
                <w:del w:id="1437" w:author="svcMRProcess" w:date="2020-02-19T21:14:00Z"/>
                <w:b/>
                <w:sz w:val="19"/>
              </w:rPr>
            </w:pPr>
            <w:del w:id="1438" w:author="svcMRProcess" w:date="2020-02-19T21:14:00Z">
              <w:r>
                <w:rPr>
                  <w:b/>
                  <w:sz w:val="19"/>
                </w:rPr>
                <w:delText>Assent</w:delText>
              </w:r>
            </w:del>
          </w:p>
        </w:tc>
        <w:tc>
          <w:tcPr>
            <w:tcW w:w="2551" w:type="dxa"/>
            <w:tcBorders>
              <w:top w:val="single" w:sz="8" w:space="0" w:color="auto"/>
              <w:bottom w:val="single" w:sz="8" w:space="0" w:color="auto"/>
            </w:tcBorders>
          </w:tcPr>
          <w:p>
            <w:pPr>
              <w:pStyle w:val="nTable"/>
              <w:spacing w:after="40"/>
              <w:rPr>
                <w:del w:id="1439" w:author="svcMRProcess" w:date="2020-02-19T21:14:00Z"/>
                <w:b/>
                <w:sz w:val="19"/>
              </w:rPr>
            </w:pPr>
            <w:del w:id="1440" w:author="svcMRProcess" w:date="2020-02-19T21:14:00Z">
              <w:r>
                <w:rPr>
                  <w:b/>
                  <w:sz w:val="19"/>
                </w:rPr>
                <w:delText>Commencement</w:delText>
              </w:r>
            </w:del>
          </w:p>
        </w:tc>
      </w:tr>
      <w:tr>
        <w:trPr>
          <w:cantSplit/>
          <w:del w:id="1441" w:author="svcMRProcess" w:date="2020-02-19T21:14:00Z"/>
        </w:trPr>
        <w:tc>
          <w:tcPr>
            <w:tcW w:w="2268" w:type="dxa"/>
          </w:tcPr>
          <w:p>
            <w:pPr>
              <w:pStyle w:val="nTable"/>
              <w:spacing w:after="40"/>
              <w:ind w:right="170"/>
              <w:rPr>
                <w:del w:id="1442" w:author="svcMRProcess" w:date="2020-02-19T21:14:00Z"/>
                <w:sz w:val="19"/>
              </w:rPr>
            </w:pPr>
            <w:del w:id="1443" w:author="svcMRProcess" w:date="2020-02-19T21:14:00Z">
              <w:r>
                <w:rPr>
                  <w:i/>
                  <w:sz w:val="19"/>
                </w:rPr>
                <w:delText>Petroleum (Submerged Lands) Act 1982</w:delText>
              </w:r>
            </w:del>
          </w:p>
        </w:tc>
        <w:tc>
          <w:tcPr>
            <w:tcW w:w="1134" w:type="dxa"/>
          </w:tcPr>
          <w:p>
            <w:pPr>
              <w:pStyle w:val="nTable"/>
              <w:spacing w:after="40"/>
              <w:rPr>
                <w:del w:id="1444" w:author="svcMRProcess" w:date="2020-02-19T21:14:00Z"/>
                <w:sz w:val="19"/>
              </w:rPr>
            </w:pPr>
            <w:del w:id="1445" w:author="svcMRProcess" w:date="2020-02-19T21:14:00Z">
              <w:r>
                <w:rPr>
                  <w:sz w:val="19"/>
                </w:rPr>
                <w:delText>33 of 1982</w:delText>
              </w:r>
            </w:del>
          </w:p>
        </w:tc>
        <w:tc>
          <w:tcPr>
            <w:tcW w:w="1134" w:type="dxa"/>
          </w:tcPr>
          <w:p>
            <w:pPr>
              <w:pStyle w:val="nTable"/>
              <w:spacing w:after="40"/>
              <w:rPr>
                <w:del w:id="1446" w:author="svcMRProcess" w:date="2020-02-19T21:14:00Z"/>
                <w:sz w:val="19"/>
              </w:rPr>
            </w:pPr>
            <w:del w:id="1447" w:author="svcMRProcess" w:date="2020-02-19T21:14:00Z">
              <w:r>
                <w:rPr>
                  <w:sz w:val="19"/>
                </w:rPr>
                <w:delText>27 May 1982</w:delText>
              </w:r>
            </w:del>
          </w:p>
        </w:tc>
        <w:tc>
          <w:tcPr>
            <w:tcW w:w="2551" w:type="dxa"/>
          </w:tcPr>
          <w:p>
            <w:pPr>
              <w:pStyle w:val="nTable"/>
              <w:spacing w:after="40"/>
              <w:rPr>
                <w:del w:id="1448" w:author="svcMRProcess" w:date="2020-02-19T21:14:00Z"/>
                <w:sz w:val="19"/>
              </w:rPr>
            </w:pPr>
            <w:del w:id="1449" w:author="svcMRProcess" w:date="2020-02-19T21:14:00Z">
              <w:r>
                <w:rPr>
                  <w:sz w:val="19"/>
                </w:rPr>
                <w:delText>14 Feb 1983 (see s. 2(1))</w:delText>
              </w:r>
            </w:del>
          </w:p>
        </w:tc>
      </w:tr>
      <w:tr>
        <w:trPr>
          <w:cantSplit/>
          <w:del w:id="1450" w:author="svcMRProcess" w:date="2020-02-19T21:14:00Z"/>
        </w:trPr>
        <w:tc>
          <w:tcPr>
            <w:tcW w:w="2268" w:type="dxa"/>
          </w:tcPr>
          <w:p>
            <w:pPr>
              <w:pStyle w:val="nTable"/>
              <w:spacing w:after="40"/>
              <w:ind w:right="170"/>
              <w:rPr>
                <w:del w:id="1451" w:author="svcMRProcess" w:date="2020-02-19T21:14:00Z"/>
                <w:sz w:val="19"/>
              </w:rPr>
            </w:pPr>
            <w:del w:id="1452" w:author="svcMRProcess" w:date="2020-02-19T21:14:00Z">
              <w:r>
                <w:rPr>
                  <w:i/>
                  <w:sz w:val="19"/>
                </w:rPr>
                <w:delText>Acts Amendment (Petroleum) Act 1990</w:delText>
              </w:r>
              <w:r>
                <w:rPr>
                  <w:sz w:val="19"/>
                </w:rPr>
                <w:delText>,</w:delText>
              </w:r>
            </w:del>
          </w:p>
          <w:p>
            <w:pPr>
              <w:pStyle w:val="nTable"/>
              <w:spacing w:after="40"/>
              <w:ind w:right="170"/>
              <w:rPr>
                <w:del w:id="1453" w:author="svcMRProcess" w:date="2020-02-19T21:14:00Z"/>
                <w:sz w:val="19"/>
                <w:vertAlign w:val="superscript"/>
              </w:rPr>
            </w:pPr>
            <w:del w:id="1454" w:author="svcMRProcess" w:date="2020-02-19T21:14:00Z">
              <w:r>
                <w:rPr>
                  <w:sz w:val="19"/>
                </w:rPr>
                <w:delText>Part IV (as amended by Act No. 28 of 1994, Part 2)</w:delText>
              </w:r>
              <w:r>
                <w:rPr>
                  <w:sz w:val="19"/>
                  <w:vertAlign w:val="superscript"/>
                </w:rPr>
                <w:delText> 2-5, 7, 9, 11</w:delText>
              </w:r>
            </w:del>
          </w:p>
        </w:tc>
        <w:tc>
          <w:tcPr>
            <w:tcW w:w="1134" w:type="dxa"/>
          </w:tcPr>
          <w:p>
            <w:pPr>
              <w:pStyle w:val="nTable"/>
              <w:spacing w:after="40"/>
              <w:rPr>
                <w:del w:id="1455" w:author="svcMRProcess" w:date="2020-02-19T21:14:00Z"/>
                <w:sz w:val="19"/>
              </w:rPr>
            </w:pPr>
            <w:del w:id="1456" w:author="svcMRProcess" w:date="2020-02-19T21:14:00Z">
              <w:r>
                <w:rPr>
                  <w:sz w:val="19"/>
                </w:rPr>
                <w:delText>12 of 1990</w:delText>
              </w:r>
            </w:del>
          </w:p>
        </w:tc>
        <w:tc>
          <w:tcPr>
            <w:tcW w:w="1134" w:type="dxa"/>
          </w:tcPr>
          <w:p>
            <w:pPr>
              <w:pStyle w:val="nTable"/>
              <w:spacing w:after="40"/>
              <w:rPr>
                <w:del w:id="1457" w:author="svcMRProcess" w:date="2020-02-19T21:14:00Z"/>
                <w:sz w:val="19"/>
              </w:rPr>
            </w:pPr>
            <w:del w:id="1458" w:author="svcMRProcess" w:date="2020-02-19T21:14:00Z">
              <w:r>
                <w:rPr>
                  <w:sz w:val="19"/>
                </w:rPr>
                <w:delText>31 Jul 1990</w:delText>
              </w:r>
            </w:del>
          </w:p>
        </w:tc>
        <w:tc>
          <w:tcPr>
            <w:tcW w:w="2551" w:type="dxa"/>
          </w:tcPr>
          <w:p>
            <w:pPr>
              <w:pStyle w:val="nTable"/>
              <w:spacing w:after="40"/>
              <w:rPr>
                <w:del w:id="1459" w:author="svcMRProcess" w:date="2020-02-19T21:14:00Z"/>
                <w:sz w:val="19"/>
              </w:rPr>
            </w:pPr>
            <w:del w:id="1460" w:author="svcMRProcess" w:date="2020-02-19T21:14:00Z">
              <w:r>
                <w:rPr>
                  <w:sz w:val="19"/>
                </w:rPr>
                <w:delText>1 Oct 1990 (see s. 2 and </w:delText>
              </w:r>
              <w:r>
                <w:rPr>
                  <w:i/>
                  <w:sz w:val="19"/>
                </w:rPr>
                <w:delText>Gazette</w:delText>
              </w:r>
              <w:r>
                <w:rPr>
                  <w:sz w:val="19"/>
                </w:rPr>
                <w:delText xml:space="preserve"> 28 Sep 1990 p. 5099)</w:delText>
              </w:r>
            </w:del>
          </w:p>
        </w:tc>
      </w:tr>
      <w:tr>
        <w:trPr>
          <w:cantSplit/>
          <w:del w:id="1461" w:author="svcMRProcess" w:date="2020-02-19T21:14:00Z"/>
        </w:trPr>
        <w:tc>
          <w:tcPr>
            <w:tcW w:w="2268" w:type="dxa"/>
          </w:tcPr>
          <w:p>
            <w:pPr>
              <w:pStyle w:val="nTable"/>
              <w:spacing w:after="40"/>
              <w:ind w:right="170"/>
              <w:rPr>
                <w:del w:id="1462" w:author="svcMRProcess" w:date="2020-02-19T21:14:00Z"/>
                <w:sz w:val="19"/>
              </w:rPr>
            </w:pPr>
            <w:del w:id="1463" w:author="svcMRProcess" w:date="2020-02-19T21:14:00Z">
              <w:r>
                <w:rPr>
                  <w:i/>
                  <w:sz w:val="19"/>
                </w:rPr>
                <w:delText>Financial Administration Legislation Amendment Act 1993</w:delText>
              </w:r>
              <w:r>
                <w:rPr>
                  <w:sz w:val="19"/>
                </w:rPr>
                <w:delText>,</w:delText>
              </w:r>
            </w:del>
          </w:p>
          <w:p>
            <w:pPr>
              <w:pStyle w:val="nTable"/>
              <w:spacing w:after="40"/>
              <w:ind w:right="170"/>
              <w:rPr>
                <w:del w:id="1464" w:author="svcMRProcess" w:date="2020-02-19T21:14:00Z"/>
                <w:sz w:val="19"/>
              </w:rPr>
            </w:pPr>
            <w:del w:id="1465" w:author="svcMRProcess" w:date="2020-02-19T21:14:00Z">
              <w:r>
                <w:rPr>
                  <w:sz w:val="19"/>
                </w:rPr>
                <w:delText>Part 4</w:delText>
              </w:r>
            </w:del>
          </w:p>
        </w:tc>
        <w:tc>
          <w:tcPr>
            <w:tcW w:w="1134" w:type="dxa"/>
          </w:tcPr>
          <w:p>
            <w:pPr>
              <w:pStyle w:val="nTable"/>
              <w:spacing w:after="40"/>
              <w:rPr>
                <w:del w:id="1466" w:author="svcMRProcess" w:date="2020-02-19T21:14:00Z"/>
                <w:sz w:val="19"/>
              </w:rPr>
            </w:pPr>
            <w:del w:id="1467" w:author="svcMRProcess" w:date="2020-02-19T21:14:00Z">
              <w:r>
                <w:rPr>
                  <w:sz w:val="19"/>
                </w:rPr>
                <w:delText>6 of 1993</w:delText>
              </w:r>
            </w:del>
          </w:p>
        </w:tc>
        <w:tc>
          <w:tcPr>
            <w:tcW w:w="1134" w:type="dxa"/>
          </w:tcPr>
          <w:p>
            <w:pPr>
              <w:pStyle w:val="nTable"/>
              <w:spacing w:after="40"/>
              <w:rPr>
                <w:del w:id="1468" w:author="svcMRProcess" w:date="2020-02-19T21:14:00Z"/>
                <w:sz w:val="19"/>
              </w:rPr>
            </w:pPr>
            <w:del w:id="1469" w:author="svcMRProcess" w:date="2020-02-19T21:14:00Z">
              <w:r>
                <w:rPr>
                  <w:sz w:val="19"/>
                </w:rPr>
                <w:delText>27 Aug 1993</w:delText>
              </w:r>
            </w:del>
          </w:p>
        </w:tc>
        <w:tc>
          <w:tcPr>
            <w:tcW w:w="2551" w:type="dxa"/>
          </w:tcPr>
          <w:p>
            <w:pPr>
              <w:pStyle w:val="nTable"/>
              <w:spacing w:after="40"/>
              <w:rPr>
                <w:del w:id="1470" w:author="svcMRProcess" w:date="2020-02-19T21:14:00Z"/>
                <w:sz w:val="19"/>
              </w:rPr>
            </w:pPr>
            <w:del w:id="1471" w:author="svcMRProcess" w:date="2020-02-19T21:14:00Z">
              <w:r>
                <w:rPr>
                  <w:sz w:val="19"/>
                </w:rPr>
                <w:delText>Deemed operative 1 Jul 1993 (see s.2(1))</w:delText>
              </w:r>
            </w:del>
          </w:p>
        </w:tc>
      </w:tr>
      <w:tr>
        <w:trPr>
          <w:cantSplit/>
          <w:del w:id="1472" w:author="svcMRProcess" w:date="2020-02-19T21:14:00Z"/>
        </w:trPr>
        <w:tc>
          <w:tcPr>
            <w:tcW w:w="2268" w:type="dxa"/>
          </w:tcPr>
          <w:p>
            <w:pPr>
              <w:pStyle w:val="nTable"/>
              <w:spacing w:after="40"/>
              <w:ind w:right="170"/>
              <w:rPr>
                <w:del w:id="1473" w:author="svcMRProcess" w:date="2020-02-19T21:14:00Z"/>
                <w:sz w:val="19"/>
              </w:rPr>
            </w:pPr>
            <w:del w:id="1474" w:author="svcMRProcess" w:date="2020-02-19T21:14:00Z">
              <w:r>
                <w:rPr>
                  <w:i/>
                  <w:sz w:val="19"/>
                </w:rPr>
                <w:delText>Land (Titles and Traditional Usage) Act 1993</w:delText>
              </w:r>
              <w:r>
                <w:rPr>
                  <w:sz w:val="19"/>
                </w:rPr>
                <w:delText xml:space="preserve">, </w:delText>
              </w:r>
            </w:del>
          </w:p>
          <w:p>
            <w:pPr>
              <w:pStyle w:val="nTable"/>
              <w:spacing w:after="40"/>
              <w:ind w:right="170"/>
              <w:rPr>
                <w:del w:id="1475" w:author="svcMRProcess" w:date="2020-02-19T21:14:00Z"/>
                <w:sz w:val="19"/>
                <w:vertAlign w:val="superscript"/>
              </w:rPr>
            </w:pPr>
            <w:del w:id="1476" w:author="svcMRProcess" w:date="2020-02-19T21:14:00Z">
              <w:r>
                <w:rPr>
                  <w:sz w:val="19"/>
                </w:rPr>
                <w:delText>section 45</w:delText>
              </w:r>
              <w:r>
                <w:rPr>
                  <w:sz w:val="19"/>
                  <w:vertAlign w:val="superscript"/>
                </w:rPr>
                <w:delText> 13</w:delText>
              </w:r>
            </w:del>
          </w:p>
        </w:tc>
        <w:tc>
          <w:tcPr>
            <w:tcW w:w="1134" w:type="dxa"/>
          </w:tcPr>
          <w:p>
            <w:pPr>
              <w:pStyle w:val="nTable"/>
              <w:keepNext/>
              <w:keepLines/>
              <w:spacing w:after="40"/>
              <w:rPr>
                <w:del w:id="1477" w:author="svcMRProcess" w:date="2020-02-19T21:14:00Z"/>
                <w:sz w:val="19"/>
              </w:rPr>
            </w:pPr>
            <w:del w:id="1478" w:author="svcMRProcess" w:date="2020-02-19T21:14:00Z">
              <w:r>
                <w:rPr>
                  <w:sz w:val="19"/>
                </w:rPr>
                <w:delText>21 of 1993</w:delText>
              </w:r>
            </w:del>
          </w:p>
        </w:tc>
        <w:tc>
          <w:tcPr>
            <w:tcW w:w="1134" w:type="dxa"/>
          </w:tcPr>
          <w:p>
            <w:pPr>
              <w:pStyle w:val="nTable"/>
              <w:keepNext/>
              <w:keepLines/>
              <w:spacing w:after="40"/>
              <w:rPr>
                <w:del w:id="1479" w:author="svcMRProcess" w:date="2020-02-19T21:14:00Z"/>
                <w:sz w:val="19"/>
              </w:rPr>
            </w:pPr>
            <w:del w:id="1480" w:author="svcMRProcess" w:date="2020-02-19T21:14:00Z">
              <w:r>
                <w:rPr>
                  <w:sz w:val="19"/>
                </w:rPr>
                <w:delText>2 Dec 1993</w:delText>
              </w:r>
            </w:del>
          </w:p>
        </w:tc>
        <w:tc>
          <w:tcPr>
            <w:tcW w:w="2551" w:type="dxa"/>
          </w:tcPr>
          <w:p>
            <w:pPr>
              <w:pStyle w:val="nTable"/>
              <w:keepNext/>
              <w:keepLines/>
              <w:spacing w:after="40"/>
              <w:rPr>
                <w:del w:id="1481" w:author="svcMRProcess" w:date="2020-02-19T21:14:00Z"/>
                <w:sz w:val="19"/>
              </w:rPr>
            </w:pPr>
            <w:del w:id="1482" w:author="svcMRProcess" w:date="2020-02-19T21:14:00Z">
              <w:r>
                <w:rPr>
                  <w:sz w:val="19"/>
                </w:rPr>
                <w:delText>2 Dec 1993 (see s. 2)</w:delText>
              </w:r>
            </w:del>
          </w:p>
        </w:tc>
      </w:tr>
      <w:tr>
        <w:trPr>
          <w:cantSplit/>
          <w:del w:id="1483" w:author="svcMRProcess" w:date="2020-02-19T21:14:00Z"/>
        </w:trPr>
        <w:tc>
          <w:tcPr>
            <w:tcW w:w="2268" w:type="dxa"/>
          </w:tcPr>
          <w:p>
            <w:pPr>
              <w:pStyle w:val="nTable"/>
              <w:spacing w:after="40"/>
              <w:ind w:right="170"/>
              <w:rPr>
                <w:del w:id="1484" w:author="svcMRProcess" w:date="2020-02-19T21:14:00Z"/>
                <w:sz w:val="19"/>
              </w:rPr>
            </w:pPr>
            <w:del w:id="1485" w:author="svcMRProcess" w:date="2020-02-19T21:14:00Z">
              <w:r>
                <w:rPr>
                  <w:i/>
                  <w:sz w:val="19"/>
                </w:rPr>
                <w:delText>Petroleum Royalties Legislation Amendment Act 1994</w:delText>
              </w:r>
              <w:r>
                <w:rPr>
                  <w:sz w:val="19"/>
                </w:rPr>
                <w:delText>,</w:delText>
              </w:r>
            </w:del>
          </w:p>
          <w:p>
            <w:pPr>
              <w:pStyle w:val="nTable"/>
              <w:spacing w:after="40"/>
              <w:ind w:right="170"/>
              <w:rPr>
                <w:del w:id="1486" w:author="svcMRProcess" w:date="2020-02-19T21:14:00Z"/>
                <w:sz w:val="19"/>
              </w:rPr>
            </w:pPr>
            <w:del w:id="1487" w:author="svcMRProcess" w:date="2020-02-19T21:14:00Z">
              <w:r>
                <w:rPr>
                  <w:sz w:val="19"/>
                </w:rPr>
                <w:delText>Part 3</w:delText>
              </w:r>
            </w:del>
          </w:p>
        </w:tc>
        <w:tc>
          <w:tcPr>
            <w:tcW w:w="1134" w:type="dxa"/>
          </w:tcPr>
          <w:p>
            <w:pPr>
              <w:pStyle w:val="nTable"/>
              <w:spacing w:after="40"/>
              <w:rPr>
                <w:del w:id="1488" w:author="svcMRProcess" w:date="2020-02-19T21:14:00Z"/>
                <w:sz w:val="19"/>
              </w:rPr>
            </w:pPr>
            <w:del w:id="1489" w:author="svcMRProcess" w:date="2020-02-19T21:14:00Z">
              <w:r>
                <w:rPr>
                  <w:sz w:val="19"/>
                </w:rPr>
                <w:delText>11 of 1994</w:delText>
              </w:r>
            </w:del>
          </w:p>
        </w:tc>
        <w:tc>
          <w:tcPr>
            <w:tcW w:w="1134" w:type="dxa"/>
          </w:tcPr>
          <w:p>
            <w:pPr>
              <w:pStyle w:val="nTable"/>
              <w:spacing w:after="40"/>
              <w:rPr>
                <w:del w:id="1490" w:author="svcMRProcess" w:date="2020-02-19T21:14:00Z"/>
                <w:sz w:val="19"/>
              </w:rPr>
            </w:pPr>
            <w:del w:id="1491" w:author="svcMRProcess" w:date="2020-02-19T21:14:00Z">
              <w:r>
                <w:rPr>
                  <w:sz w:val="19"/>
                </w:rPr>
                <w:delText>15 Apr 1994</w:delText>
              </w:r>
            </w:del>
          </w:p>
        </w:tc>
        <w:tc>
          <w:tcPr>
            <w:tcW w:w="2551" w:type="dxa"/>
          </w:tcPr>
          <w:p>
            <w:pPr>
              <w:pStyle w:val="nTable"/>
              <w:spacing w:after="40"/>
              <w:rPr>
                <w:del w:id="1492" w:author="svcMRProcess" w:date="2020-02-19T21:14:00Z"/>
                <w:sz w:val="19"/>
              </w:rPr>
            </w:pPr>
            <w:del w:id="1493" w:author="svcMRProcess" w:date="2020-02-19T21:14:00Z">
              <w:r>
                <w:rPr>
                  <w:sz w:val="19"/>
                </w:rPr>
                <w:delText>Deemed operative 1 Mar 1994 (see s. 2)</w:delText>
              </w:r>
            </w:del>
          </w:p>
        </w:tc>
      </w:tr>
      <w:tr>
        <w:trPr>
          <w:cantSplit/>
          <w:del w:id="1494" w:author="svcMRProcess" w:date="2020-02-19T21:14:00Z"/>
        </w:trPr>
        <w:tc>
          <w:tcPr>
            <w:tcW w:w="2268" w:type="dxa"/>
          </w:tcPr>
          <w:p>
            <w:pPr>
              <w:pStyle w:val="nTable"/>
              <w:spacing w:after="40"/>
              <w:ind w:right="170"/>
              <w:rPr>
                <w:del w:id="1495" w:author="svcMRProcess" w:date="2020-02-19T21:14:00Z"/>
                <w:sz w:val="19"/>
              </w:rPr>
            </w:pPr>
            <w:del w:id="1496" w:author="svcMRProcess" w:date="2020-02-19T21:14:00Z">
              <w:r>
                <w:rPr>
                  <w:i/>
                  <w:sz w:val="19"/>
                </w:rPr>
                <w:delText>Acts Amendment (Petroleum) Act 1994</w:delText>
              </w:r>
              <w:r>
                <w:rPr>
                  <w:sz w:val="19"/>
                </w:rPr>
                <w:delText>,</w:delText>
              </w:r>
            </w:del>
          </w:p>
          <w:p>
            <w:pPr>
              <w:pStyle w:val="nTable"/>
              <w:spacing w:after="40"/>
              <w:ind w:right="170"/>
              <w:rPr>
                <w:del w:id="1497" w:author="svcMRProcess" w:date="2020-02-19T21:14:00Z"/>
                <w:sz w:val="19"/>
              </w:rPr>
            </w:pPr>
            <w:del w:id="1498" w:author="svcMRProcess" w:date="2020-02-19T21:14:00Z">
              <w:r>
                <w:rPr>
                  <w:sz w:val="19"/>
                </w:rPr>
                <w:delText>Part 6</w:delText>
              </w:r>
            </w:del>
          </w:p>
        </w:tc>
        <w:tc>
          <w:tcPr>
            <w:tcW w:w="1134" w:type="dxa"/>
          </w:tcPr>
          <w:p>
            <w:pPr>
              <w:pStyle w:val="nTable"/>
              <w:spacing w:after="40"/>
              <w:rPr>
                <w:del w:id="1499" w:author="svcMRProcess" w:date="2020-02-19T21:14:00Z"/>
                <w:sz w:val="19"/>
              </w:rPr>
            </w:pPr>
            <w:del w:id="1500" w:author="svcMRProcess" w:date="2020-02-19T21:14:00Z">
              <w:r>
                <w:rPr>
                  <w:sz w:val="19"/>
                </w:rPr>
                <w:delText>28 of 1994</w:delText>
              </w:r>
            </w:del>
          </w:p>
        </w:tc>
        <w:tc>
          <w:tcPr>
            <w:tcW w:w="1134" w:type="dxa"/>
          </w:tcPr>
          <w:p>
            <w:pPr>
              <w:pStyle w:val="nTable"/>
              <w:spacing w:after="40"/>
              <w:rPr>
                <w:del w:id="1501" w:author="svcMRProcess" w:date="2020-02-19T21:14:00Z"/>
                <w:sz w:val="19"/>
              </w:rPr>
            </w:pPr>
            <w:del w:id="1502" w:author="svcMRProcess" w:date="2020-02-19T21:14:00Z">
              <w:r>
                <w:rPr>
                  <w:sz w:val="19"/>
                </w:rPr>
                <w:delText>29 Jun 1994</w:delText>
              </w:r>
            </w:del>
          </w:p>
        </w:tc>
        <w:tc>
          <w:tcPr>
            <w:tcW w:w="2551" w:type="dxa"/>
          </w:tcPr>
          <w:p>
            <w:pPr>
              <w:pStyle w:val="nTable"/>
              <w:spacing w:after="40"/>
              <w:rPr>
                <w:del w:id="1503" w:author="svcMRProcess" w:date="2020-02-19T21:14:00Z"/>
                <w:sz w:val="19"/>
              </w:rPr>
            </w:pPr>
            <w:del w:id="1504" w:author="svcMRProcess" w:date="2020-02-19T21:14:00Z">
              <w:r>
                <w:rPr>
                  <w:sz w:val="19"/>
                </w:rPr>
                <w:delText xml:space="preserve">22 Jul 1994 (see s. 2 and </w:delText>
              </w:r>
              <w:r>
                <w:rPr>
                  <w:i/>
                  <w:sz w:val="19"/>
                </w:rPr>
                <w:delText>Gazette</w:delText>
              </w:r>
              <w:r>
                <w:rPr>
                  <w:sz w:val="19"/>
                </w:rPr>
                <w:delText xml:space="preserve"> 22 Jul 1994 p. 3728)</w:delText>
              </w:r>
            </w:del>
          </w:p>
        </w:tc>
      </w:tr>
      <w:tr>
        <w:trPr>
          <w:cantSplit/>
          <w:del w:id="1505" w:author="svcMRProcess" w:date="2020-02-19T21:14:00Z"/>
        </w:trPr>
        <w:tc>
          <w:tcPr>
            <w:tcW w:w="2268" w:type="dxa"/>
          </w:tcPr>
          <w:p>
            <w:pPr>
              <w:pStyle w:val="nTable"/>
              <w:spacing w:after="40"/>
              <w:ind w:right="170"/>
              <w:rPr>
                <w:del w:id="1506" w:author="svcMRProcess" w:date="2020-02-19T21:14:00Z"/>
                <w:sz w:val="19"/>
              </w:rPr>
            </w:pPr>
            <w:del w:id="1507" w:author="svcMRProcess" w:date="2020-02-19T21:14:00Z">
              <w:r>
                <w:rPr>
                  <w:i/>
                  <w:sz w:val="19"/>
                </w:rPr>
                <w:delText>Acts Amendment (Public Sector Management) Act 1994</w:delText>
              </w:r>
              <w:r>
                <w:rPr>
                  <w:sz w:val="19"/>
                </w:rPr>
                <w:delText>,</w:delText>
              </w:r>
            </w:del>
          </w:p>
          <w:p>
            <w:pPr>
              <w:pStyle w:val="nTable"/>
              <w:spacing w:after="40"/>
              <w:ind w:right="170"/>
              <w:rPr>
                <w:del w:id="1508" w:author="svcMRProcess" w:date="2020-02-19T21:14:00Z"/>
                <w:sz w:val="19"/>
              </w:rPr>
            </w:pPr>
            <w:del w:id="1509" w:author="svcMRProcess" w:date="2020-02-19T21:14:00Z">
              <w:r>
                <w:rPr>
                  <w:sz w:val="19"/>
                </w:rPr>
                <w:delText>section 19</w:delText>
              </w:r>
            </w:del>
          </w:p>
        </w:tc>
        <w:tc>
          <w:tcPr>
            <w:tcW w:w="1134" w:type="dxa"/>
          </w:tcPr>
          <w:p>
            <w:pPr>
              <w:pStyle w:val="nTable"/>
              <w:spacing w:after="40"/>
              <w:rPr>
                <w:del w:id="1510" w:author="svcMRProcess" w:date="2020-02-19T21:14:00Z"/>
                <w:sz w:val="19"/>
              </w:rPr>
            </w:pPr>
            <w:del w:id="1511" w:author="svcMRProcess" w:date="2020-02-19T21:14:00Z">
              <w:r>
                <w:rPr>
                  <w:sz w:val="19"/>
                </w:rPr>
                <w:delText>32 of 1994</w:delText>
              </w:r>
            </w:del>
          </w:p>
        </w:tc>
        <w:tc>
          <w:tcPr>
            <w:tcW w:w="1134" w:type="dxa"/>
          </w:tcPr>
          <w:p>
            <w:pPr>
              <w:pStyle w:val="nTable"/>
              <w:spacing w:after="40"/>
              <w:rPr>
                <w:del w:id="1512" w:author="svcMRProcess" w:date="2020-02-19T21:14:00Z"/>
                <w:sz w:val="19"/>
              </w:rPr>
            </w:pPr>
            <w:del w:id="1513" w:author="svcMRProcess" w:date="2020-02-19T21:14:00Z">
              <w:r>
                <w:rPr>
                  <w:sz w:val="19"/>
                </w:rPr>
                <w:delText>29 Jun 1994</w:delText>
              </w:r>
            </w:del>
          </w:p>
        </w:tc>
        <w:tc>
          <w:tcPr>
            <w:tcW w:w="2551" w:type="dxa"/>
          </w:tcPr>
          <w:p>
            <w:pPr>
              <w:pStyle w:val="nTable"/>
              <w:spacing w:after="40"/>
              <w:rPr>
                <w:del w:id="1514" w:author="svcMRProcess" w:date="2020-02-19T21:14:00Z"/>
                <w:sz w:val="19"/>
              </w:rPr>
            </w:pPr>
            <w:del w:id="1515" w:author="svcMRProcess" w:date="2020-02-19T21:14:00Z">
              <w:r>
                <w:rPr>
                  <w:sz w:val="19"/>
                </w:rPr>
                <w:delText>1 Oct 1994 (see s. 2 and </w:delText>
              </w:r>
              <w:r>
                <w:rPr>
                  <w:i/>
                  <w:sz w:val="19"/>
                </w:rPr>
                <w:delText>Gazette</w:delText>
              </w:r>
              <w:r>
                <w:rPr>
                  <w:sz w:val="19"/>
                </w:rPr>
                <w:delText xml:space="preserve"> 30 Sep 1994 p. 4948)</w:delText>
              </w:r>
            </w:del>
          </w:p>
        </w:tc>
      </w:tr>
      <w:tr>
        <w:trPr>
          <w:cantSplit/>
          <w:del w:id="1516" w:author="svcMRProcess" w:date="2020-02-19T21:14:00Z"/>
        </w:trPr>
        <w:tc>
          <w:tcPr>
            <w:tcW w:w="2268" w:type="dxa"/>
          </w:tcPr>
          <w:p>
            <w:pPr>
              <w:pStyle w:val="nTable"/>
              <w:spacing w:after="40"/>
              <w:ind w:right="170"/>
              <w:rPr>
                <w:del w:id="1517" w:author="svcMRProcess" w:date="2020-02-19T21:14:00Z"/>
                <w:sz w:val="19"/>
              </w:rPr>
            </w:pPr>
            <w:del w:id="1518" w:author="svcMRProcess" w:date="2020-02-19T21:14:00Z">
              <w:r>
                <w:rPr>
                  <w:i/>
                  <w:sz w:val="19"/>
                </w:rPr>
                <w:delText>Statutes (Repeals and Minor Amendments) Act 1994</w:delText>
              </w:r>
              <w:r>
                <w:rPr>
                  <w:sz w:val="19"/>
                </w:rPr>
                <w:delText>,</w:delText>
              </w:r>
            </w:del>
          </w:p>
          <w:p>
            <w:pPr>
              <w:pStyle w:val="nTable"/>
              <w:spacing w:after="40"/>
              <w:ind w:right="170"/>
              <w:rPr>
                <w:del w:id="1519" w:author="svcMRProcess" w:date="2020-02-19T21:14:00Z"/>
                <w:sz w:val="19"/>
              </w:rPr>
            </w:pPr>
            <w:del w:id="1520" w:author="svcMRProcess" w:date="2020-02-19T21:14:00Z">
              <w:r>
                <w:rPr>
                  <w:sz w:val="19"/>
                </w:rPr>
                <w:delText>section 4</w:delText>
              </w:r>
            </w:del>
          </w:p>
        </w:tc>
        <w:tc>
          <w:tcPr>
            <w:tcW w:w="1134" w:type="dxa"/>
          </w:tcPr>
          <w:p>
            <w:pPr>
              <w:pStyle w:val="nTable"/>
              <w:spacing w:after="40"/>
              <w:rPr>
                <w:del w:id="1521" w:author="svcMRProcess" w:date="2020-02-19T21:14:00Z"/>
                <w:sz w:val="19"/>
              </w:rPr>
            </w:pPr>
            <w:del w:id="1522" w:author="svcMRProcess" w:date="2020-02-19T21:14:00Z">
              <w:r>
                <w:rPr>
                  <w:sz w:val="19"/>
                </w:rPr>
                <w:delText>73 of 1994</w:delText>
              </w:r>
            </w:del>
          </w:p>
        </w:tc>
        <w:tc>
          <w:tcPr>
            <w:tcW w:w="1134" w:type="dxa"/>
          </w:tcPr>
          <w:p>
            <w:pPr>
              <w:pStyle w:val="nTable"/>
              <w:spacing w:after="40"/>
              <w:rPr>
                <w:del w:id="1523" w:author="svcMRProcess" w:date="2020-02-19T21:14:00Z"/>
                <w:sz w:val="19"/>
              </w:rPr>
            </w:pPr>
            <w:del w:id="1524" w:author="svcMRProcess" w:date="2020-02-19T21:14:00Z">
              <w:r>
                <w:rPr>
                  <w:sz w:val="19"/>
                </w:rPr>
                <w:delText>9 Dec 1994</w:delText>
              </w:r>
            </w:del>
          </w:p>
        </w:tc>
        <w:tc>
          <w:tcPr>
            <w:tcW w:w="2551" w:type="dxa"/>
          </w:tcPr>
          <w:p>
            <w:pPr>
              <w:pStyle w:val="nTable"/>
              <w:spacing w:after="40"/>
              <w:rPr>
                <w:del w:id="1525" w:author="svcMRProcess" w:date="2020-02-19T21:14:00Z"/>
                <w:sz w:val="19"/>
              </w:rPr>
            </w:pPr>
            <w:del w:id="1526" w:author="svcMRProcess" w:date="2020-02-19T21:14:00Z">
              <w:r>
                <w:rPr>
                  <w:sz w:val="19"/>
                </w:rPr>
                <w:delText>9 Dec 1994 (see s. 2)</w:delText>
              </w:r>
            </w:del>
          </w:p>
        </w:tc>
      </w:tr>
      <w:tr>
        <w:trPr>
          <w:cantSplit/>
          <w:del w:id="1527" w:author="svcMRProcess" w:date="2020-02-19T21:14:00Z"/>
        </w:trPr>
        <w:tc>
          <w:tcPr>
            <w:tcW w:w="2268" w:type="dxa"/>
          </w:tcPr>
          <w:p>
            <w:pPr>
              <w:pStyle w:val="nTable"/>
              <w:spacing w:after="40"/>
              <w:ind w:right="170"/>
              <w:rPr>
                <w:del w:id="1528" w:author="svcMRProcess" w:date="2020-02-19T21:14:00Z"/>
                <w:sz w:val="19"/>
              </w:rPr>
            </w:pPr>
            <w:del w:id="1529" w:author="svcMRProcess" w:date="2020-02-19T21:14:00Z">
              <w:r>
                <w:rPr>
                  <w:i/>
                  <w:sz w:val="19"/>
                </w:rPr>
                <w:delText>Acts Amendment and Repeal (Native Title) Act 1995</w:delText>
              </w:r>
              <w:r>
                <w:rPr>
                  <w:sz w:val="19"/>
                </w:rPr>
                <w:delText>,</w:delText>
              </w:r>
            </w:del>
          </w:p>
          <w:p>
            <w:pPr>
              <w:pStyle w:val="nTable"/>
              <w:spacing w:after="40"/>
              <w:ind w:right="170"/>
              <w:rPr>
                <w:del w:id="1530" w:author="svcMRProcess" w:date="2020-02-19T21:14:00Z"/>
                <w:sz w:val="19"/>
              </w:rPr>
            </w:pPr>
            <w:del w:id="1531" w:author="svcMRProcess" w:date="2020-02-19T21:14:00Z">
              <w:r>
                <w:rPr>
                  <w:sz w:val="19"/>
                </w:rPr>
                <w:delText>Part 8</w:delText>
              </w:r>
            </w:del>
          </w:p>
        </w:tc>
        <w:tc>
          <w:tcPr>
            <w:tcW w:w="1134" w:type="dxa"/>
          </w:tcPr>
          <w:p>
            <w:pPr>
              <w:pStyle w:val="nTable"/>
              <w:spacing w:after="40"/>
              <w:rPr>
                <w:del w:id="1532" w:author="svcMRProcess" w:date="2020-02-19T21:14:00Z"/>
                <w:sz w:val="19"/>
              </w:rPr>
            </w:pPr>
            <w:del w:id="1533" w:author="svcMRProcess" w:date="2020-02-19T21:14:00Z">
              <w:r>
                <w:rPr>
                  <w:sz w:val="19"/>
                </w:rPr>
                <w:delText>52 of 1995</w:delText>
              </w:r>
            </w:del>
          </w:p>
        </w:tc>
        <w:tc>
          <w:tcPr>
            <w:tcW w:w="1134" w:type="dxa"/>
          </w:tcPr>
          <w:p>
            <w:pPr>
              <w:pStyle w:val="nTable"/>
              <w:spacing w:after="40"/>
              <w:rPr>
                <w:del w:id="1534" w:author="svcMRProcess" w:date="2020-02-19T21:14:00Z"/>
                <w:sz w:val="19"/>
              </w:rPr>
            </w:pPr>
            <w:del w:id="1535" w:author="svcMRProcess" w:date="2020-02-19T21:14:00Z">
              <w:r>
                <w:rPr>
                  <w:sz w:val="19"/>
                </w:rPr>
                <w:delText>24 Nov 1995</w:delText>
              </w:r>
            </w:del>
          </w:p>
        </w:tc>
        <w:tc>
          <w:tcPr>
            <w:tcW w:w="2551" w:type="dxa"/>
          </w:tcPr>
          <w:p>
            <w:pPr>
              <w:pStyle w:val="nTable"/>
              <w:spacing w:after="40"/>
              <w:rPr>
                <w:del w:id="1536" w:author="svcMRProcess" w:date="2020-02-19T21:14:00Z"/>
                <w:sz w:val="19"/>
              </w:rPr>
            </w:pPr>
            <w:del w:id="1537" w:author="svcMRProcess" w:date="2020-02-19T21:14:00Z">
              <w:r>
                <w:rPr>
                  <w:sz w:val="19"/>
                </w:rPr>
                <w:delText xml:space="preserve">9 Dec 1995 (see s. 2 and </w:delText>
              </w:r>
              <w:r>
                <w:rPr>
                  <w:i/>
                  <w:sz w:val="19"/>
                </w:rPr>
                <w:delText>Gazette</w:delText>
              </w:r>
              <w:r>
                <w:rPr>
                  <w:sz w:val="19"/>
                </w:rPr>
                <w:delText xml:space="preserve"> 8 Dec 1995 p. 5935)</w:delText>
              </w:r>
            </w:del>
          </w:p>
        </w:tc>
      </w:tr>
      <w:tr>
        <w:trPr>
          <w:cantSplit/>
          <w:del w:id="1538" w:author="svcMRProcess" w:date="2020-02-19T21:14:00Z"/>
        </w:trPr>
        <w:tc>
          <w:tcPr>
            <w:tcW w:w="2268" w:type="dxa"/>
          </w:tcPr>
          <w:p>
            <w:pPr>
              <w:pStyle w:val="nTable"/>
              <w:spacing w:after="40"/>
              <w:ind w:right="170"/>
              <w:rPr>
                <w:del w:id="1539" w:author="svcMRProcess" w:date="2020-02-19T21:14:00Z"/>
                <w:sz w:val="19"/>
              </w:rPr>
            </w:pPr>
            <w:del w:id="1540" w:author="svcMRProcess" w:date="2020-02-19T21:14:00Z">
              <w:r>
                <w:rPr>
                  <w:i/>
                  <w:sz w:val="19"/>
                </w:rPr>
                <w:delText>Acts Amendment (Marine Reserves) Act 1997</w:delText>
              </w:r>
              <w:r>
                <w:rPr>
                  <w:sz w:val="19"/>
                </w:rPr>
                <w:delText>,</w:delText>
              </w:r>
            </w:del>
          </w:p>
          <w:p>
            <w:pPr>
              <w:pStyle w:val="nTable"/>
              <w:spacing w:after="40"/>
              <w:ind w:right="170"/>
              <w:rPr>
                <w:del w:id="1541" w:author="svcMRProcess" w:date="2020-02-19T21:14:00Z"/>
                <w:sz w:val="19"/>
              </w:rPr>
            </w:pPr>
            <w:del w:id="1542" w:author="svcMRProcess" w:date="2020-02-19T21:14:00Z">
              <w:r>
                <w:rPr>
                  <w:sz w:val="19"/>
                </w:rPr>
                <w:delText>Part 5</w:delText>
              </w:r>
            </w:del>
          </w:p>
        </w:tc>
        <w:tc>
          <w:tcPr>
            <w:tcW w:w="1134" w:type="dxa"/>
          </w:tcPr>
          <w:p>
            <w:pPr>
              <w:pStyle w:val="nTable"/>
              <w:spacing w:after="40"/>
              <w:rPr>
                <w:del w:id="1543" w:author="svcMRProcess" w:date="2020-02-19T21:14:00Z"/>
                <w:sz w:val="19"/>
              </w:rPr>
            </w:pPr>
            <w:del w:id="1544" w:author="svcMRProcess" w:date="2020-02-19T21:14:00Z">
              <w:r>
                <w:rPr>
                  <w:sz w:val="19"/>
                </w:rPr>
                <w:delText>5 of 1997</w:delText>
              </w:r>
            </w:del>
          </w:p>
        </w:tc>
        <w:tc>
          <w:tcPr>
            <w:tcW w:w="1134" w:type="dxa"/>
          </w:tcPr>
          <w:p>
            <w:pPr>
              <w:pStyle w:val="nTable"/>
              <w:spacing w:after="40"/>
              <w:rPr>
                <w:del w:id="1545" w:author="svcMRProcess" w:date="2020-02-19T21:14:00Z"/>
                <w:sz w:val="19"/>
              </w:rPr>
            </w:pPr>
            <w:del w:id="1546" w:author="svcMRProcess" w:date="2020-02-19T21:14:00Z">
              <w:r>
                <w:rPr>
                  <w:sz w:val="19"/>
                </w:rPr>
                <w:delText>10 Jun 1997</w:delText>
              </w:r>
            </w:del>
          </w:p>
        </w:tc>
        <w:tc>
          <w:tcPr>
            <w:tcW w:w="2551" w:type="dxa"/>
          </w:tcPr>
          <w:p>
            <w:pPr>
              <w:pStyle w:val="nTable"/>
              <w:spacing w:after="40"/>
              <w:rPr>
                <w:del w:id="1547" w:author="svcMRProcess" w:date="2020-02-19T21:14:00Z"/>
                <w:sz w:val="19"/>
              </w:rPr>
            </w:pPr>
            <w:del w:id="1548" w:author="svcMRProcess" w:date="2020-02-19T21:14:00Z">
              <w:r>
                <w:rPr>
                  <w:sz w:val="19"/>
                </w:rPr>
                <w:delText>29 Aug 1997 (see s. 2 and </w:delText>
              </w:r>
              <w:r>
                <w:rPr>
                  <w:i/>
                  <w:sz w:val="19"/>
                </w:rPr>
                <w:delText>Gazette</w:delText>
              </w:r>
              <w:r>
                <w:rPr>
                  <w:sz w:val="19"/>
                </w:rPr>
                <w:delText xml:space="preserve"> 29 Aug 1997 p. 4867)</w:delText>
              </w:r>
            </w:del>
          </w:p>
        </w:tc>
      </w:tr>
      <w:tr>
        <w:trPr>
          <w:cantSplit/>
          <w:del w:id="1549" w:author="svcMRProcess" w:date="2020-02-19T21:14:00Z"/>
        </w:trPr>
        <w:tc>
          <w:tcPr>
            <w:tcW w:w="2268" w:type="dxa"/>
          </w:tcPr>
          <w:p>
            <w:pPr>
              <w:pStyle w:val="nTable"/>
              <w:spacing w:after="40"/>
              <w:ind w:right="170"/>
              <w:rPr>
                <w:del w:id="1550" w:author="svcMRProcess" w:date="2020-02-19T21:14:00Z"/>
                <w:sz w:val="19"/>
              </w:rPr>
            </w:pPr>
            <w:del w:id="1551" w:author="svcMRProcess" w:date="2020-02-19T21:14:00Z">
              <w:r>
                <w:rPr>
                  <w:i/>
                  <w:sz w:val="19"/>
                </w:rPr>
                <w:delText>Statutes (Repeals and Minor Amendments) Act 1997</w:delText>
              </w:r>
              <w:r>
                <w:rPr>
                  <w:sz w:val="19"/>
                </w:rPr>
                <w:delText>,</w:delText>
              </w:r>
            </w:del>
          </w:p>
          <w:p>
            <w:pPr>
              <w:pStyle w:val="nTable"/>
              <w:spacing w:after="40"/>
              <w:ind w:right="170"/>
              <w:rPr>
                <w:del w:id="1552" w:author="svcMRProcess" w:date="2020-02-19T21:14:00Z"/>
                <w:sz w:val="19"/>
              </w:rPr>
            </w:pPr>
            <w:del w:id="1553" w:author="svcMRProcess" w:date="2020-02-19T21:14:00Z">
              <w:r>
                <w:rPr>
                  <w:sz w:val="19"/>
                </w:rPr>
                <w:delText>section 94</w:delText>
              </w:r>
            </w:del>
          </w:p>
        </w:tc>
        <w:tc>
          <w:tcPr>
            <w:tcW w:w="1134" w:type="dxa"/>
          </w:tcPr>
          <w:p>
            <w:pPr>
              <w:pStyle w:val="nTable"/>
              <w:spacing w:after="40"/>
              <w:rPr>
                <w:del w:id="1554" w:author="svcMRProcess" w:date="2020-02-19T21:14:00Z"/>
                <w:sz w:val="19"/>
              </w:rPr>
            </w:pPr>
            <w:del w:id="1555" w:author="svcMRProcess" w:date="2020-02-19T21:14:00Z">
              <w:r>
                <w:rPr>
                  <w:sz w:val="19"/>
                </w:rPr>
                <w:delText>57 of 1997</w:delText>
              </w:r>
            </w:del>
          </w:p>
        </w:tc>
        <w:tc>
          <w:tcPr>
            <w:tcW w:w="1134" w:type="dxa"/>
          </w:tcPr>
          <w:p>
            <w:pPr>
              <w:pStyle w:val="nTable"/>
              <w:spacing w:after="40"/>
              <w:rPr>
                <w:del w:id="1556" w:author="svcMRProcess" w:date="2020-02-19T21:14:00Z"/>
                <w:sz w:val="19"/>
              </w:rPr>
            </w:pPr>
            <w:del w:id="1557" w:author="svcMRProcess" w:date="2020-02-19T21:14:00Z">
              <w:r>
                <w:rPr>
                  <w:sz w:val="19"/>
                </w:rPr>
                <w:delText>15 Dec 1997</w:delText>
              </w:r>
            </w:del>
          </w:p>
        </w:tc>
        <w:tc>
          <w:tcPr>
            <w:tcW w:w="2551" w:type="dxa"/>
          </w:tcPr>
          <w:p>
            <w:pPr>
              <w:pStyle w:val="nTable"/>
              <w:spacing w:after="40"/>
              <w:rPr>
                <w:del w:id="1558" w:author="svcMRProcess" w:date="2020-02-19T21:14:00Z"/>
                <w:sz w:val="19"/>
              </w:rPr>
            </w:pPr>
            <w:del w:id="1559" w:author="svcMRProcess" w:date="2020-02-19T21:14:00Z">
              <w:r>
                <w:rPr>
                  <w:sz w:val="19"/>
                </w:rPr>
                <w:delText>15 Dec 1997 (see s. 2)</w:delText>
              </w:r>
            </w:del>
          </w:p>
        </w:tc>
      </w:tr>
      <w:tr>
        <w:trPr>
          <w:cantSplit/>
          <w:del w:id="1560" w:author="svcMRProcess" w:date="2020-02-19T21:14:00Z"/>
        </w:trPr>
        <w:tc>
          <w:tcPr>
            <w:tcW w:w="2268" w:type="dxa"/>
          </w:tcPr>
          <w:p>
            <w:pPr>
              <w:pStyle w:val="nTable"/>
              <w:spacing w:after="40"/>
              <w:ind w:right="170"/>
              <w:rPr>
                <w:del w:id="1561" w:author="svcMRProcess" w:date="2020-02-19T21:14:00Z"/>
                <w:sz w:val="19"/>
              </w:rPr>
            </w:pPr>
            <w:del w:id="1562" w:author="svcMRProcess" w:date="2020-02-19T21:14:00Z">
              <w:r>
                <w:rPr>
                  <w:i/>
                  <w:sz w:val="19"/>
                </w:rPr>
                <w:delText>Acts Amendment (Land Administration, Mining and Petroleum) Act 1998</w:delText>
              </w:r>
              <w:r>
                <w:rPr>
                  <w:sz w:val="19"/>
                </w:rPr>
                <w:delText>,</w:delText>
              </w:r>
            </w:del>
          </w:p>
          <w:p>
            <w:pPr>
              <w:pStyle w:val="nTable"/>
              <w:spacing w:after="40"/>
              <w:ind w:right="170"/>
              <w:rPr>
                <w:del w:id="1563" w:author="svcMRProcess" w:date="2020-02-19T21:14:00Z"/>
                <w:sz w:val="19"/>
              </w:rPr>
            </w:pPr>
            <w:del w:id="1564" w:author="svcMRProcess" w:date="2020-02-19T21:14:00Z">
              <w:r>
                <w:rPr>
                  <w:sz w:val="19"/>
                </w:rPr>
                <w:delText>Part 5</w:delText>
              </w:r>
            </w:del>
          </w:p>
        </w:tc>
        <w:tc>
          <w:tcPr>
            <w:tcW w:w="1134" w:type="dxa"/>
          </w:tcPr>
          <w:p>
            <w:pPr>
              <w:pStyle w:val="nTable"/>
              <w:spacing w:after="40"/>
              <w:rPr>
                <w:del w:id="1565" w:author="svcMRProcess" w:date="2020-02-19T21:14:00Z"/>
                <w:sz w:val="19"/>
              </w:rPr>
            </w:pPr>
            <w:del w:id="1566" w:author="svcMRProcess" w:date="2020-02-19T21:14:00Z">
              <w:r>
                <w:rPr>
                  <w:sz w:val="19"/>
                </w:rPr>
                <w:delText>61 of 1998</w:delText>
              </w:r>
            </w:del>
          </w:p>
        </w:tc>
        <w:tc>
          <w:tcPr>
            <w:tcW w:w="1134" w:type="dxa"/>
          </w:tcPr>
          <w:p>
            <w:pPr>
              <w:pStyle w:val="nTable"/>
              <w:spacing w:after="40"/>
              <w:rPr>
                <w:del w:id="1567" w:author="svcMRProcess" w:date="2020-02-19T21:14:00Z"/>
                <w:sz w:val="19"/>
              </w:rPr>
            </w:pPr>
            <w:del w:id="1568" w:author="svcMRProcess" w:date="2020-02-19T21:14:00Z">
              <w:r>
                <w:rPr>
                  <w:sz w:val="19"/>
                </w:rPr>
                <w:delText>11 Jan 1999</w:delText>
              </w:r>
            </w:del>
          </w:p>
        </w:tc>
        <w:tc>
          <w:tcPr>
            <w:tcW w:w="2551" w:type="dxa"/>
          </w:tcPr>
          <w:p>
            <w:pPr>
              <w:pStyle w:val="nTable"/>
              <w:spacing w:after="40"/>
              <w:rPr>
                <w:del w:id="1569" w:author="svcMRProcess" w:date="2020-02-19T21:14:00Z"/>
                <w:sz w:val="19"/>
              </w:rPr>
            </w:pPr>
            <w:del w:id="1570" w:author="svcMRProcess" w:date="2020-02-19T21:14:00Z">
              <w:r>
                <w:rPr>
                  <w:sz w:val="19"/>
                </w:rPr>
                <w:delText>11 Jan 1999 (see s. 2(1))</w:delText>
              </w:r>
            </w:del>
          </w:p>
        </w:tc>
      </w:tr>
      <w:tr>
        <w:trPr>
          <w:cantSplit/>
          <w:del w:id="1571" w:author="svcMRProcess" w:date="2020-02-19T21:14:00Z"/>
        </w:trPr>
        <w:tc>
          <w:tcPr>
            <w:tcW w:w="2268" w:type="dxa"/>
          </w:tcPr>
          <w:p>
            <w:pPr>
              <w:pStyle w:val="nTable"/>
              <w:spacing w:after="40"/>
              <w:ind w:right="170"/>
              <w:rPr>
                <w:del w:id="1572" w:author="svcMRProcess" w:date="2020-02-19T21:14:00Z"/>
                <w:sz w:val="19"/>
              </w:rPr>
            </w:pPr>
            <w:del w:id="1573" w:author="svcMRProcess" w:date="2020-02-19T21:14:00Z">
              <w:r>
                <w:rPr>
                  <w:i/>
                  <w:sz w:val="19"/>
                </w:rPr>
                <w:delText>Gas Pipelines Access (Western Australia) Act 1998</w:delText>
              </w:r>
              <w:r>
                <w:rPr>
                  <w:sz w:val="19"/>
                </w:rPr>
                <w:delText>,</w:delText>
              </w:r>
            </w:del>
          </w:p>
          <w:p>
            <w:pPr>
              <w:pStyle w:val="nTable"/>
              <w:spacing w:after="40"/>
              <w:ind w:right="170"/>
              <w:rPr>
                <w:del w:id="1574" w:author="svcMRProcess" w:date="2020-02-19T21:14:00Z"/>
                <w:sz w:val="19"/>
              </w:rPr>
            </w:pPr>
            <w:del w:id="1575" w:author="svcMRProcess" w:date="2020-02-19T21:14:00Z">
              <w:r>
                <w:rPr>
                  <w:sz w:val="19"/>
                </w:rPr>
                <w:delText>section 89</w:delText>
              </w:r>
            </w:del>
          </w:p>
        </w:tc>
        <w:tc>
          <w:tcPr>
            <w:tcW w:w="1134" w:type="dxa"/>
          </w:tcPr>
          <w:p>
            <w:pPr>
              <w:pStyle w:val="nTable"/>
              <w:spacing w:after="40"/>
              <w:rPr>
                <w:del w:id="1576" w:author="svcMRProcess" w:date="2020-02-19T21:14:00Z"/>
                <w:sz w:val="19"/>
              </w:rPr>
            </w:pPr>
            <w:del w:id="1577" w:author="svcMRProcess" w:date="2020-02-19T21:14:00Z">
              <w:r>
                <w:rPr>
                  <w:sz w:val="19"/>
                </w:rPr>
                <w:delText>65 of 1998</w:delText>
              </w:r>
            </w:del>
          </w:p>
        </w:tc>
        <w:tc>
          <w:tcPr>
            <w:tcW w:w="1134" w:type="dxa"/>
          </w:tcPr>
          <w:p>
            <w:pPr>
              <w:pStyle w:val="nTable"/>
              <w:spacing w:after="40"/>
              <w:rPr>
                <w:del w:id="1578" w:author="svcMRProcess" w:date="2020-02-19T21:14:00Z"/>
                <w:sz w:val="19"/>
              </w:rPr>
            </w:pPr>
            <w:del w:id="1579" w:author="svcMRProcess" w:date="2020-02-19T21:14:00Z">
              <w:r>
                <w:rPr>
                  <w:sz w:val="19"/>
                </w:rPr>
                <w:delText>15 Jan 1999</w:delText>
              </w:r>
            </w:del>
          </w:p>
        </w:tc>
        <w:tc>
          <w:tcPr>
            <w:tcW w:w="2551" w:type="dxa"/>
          </w:tcPr>
          <w:p>
            <w:pPr>
              <w:pStyle w:val="nTable"/>
              <w:spacing w:after="40"/>
              <w:rPr>
                <w:del w:id="1580" w:author="svcMRProcess" w:date="2020-02-19T21:14:00Z"/>
                <w:sz w:val="19"/>
              </w:rPr>
            </w:pPr>
            <w:del w:id="1581" w:author="svcMRProcess" w:date="2020-02-19T21:14:00Z">
              <w:r>
                <w:rPr>
                  <w:sz w:val="19"/>
                </w:rPr>
                <w:delText xml:space="preserve">9 Feb 1999 (see s. 2 and </w:delText>
              </w:r>
              <w:r>
                <w:rPr>
                  <w:i/>
                  <w:sz w:val="19"/>
                </w:rPr>
                <w:delText>Gazette</w:delText>
              </w:r>
              <w:r>
                <w:rPr>
                  <w:sz w:val="19"/>
                </w:rPr>
                <w:delText xml:space="preserve"> 8 Feb 1999 p. 441)</w:delText>
              </w:r>
            </w:del>
          </w:p>
        </w:tc>
      </w:tr>
      <w:tr>
        <w:trPr>
          <w:cantSplit/>
          <w:del w:id="1582" w:author="svcMRProcess" w:date="2020-02-19T21:14:00Z"/>
        </w:trPr>
        <w:tc>
          <w:tcPr>
            <w:tcW w:w="2268" w:type="dxa"/>
          </w:tcPr>
          <w:p>
            <w:pPr>
              <w:pStyle w:val="nTable"/>
              <w:spacing w:after="40"/>
              <w:ind w:right="170"/>
              <w:rPr>
                <w:del w:id="1583" w:author="svcMRProcess" w:date="2020-02-19T21:14:00Z"/>
                <w:sz w:val="19"/>
              </w:rPr>
            </w:pPr>
            <w:del w:id="1584" w:author="svcMRProcess" w:date="2020-02-19T21:14:00Z">
              <w:r>
                <w:rPr>
                  <w:i/>
                  <w:sz w:val="19"/>
                </w:rPr>
                <w:delText>Acts Amendment (Mining and Petroleum) Act 1999</w:delText>
              </w:r>
              <w:r>
                <w:rPr>
                  <w:sz w:val="19"/>
                </w:rPr>
                <w:delText>,</w:delText>
              </w:r>
            </w:del>
          </w:p>
          <w:p>
            <w:pPr>
              <w:pStyle w:val="nTable"/>
              <w:spacing w:after="40"/>
              <w:ind w:right="170"/>
              <w:rPr>
                <w:del w:id="1585" w:author="svcMRProcess" w:date="2020-02-19T21:14:00Z"/>
                <w:sz w:val="19"/>
              </w:rPr>
            </w:pPr>
            <w:del w:id="1586" w:author="svcMRProcess" w:date="2020-02-19T21:14:00Z">
              <w:r>
                <w:rPr>
                  <w:sz w:val="19"/>
                </w:rPr>
                <w:delText>Part 4</w:delText>
              </w:r>
            </w:del>
          </w:p>
        </w:tc>
        <w:tc>
          <w:tcPr>
            <w:tcW w:w="1134" w:type="dxa"/>
          </w:tcPr>
          <w:p>
            <w:pPr>
              <w:pStyle w:val="nTable"/>
              <w:spacing w:after="40"/>
              <w:rPr>
                <w:del w:id="1587" w:author="svcMRProcess" w:date="2020-02-19T21:14:00Z"/>
                <w:sz w:val="19"/>
              </w:rPr>
            </w:pPr>
            <w:del w:id="1588" w:author="svcMRProcess" w:date="2020-02-19T21:14:00Z">
              <w:r>
                <w:rPr>
                  <w:sz w:val="19"/>
                </w:rPr>
                <w:delText>17 of 1999</w:delText>
              </w:r>
            </w:del>
          </w:p>
        </w:tc>
        <w:tc>
          <w:tcPr>
            <w:tcW w:w="1134" w:type="dxa"/>
          </w:tcPr>
          <w:p>
            <w:pPr>
              <w:pStyle w:val="nTable"/>
              <w:spacing w:after="40"/>
              <w:rPr>
                <w:del w:id="1589" w:author="svcMRProcess" w:date="2020-02-19T21:14:00Z"/>
                <w:sz w:val="19"/>
              </w:rPr>
            </w:pPr>
            <w:del w:id="1590" w:author="svcMRProcess" w:date="2020-02-19T21:14:00Z">
              <w:r>
                <w:rPr>
                  <w:sz w:val="19"/>
                </w:rPr>
                <w:delText>15 Jun 1999</w:delText>
              </w:r>
            </w:del>
          </w:p>
        </w:tc>
        <w:tc>
          <w:tcPr>
            <w:tcW w:w="2551" w:type="dxa"/>
          </w:tcPr>
          <w:p>
            <w:pPr>
              <w:pStyle w:val="nTable"/>
              <w:spacing w:after="40"/>
              <w:rPr>
                <w:del w:id="1591" w:author="svcMRProcess" w:date="2020-02-19T21:14:00Z"/>
                <w:sz w:val="19"/>
              </w:rPr>
            </w:pPr>
            <w:del w:id="1592" w:author="svcMRProcess" w:date="2020-02-19T21:14:00Z">
              <w:r>
                <w:rPr>
                  <w:sz w:val="19"/>
                </w:rPr>
                <w:delText xml:space="preserve">24 Jul 1999 (see s. 2 and </w:delText>
              </w:r>
              <w:r>
                <w:rPr>
                  <w:i/>
                  <w:sz w:val="19"/>
                </w:rPr>
                <w:delText>Gazette</w:delText>
              </w:r>
              <w:r>
                <w:rPr>
                  <w:sz w:val="19"/>
                </w:rPr>
                <w:delText xml:space="preserve"> 23 Jul 1999 p. 3385)</w:delText>
              </w:r>
            </w:del>
          </w:p>
        </w:tc>
      </w:tr>
      <w:tr>
        <w:trPr>
          <w:cantSplit/>
          <w:del w:id="1593" w:author="svcMRProcess" w:date="2020-02-19T21:14:00Z"/>
        </w:trPr>
        <w:tc>
          <w:tcPr>
            <w:tcW w:w="2268" w:type="dxa"/>
          </w:tcPr>
          <w:p>
            <w:pPr>
              <w:pStyle w:val="nTable"/>
              <w:spacing w:after="40"/>
              <w:ind w:right="170"/>
              <w:rPr>
                <w:del w:id="1594" w:author="svcMRProcess" w:date="2020-02-19T21:14:00Z"/>
                <w:sz w:val="19"/>
              </w:rPr>
            </w:pPr>
            <w:del w:id="1595" w:author="svcMRProcess" w:date="2020-02-19T21:14:00Z">
              <w:r>
                <w:rPr>
                  <w:i/>
                  <w:sz w:val="19"/>
                </w:rPr>
                <w:delText>Acts Amendment (Australian Datum) Act 2000</w:delText>
              </w:r>
              <w:r>
                <w:rPr>
                  <w:sz w:val="19"/>
                </w:rPr>
                <w:delText>,</w:delText>
              </w:r>
            </w:del>
          </w:p>
          <w:p>
            <w:pPr>
              <w:pStyle w:val="nTable"/>
              <w:spacing w:after="40"/>
              <w:ind w:right="170"/>
              <w:rPr>
                <w:del w:id="1596" w:author="svcMRProcess" w:date="2020-02-19T21:14:00Z"/>
                <w:sz w:val="19"/>
              </w:rPr>
            </w:pPr>
            <w:del w:id="1597" w:author="svcMRProcess" w:date="2020-02-19T21:14:00Z">
              <w:r>
                <w:rPr>
                  <w:sz w:val="19"/>
                </w:rPr>
                <w:delText>section 8</w:delText>
              </w:r>
            </w:del>
          </w:p>
        </w:tc>
        <w:tc>
          <w:tcPr>
            <w:tcW w:w="1134" w:type="dxa"/>
          </w:tcPr>
          <w:p>
            <w:pPr>
              <w:pStyle w:val="nTable"/>
              <w:spacing w:after="40"/>
              <w:rPr>
                <w:del w:id="1598" w:author="svcMRProcess" w:date="2020-02-19T21:14:00Z"/>
                <w:sz w:val="19"/>
              </w:rPr>
            </w:pPr>
            <w:del w:id="1599" w:author="svcMRProcess" w:date="2020-02-19T21:14:00Z">
              <w:r>
                <w:rPr>
                  <w:sz w:val="19"/>
                </w:rPr>
                <w:delText>54 of 2000</w:delText>
              </w:r>
            </w:del>
          </w:p>
        </w:tc>
        <w:tc>
          <w:tcPr>
            <w:tcW w:w="1134" w:type="dxa"/>
          </w:tcPr>
          <w:p>
            <w:pPr>
              <w:pStyle w:val="nTable"/>
              <w:spacing w:after="40"/>
              <w:rPr>
                <w:del w:id="1600" w:author="svcMRProcess" w:date="2020-02-19T21:14:00Z"/>
                <w:sz w:val="19"/>
              </w:rPr>
            </w:pPr>
            <w:del w:id="1601" w:author="svcMRProcess" w:date="2020-02-19T21:14:00Z">
              <w:r>
                <w:rPr>
                  <w:sz w:val="19"/>
                </w:rPr>
                <w:delText>28 Nov 2000</w:delText>
              </w:r>
            </w:del>
          </w:p>
        </w:tc>
        <w:tc>
          <w:tcPr>
            <w:tcW w:w="2551" w:type="dxa"/>
          </w:tcPr>
          <w:p>
            <w:pPr>
              <w:pStyle w:val="nTable"/>
              <w:spacing w:after="40"/>
              <w:rPr>
                <w:del w:id="1602" w:author="svcMRProcess" w:date="2020-02-19T21:14:00Z"/>
                <w:i/>
                <w:sz w:val="19"/>
              </w:rPr>
            </w:pPr>
            <w:del w:id="1603" w:author="svcMRProcess" w:date="2020-02-19T21:14:00Z">
              <w:r>
                <w:rPr>
                  <w:sz w:val="19"/>
                </w:rPr>
                <w:delText>16 Dec 2000 (see s. 2 and </w:delText>
              </w:r>
              <w:r>
                <w:rPr>
                  <w:i/>
                  <w:sz w:val="19"/>
                </w:rPr>
                <w:delText xml:space="preserve">Gazette </w:delText>
              </w:r>
              <w:r>
                <w:rPr>
                  <w:sz w:val="19"/>
                </w:rPr>
                <w:delText>15 Dec 2000 p. 7201)</w:delText>
              </w:r>
            </w:del>
          </w:p>
        </w:tc>
      </w:tr>
      <w:tr>
        <w:trPr>
          <w:cantSplit/>
          <w:del w:id="1604" w:author="svcMRProcess" w:date="2020-02-19T21:14:00Z"/>
        </w:trPr>
        <w:tc>
          <w:tcPr>
            <w:tcW w:w="2268" w:type="dxa"/>
          </w:tcPr>
          <w:p>
            <w:pPr>
              <w:pStyle w:val="nTable"/>
              <w:spacing w:after="40"/>
              <w:ind w:right="170"/>
              <w:rPr>
                <w:del w:id="1605" w:author="svcMRProcess" w:date="2020-02-19T21:14:00Z"/>
                <w:i/>
                <w:sz w:val="19"/>
              </w:rPr>
            </w:pPr>
            <w:del w:id="1606" w:author="svcMRProcess" w:date="2020-02-19T21:14:00Z">
              <w:r>
                <w:rPr>
                  <w:i/>
                  <w:sz w:val="19"/>
                </w:rPr>
                <w:delText>Corporations (Consequential Amendments) Act (No. 2) 2003</w:delText>
              </w:r>
              <w:r>
                <w:rPr>
                  <w:sz w:val="19"/>
                </w:rPr>
                <w:delText xml:space="preserve"> Pt. 18</w:delText>
              </w:r>
            </w:del>
          </w:p>
        </w:tc>
        <w:tc>
          <w:tcPr>
            <w:tcW w:w="1134" w:type="dxa"/>
          </w:tcPr>
          <w:p>
            <w:pPr>
              <w:pStyle w:val="nTable"/>
              <w:spacing w:after="40"/>
              <w:rPr>
                <w:del w:id="1607" w:author="svcMRProcess" w:date="2020-02-19T21:14:00Z"/>
                <w:sz w:val="19"/>
              </w:rPr>
            </w:pPr>
            <w:del w:id="1608" w:author="svcMRProcess" w:date="2020-02-19T21:14:00Z">
              <w:r>
                <w:rPr>
                  <w:sz w:val="19"/>
                </w:rPr>
                <w:delText>20 of 2003</w:delText>
              </w:r>
            </w:del>
          </w:p>
        </w:tc>
        <w:tc>
          <w:tcPr>
            <w:tcW w:w="1134" w:type="dxa"/>
          </w:tcPr>
          <w:p>
            <w:pPr>
              <w:pStyle w:val="nTable"/>
              <w:spacing w:after="40"/>
              <w:rPr>
                <w:del w:id="1609" w:author="svcMRProcess" w:date="2020-02-19T21:14:00Z"/>
                <w:sz w:val="19"/>
              </w:rPr>
            </w:pPr>
            <w:del w:id="1610" w:author="svcMRProcess" w:date="2020-02-19T21:14:00Z">
              <w:r>
                <w:rPr>
                  <w:sz w:val="19"/>
                </w:rPr>
                <w:delText>23 Apr 2003</w:delText>
              </w:r>
            </w:del>
          </w:p>
        </w:tc>
        <w:tc>
          <w:tcPr>
            <w:tcW w:w="2551" w:type="dxa"/>
          </w:tcPr>
          <w:p>
            <w:pPr>
              <w:pStyle w:val="nTable"/>
              <w:spacing w:after="40"/>
              <w:rPr>
                <w:del w:id="1611" w:author="svcMRProcess" w:date="2020-02-19T21:14:00Z"/>
                <w:sz w:val="19"/>
              </w:rPr>
            </w:pPr>
            <w:del w:id="1612" w:author="svcMRProcess" w:date="2020-02-19T21:14:00Z">
              <w:r>
                <w:rPr>
                  <w:sz w:val="19"/>
                </w:rPr>
                <w:delText xml:space="preserve">15 Jul 2001 (see s. 2(1) and Cwlth </w:delText>
              </w:r>
              <w:r>
                <w:rPr>
                  <w:i/>
                  <w:sz w:val="19"/>
                </w:rPr>
                <w:delText>Gazette</w:delText>
              </w:r>
              <w:r>
                <w:rPr>
                  <w:sz w:val="19"/>
                </w:rPr>
                <w:delText xml:space="preserve"> 13 Jul 2001 No. S285)</w:delText>
              </w:r>
            </w:del>
          </w:p>
        </w:tc>
      </w:tr>
      <w:tr>
        <w:trPr>
          <w:cantSplit/>
          <w:del w:id="1613" w:author="svcMRProcess" w:date="2020-02-19T21:14:00Z"/>
        </w:trPr>
        <w:tc>
          <w:tcPr>
            <w:tcW w:w="2268" w:type="dxa"/>
          </w:tcPr>
          <w:p>
            <w:pPr>
              <w:pStyle w:val="nTable"/>
              <w:spacing w:after="40"/>
              <w:ind w:right="170"/>
              <w:rPr>
                <w:del w:id="1614" w:author="svcMRProcess" w:date="2020-02-19T21:14:00Z"/>
                <w:i/>
                <w:sz w:val="19"/>
              </w:rPr>
            </w:pPr>
            <w:del w:id="1615" w:author="svcMRProcess" w:date="2020-02-19T21:14:00Z">
              <w:r>
                <w:rPr>
                  <w:i/>
                  <w:sz w:val="19"/>
                </w:rPr>
                <w:delText>Criminal Code Amendment Act 2004</w:delText>
              </w:r>
              <w:r>
                <w:rPr>
                  <w:sz w:val="19"/>
                </w:rPr>
                <w:delText xml:space="preserve"> s. 58 </w:delText>
              </w:r>
            </w:del>
          </w:p>
        </w:tc>
        <w:tc>
          <w:tcPr>
            <w:tcW w:w="1134" w:type="dxa"/>
          </w:tcPr>
          <w:p>
            <w:pPr>
              <w:pStyle w:val="nTable"/>
              <w:spacing w:after="40"/>
              <w:rPr>
                <w:del w:id="1616" w:author="svcMRProcess" w:date="2020-02-19T21:14:00Z"/>
                <w:sz w:val="19"/>
              </w:rPr>
            </w:pPr>
            <w:del w:id="1617" w:author="svcMRProcess" w:date="2020-02-19T21:14:00Z">
              <w:r>
                <w:rPr>
                  <w:sz w:val="19"/>
                </w:rPr>
                <w:delText>4 of 2004</w:delText>
              </w:r>
            </w:del>
          </w:p>
        </w:tc>
        <w:tc>
          <w:tcPr>
            <w:tcW w:w="1134" w:type="dxa"/>
          </w:tcPr>
          <w:p>
            <w:pPr>
              <w:pStyle w:val="nTable"/>
              <w:spacing w:after="40"/>
              <w:rPr>
                <w:del w:id="1618" w:author="svcMRProcess" w:date="2020-02-19T21:14:00Z"/>
                <w:sz w:val="19"/>
              </w:rPr>
            </w:pPr>
            <w:del w:id="1619" w:author="svcMRProcess" w:date="2020-02-19T21:14:00Z">
              <w:r>
                <w:rPr>
                  <w:sz w:val="19"/>
                </w:rPr>
                <w:delText>23 Apr 2004</w:delText>
              </w:r>
            </w:del>
          </w:p>
        </w:tc>
        <w:tc>
          <w:tcPr>
            <w:tcW w:w="2551" w:type="dxa"/>
          </w:tcPr>
          <w:p>
            <w:pPr>
              <w:pStyle w:val="nTable"/>
              <w:spacing w:after="40"/>
              <w:rPr>
                <w:del w:id="1620" w:author="svcMRProcess" w:date="2020-02-19T21:14:00Z"/>
                <w:sz w:val="19"/>
              </w:rPr>
            </w:pPr>
            <w:del w:id="1621" w:author="svcMRProcess" w:date="2020-02-19T21:14:00Z">
              <w:r>
                <w:rPr>
                  <w:sz w:val="19"/>
                </w:rPr>
                <w:delText>21 May 2004 (see s. 2)</w:delText>
              </w:r>
            </w:del>
          </w:p>
        </w:tc>
      </w:tr>
      <w:tr>
        <w:trPr>
          <w:cantSplit/>
          <w:del w:id="1622" w:author="svcMRProcess" w:date="2020-02-19T21:14:00Z"/>
        </w:trPr>
        <w:tc>
          <w:tcPr>
            <w:tcW w:w="2268" w:type="dxa"/>
          </w:tcPr>
          <w:p>
            <w:pPr>
              <w:pStyle w:val="nTable"/>
              <w:spacing w:after="40"/>
              <w:ind w:right="170"/>
              <w:rPr>
                <w:del w:id="1623" w:author="svcMRProcess" w:date="2020-02-19T21:14:00Z"/>
                <w:i/>
                <w:sz w:val="19"/>
                <w:vertAlign w:val="superscript"/>
              </w:rPr>
            </w:pPr>
            <w:del w:id="1624" w:author="svcMRProcess" w:date="2020-02-19T21:14:00Z">
              <w:r>
                <w:rPr>
                  <w:rFonts w:ascii="Times" w:hAnsi="Times"/>
                  <w:i/>
                  <w:sz w:val="19"/>
                </w:rPr>
                <w:delText>State Administrative Tribunal (Conferral of Jurisdiction) Amendment and Repeal Act 2004</w:delText>
              </w:r>
              <w:r>
                <w:rPr>
                  <w:rFonts w:ascii="Times" w:hAnsi="Times"/>
                  <w:sz w:val="19"/>
                </w:rPr>
                <w:delText xml:space="preserve"> Pt. 2 Div. 97</w:delText>
              </w:r>
              <w:r>
                <w:rPr>
                  <w:rFonts w:ascii="Times" w:hAnsi="Times"/>
                  <w:sz w:val="19"/>
                  <w:vertAlign w:val="superscript"/>
                </w:rPr>
                <w:delText> 14</w:delText>
              </w:r>
            </w:del>
          </w:p>
        </w:tc>
        <w:tc>
          <w:tcPr>
            <w:tcW w:w="1134" w:type="dxa"/>
          </w:tcPr>
          <w:p>
            <w:pPr>
              <w:pStyle w:val="nTable"/>
              <w:spacing w:after="40"/>
              <w:rPr>
                <w:del w:id="1625" w:author="svcMRProcess" w:date="2020-02-19T21:14:00Z"/>
                <w:sz w:val="19"/>
              </w:rPr>
            </w:pPr>
            <w:del w:id="1626" w:author="svcMRProcess" w:date="2020-02-19T21:14:00Z">
              <w:r>
                <w:rPr>
                  <w:rFonts w:ascii="Times" w:hAnsi="Times"/>
                  <w:sz w:val="19"/>
                </w:rPr>
                <w:delText>55 of 2004</w:delText>
              </w:r>
            </w:del>
          </w:p>
        </w:tc>
        <w:tc>
          <w:tcPr>
            <w:tcW w:w="1134" w:type="dxa"/>
          </w:tcPr>
          <w:p>
            <w:pPr>
              <w:pStyle w:val="nTable"/>
              <w:spacing w:after="40"/>
              <w:rPr>
                <w:del w:id="1627" w:author="svcMRProcess" w:date="2020-02-19T21:14:00Z"/>
                <w:sz w:val="19"/>
              </w:rPr>
            </w:pPr>
            <w:del w:id="1628" w:author="svcMRProcess" w:date="2020-02-19T21:14:00Z">
              <w:r>
                <w:rPr>
                  <w:rFonts w:ascii="Times" w:hAnsi="Times"/>
                  <w:sz w:val="19"/>
                </w:rPr>
                <w:delText>24 Nov 2004</w:delText>
              </w:r>
            </w:del>
          </w:p>
        </w:tc>
        <w:tc>
          <w:tcPr>
            <w:tcW w:w="2551" w:type="dxa"/>
          </w:tcPr>
          <w:p>
            <w:pPr>
              <w:pStyle w:val="nTable"/>
              <w:spacing w:after="40"/>
              <w:rPr>
                <w:del w:id="1629" w:author="svcMRProcess" w:date="2020-02-19T21:14:00Z"/>
                <w:sz w:val="19"/>
              </w:rPr>
            </w:pPr>
            <w:del w:id="1630" w:author="svcMRProcess" w:date="2020-02-19T21:14:00Z">
              <w:r>
                <w:rPr>
                  <w:sz w:val="19"/>
                </w:rPr>
                <w:delText xml:space="preserve">1 Jan 2005 (see s. 2 and </w:delText>
              </w:r>
              <w:r>
                <w:rPr>
                  <w:i/>
                  <w:sz w:val="19"/>
                </w:rPr>
                <w:delText>Gazette</w:delText>
              </w:r>
              <w:r>
                <w:rPr>
                  <w:sz w:val="19"/>
                </w:rPr>
                <w:delText xml:space="preserve"> 31 Dec 2004 p. 7130)</w:delText>
              </w:r>
            </w:del>
          </w:p>
        </w:tc>
      </w:tr>
      <w:tr>
        <w:tblPrEx>
          <w:tblBorders>
            <w:top w:val="single" w:sz="4" w:space="0" w:color="auto"/>
            <w:bottom w:val="single" w:sz="4" w:space="0" w:color="auto"/>
            <w:insideH w:val="single" w:sz="4" w:space="0" w:color="auto"/>
          </w:tblBorders>
        </w:tblPrEx>
        <w:trPr>
          <w:del w:id="1631" w:author="svcMRProcess" w:date="2020-02-19T21:14:00Z"/>
        </w:trPr>
        <w:tc>
          <w:tcPr>
            <w:tcW w:w="2268" w:type="dxa"/>
            <w:tcBorders>
              <w:top w:val="nil"/>
              <w:bottom w:val="single" w:sz="8" w:space="0" w:color="auto"/>
            </w:tcBorders>
          </w:tcPr>
          <w:p>
            <w:pPr>
              <w:pStyle w:val="nTable"/>
              <w:spacing w:after="40"/>
              <w:rPr>
                <w:del w:id="1632" w:author="svcMRProcess" w:date="2020-02-19T21:14:00Z"/>
                <w:i/>
                <w:snapToGrid w:val="0"/>
                <w:sz w:val="19"/>
                <w:lang w:val="en-US"/>
              </w:rPr>
            </w:pPr>
            <w:del w:id="1633" w:author="svcMRProcess" w:date="2020-02-19T21:14:00Z">
              <w:r>
                <w:rPr>
                  <w:i/>
                  <w:snapToGrid w:val="0"/>
                  <w:sz w:val="19"/>
                  <w:lang w:val="en-US"/>
                </w:rPr>
                <w:delText xml:space="preserve">Financial Legislation Amendment and Repeal Act 2006 </w:delText>
              </w:r>
              <w:r>
                <w:rPr>
                  <w:snapToGrid w:val="0"/>
                  <w:sz w:val="19"/>
                  <w:lang w:val="en-US"/>
                </w:rPr>
                <w:delText xml:space="preserve">s. 4 </w:delText>
              </w:r>
            </w:del>
          </w:p>
        </w:tc>
        <w:tc>
          <w:tcPr>
            <w:tcW w:w="1134" w:type="dxa"/>
            <w:tcBorders>
              <w:top w:val="nil"/>
              <w:bottom w:val="single" w:sz="8" w:space="0" w:color="auto"/>
            </w:tcBorders>
          </w:tcPr>
          <w:p>
            <w:pPr>
              <w:pStyle w:val="nTable"/>
              <w:spacing w:after="40"/>
              <w:rPr>
                <w:del w:id="1634" w:author="svcMRProcess" w:date="2020-02-19T21:14:00Z"/>
                <w:snapToGrid w:val="0"/>
                <w:sz w:val="19"/>
                <w:lang w:val="en-US"/>
              </w:rPr>
            </w:pPr>
            <w:del w:id="1635" w:author="svcMRProcess" w:date="2020-02-19T21:14:00Z">
              <w:r>
                <w:rPr>
                  <w:snapToGrid w:val="0"/>
                  <w:sz w:val="19"/>
                  <w:lang w:val="en-US"/>
                </w:rPr>
                <w:delText xml:space="preserve">77 of 2006 </w:delText>
              </w:r>
            </w:del>
          </w:p>
        </w:tc>
        <w:tc>
          <w:tcPr>
            <w:tcW w:w="1134" w:type="dxa"/>
            <w:tcBorders>
              <w:top w:val="nil"/>
              <w:bottom w:val="single" w:sz="8" w:space="0" w:color="auto"/>
            </w:tcBorders>
          </w:tcPr>
          <w:p>
            <w:pPr>
              <w:pStyle w:val="nTable"/>
              <w:spacing w:after="40"/>
              <w:rPr>
                <w:del w:id="1636" w:author="svcMRProcess" w:date="2020-02-19T21:14:00Z"/>
                <w:sz w:val="19"/>
              </w:rPr>
            </w:pPr>
            <w:del w:id="1637" w:author="svcMRProcess" w:date="2020-02-19T21:14:00Z">
              <w:r>
                <w:rPr>
                  <w:snapToGrid w:val="0"/>
                  <w:sz w:val="19"/>
                  <w:lang w:val="en-US"/>
                </w:rPr>
                <w:delText>21 Dec 2006</w:delText>
              </w:r>
            </w:del>
          </w:p>
        </w:tc>
        <w:tc>
          <w:tcPr>
            <w:tcW w:w="2551" w:type="dxa"/>
            <w:tcBorders>
              <w:top w:val="nil"/>
              <w:bottom w:val="single" w:sz="8" w:space="0" w:color="auto"/>
            </w:tcBorders>
          </w:tcPr>
          <w:p>
            <w:pPr>
              <w:pStyle w:val="nTable"/>
              <w:spacing w:after="40"/>
              <w:rPr>
                <w:del w:id="1638" w:author="svcMRProcess" w:date="2020-02-19T21:14:00Z"/>
                <w:snapToGrid w:val="0"/>
                <w:sz w:val="19"/>
                <w:lang w:val="en-US"/>
              </w:rPr>
            </w:pPr>
            <w:del w:id="1639" w:author="svcMRProcess" w:date="2020-02-19T21:14:00Z">
              <w:r>
                <w:rPr>
                  <w:snapToGrid w:val="0"/>
                  <w:sz w:val="19"/>
                  <w:lang w:val="en-US"/>
                </w:rPr>
                <w:delText xml:space="preserve">1 Feb 2007 (see s. 2 and </w:delText>
              </w:r>
              <w:r>
                <w:rPr>
                  <w:i/>
                  <w:snapToGrid w:val="0"/>
                  <w:sz w:val="19"/>
                  <w:lang w:val="en-US"/>
                </w:rPr>
                <w:delText>Gazette</w:delText>
              </w:r>
              <w:r>
                <w:rPr>
                  <w:snapToGrid w:val="0"/>
                  <w:sz w:val="19"/>
                  <w:lang w:val="en-US"/>
                </w:rPr>
                <w:delText xml:space="preserve"> 19 Jan 2007 p. 137)</w:delText>
              </w:r>
            </w:del>
          </w:p>
        </w:tc>
      </w:tr>
    </w:tbl>
    <w:p>
      <w:pPr>
        <w:pStyle w:val="nSubsection"/>
        <w:spacing w:before="240"/>
        <w:rPr>
          <w:del w:id="1640" w:author="svcMRProcess" w:date="2020-02-19T21:14:00Z"/>
          <w:vertAlign w:val="superscript"/>
        </w:rPr>
      </w:pPr>
    </w:p>
    <w:p>
      <w:pPr>
        <w:pStyle w:val="nSubsection"/>
        <w:tabs>
          <w:tab w:val="clear" w:pos="454"/>
          <w:tab w:val="left" w:pos="567"/>
        </w:tabs>
        <w:spacing w:before="120"/>
        <w:ind w:left="567" w:hanging="567"/>
        <w:rPr>
          <w:del w:id="1641" w:author="svcMRProcess" w:date="2020-02-19T21:14:00Z"/>
          <w:snapToGrid w:val="0"/>
        </w:rPr>
      </w:pPr>
      <w:del w:id="1642" w:author="svcMRProcess" w:date="2020-02-19T21:1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643" w:author="svcMRProcess" w:date="2020-02-19T21:14:00Z"/>
        </w:rPr>
      </w:pPr>
      <w:bookmarkStart w:id="1644" w:name="_Toc7405065"/>
      <w:bookmarkStart w:id="1645" w:name="_Toc92690758"/>
      <w:bookmarkStart w:id="1646" w:name="_Toc113772628"/>
      <w:bookmarkStart w:id="1647" w:name="_Toc157933697"/>
      <w:del w:id="1648" w:author="svcMRProcess" w:date="2020-02-19T21:14:00Z">
        <w:r>
          <w:delText>Provisions that have not come into operation</w:delText>
        </w:r>
        <w:bookmarkEnd w:id="1644"/>
        <w:bookmarkEnd w:id="1645"/>
        <w:bookmarkEnd w:id="1646"/>
        <w:bookmarkEnd w:id="1647"/>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1649" w:author="svcMRProcess" w:date="2020-02-19T21:14:00Z"/>
        </w:trPr>
        <w:tc>
          <w:tcPr>
            <w:tcW w:w="2268" w:type="dxa"/>
            <w:tcBorders>
              <w:top w:val="single" w:sz="8" w:space="0" w:color="auto"/>
              <w:bottom w:val="single" w:sz="8" w:space="0" w:color="auto"/>
            </w:tcBorders>
          </w:tcPr>
          <w:p>
            <w:pPr>
              <w:pStyle w:val="nTable"/>
              <w:spacing w:after="40"/>
              <w:rPr>
                <w:del w:id="1650" w:author="svcMRProcess" w:date="2020-02-19T21:14:00Z"/>
                <w:b/>
                <w:sz w:val="19"/>
              </w:rPr>
            </w:pPr>
            <w:del w:id="1651" w:author="svcMRProcess" w:date="2020-02-19T21:14:00Z">
              <w:r>
                <w:rPr>
                  <w:b/>
                  <w:sz w:val="19"/>
                </w:rPr>
                <w:delText>Short title</w:delText>
              </w:r>
            </w:del>
          </w:p>
        </w:tc>
        <w:tc>
          <w:tcPr>
            <w:tcW w:w="1134" w:type="dxa"/>
            <w:tcBorders>
              <w:top w:val="single" w:sz="8" w:space="0" w:color="auto"/>
              <w:bottom w:val="single" w:sz="8" w:space="0" w:color="auto"/>
            </w:tcBorders>
          </w:tcPr>
          <w:p>
            <w:pPr>
              <w:pStyle w:val="nTable"/>
              <w:spacing w:after="40"/>
              <w:rPr>
                <w:del w:id="1652" w:author="svcMRProcess" w:date="2020-02-19T21:14:00Z"/>
                <w:b/>
                <w:sz w:val="19"/>
              </w:rPr>
            </w:pPr>
            <w:del w:id="1653" w:author="svcMRProcess" w:date="2020-02-19T21:14:00Z">
              <w:r>
                <w:rPr>
                  <w:b/>
                  <w:sz w:val="19"/>
                </w:rPr>
                <w:delText>Number and year</w:delText>
              </w:r>
            </w:del>
          </w:p>
        </w:tc>
        <w:tc>
          <w:tcPr>
            <w:tcW w:w="1134" w:type="dxa"/>
            <w:tcBorders>
              <w:top w:val="single" w:sz="8" w:space="0" w:color="auto"/>
              <w:bottom w:val="single" w:sz="8" w:space="0" w:color="auto"/>
            </w:tcBorders>
          </w:tcPr>
          <w:p>
            <w:pPr>
              <w:pStyle w:val="nTable"/>
              <w:spacing w:after="40"/>
              <w:rPr>
                <w:del w:id="1654" w:author="svcMRProcess" w:date="2020-02-19T21:14:00Z"/>
                <w:b/>
                <w:sz w:val="19"/>
              </w:rPr>
            </w:pPr>
            <w:del w:id="1655" w:author="svcMRProcess" w:date="2020-02-19T21:14:00Z">
              <w:r>
                <w:rPr>
                  <w:b/>
                  <w:sz w:val="19"/>
                </w:rPr>
                <w:delText>Assent</w:delText>
              </w:r>
            </w:del>
          </w:p>
        </w:tc>
        <w:tc>
          <w:tcPr>
            <w:tcW w:w="2552" w:type="dxa"/>
            <w:tcBorders>
              <w:top w:val="single" w:sz="8" w:space="0" w:color="auto"/>
              <w:bottom w:val="single" w:sz="8" w:space="0" w:color="auto"/>
            </w:tcBorders>
          </w:tcPr>
          <w:p>
            <w:pPr>
              <w:pStyle w:val="nTable"/>
              <w:spacing w:after="40"/>
              <w:rPr>
                <w:del w:id="1656" w:author="svcMRProcess" w:date="2020-02-19T21:14:00Z"/>
                <w:b/>
                <w:sz w:val="19"/>
              </w:rPr>
            </w:pPr>
            <w:del w:id="1657" w:author="svcMRProcess" w:date="2020-02-19T21:14:00Z">
              <w:r>
                <w:rPr>
                  <w:b/>
                  <w:sz w:val="19"/>
                </w:rPr>
                <w:delText>Commencement</w:delText>
              </w:r>
            </w:del>
          </w:p>
        </w:tc>
      </w:tr>
      <w:tr>
        <w:trPr>
          <w:del w:id="1658" w:author="svcMRProcess" w:date="2020-02-19T21:14:00Z"/>
        </w:trPr>
        <w:tc>
          <w:tcPr>
            <w:tcW w:w="2268" w:type="dxa"/>
            <w:tcBorders>
              <w:top w:val="single" w:sz="8" w:space="0" w:color="auto"/>
            </w:tcBorders>
          </w:tcPr>
          <w:p>
            <w:pPr>
              <w:pStyle w:val="nTable"/>
              <w:spacing w:after="40"/>
              <w:rPr>
                <w:del w:id="1659" w:author="svcMRProcess" w:date="2020-02-19T21:14:00Z"/>
                <w:sz w:val="19"/>
                <w:vertAlign w:val="superscript"/>
              </w:rPr>
            </w:pPr>
            <w:del w:id="1660" w:author="svcMRProcess" w:date="2020-02-19T21:14:00Z">
              <w:r>
                <w:rPr>
                  <w:i/>
                  <w:sz w:val="19"/>
                </w:rPr>
                <w:delText>Petroleum Safety Act 1999</w:delText>
              </w:r>
              <w:r>
                <w:rPr>
                  <w:sz w:val="19"/>
                  <w:vertAlign w:val="superscript"/>
                </w:rPr>
                <w:delText> 8</w:delText>
              </w:r>
            </w:del>
          </w:p>
        </w:tc>
        <w:tc>
          <w:tcPr>
            <w:tcW w:w="1134" w:type="dxa"/>
            <w:tcBorders>
              <w:top w:val="single" w:sz="8" w:space="0" w:color="auto"/>
            </w:tcBorders>
          </w:tcPr>
          <w:p>
            <w:pPr>
              <w:pStyle w:val="nTable"/>
              <w:spacing w:after="40"/>
              <w:rPr>
                <w:del w:id="1661" w:author="svcMRProcess" w:date="2020-02-19T21:14:00Z"/>
                <w:sz w:val="19"/>
              </w:rPr>
            </w:pPr>
            <w:del w:id="1662" w:author="svcMRProcess" w:date="2020-02-19T21:14:00Z">
              <w:r>
                <w:rPr>
                  <w:sz w:val="19"/>
                </w:rPr>
                <w:delText>19 of 1999</w:delText>
              </w:r>
            </w:del>
          </w:p>
        </w:tc>
        <w:tc>
          <w:tcPr>
            <w:tcW w:w="1134" w:type="dxa"/>
            <w:tcBorders>
              <w:top w:val="single" w:sz="8" w:space="0" w:color="auto"/>
            </w:tcBorders>
          </w:tcPr>
          <w:p>
            <w:pPr>
              <w:pStyle w:val="nTable"/>
              <w:spacing w:after="40"/>
              <w:rPr>
                <w:del w:id="1663" w:author="svcMRProcess" w:date="2020-02-19T21:14:00Z"/>
                <w:sz w:val="19"/>
              </w:rPr>
            </w:pPr>
            <w:del w:id="1664" w:author="svcMRProcess" w:date="2020-02-19T21:14:00Z">
              <w:r>
                <w:rPr>
                  <w:sz w:val="19"/>
                </w:rPr>
                <w:delText>21 Jun 1999</w:delText>
              </w:r>
            </w:del>
          </w:p>
        </w:tc>
        <w:tc>
          <w:tcPr>
            <w:tcW w:w="2552" w:type="dxa"/>
            <w:tcBorders>
              <w:top w:val="single" w:sz="8" w:space="0" w:color="auto"/>
            </w:tcBorders>
          </w:tcPr>
          <w:p>
            <w:pPr>
              <w:pStyle w:val="nTable"/>
              <w:spacing w:after="40"/>
              <w:rPr>
                <w:del w:id="1665" w:author="svcMRProcess" w:date="2020-02-19T21:14:00Z"/>
                <w:sz w:val="19"/>
              </w:rPr>
            </w:pPr>
            <w:del w:id="1666" w:author="svcMRProcess" w:date="2020-02-19T21:14:00Z">
              <w:r>
                <w:rPr>
                  <w:sz w:val="19"/>
                </w:rPr>
                <w:delText>To be proclaimed (see s. 2)</w:delText>
              </w:r>
            </w:del>
          </w:p>
        </w:tc>
      </w:tr>
      <w:tr>
        <w:trPr>
          <w:del w:id="1667" w:author="svcMRProcess" w:date="2020-02-19T21:14:00Z"/>
        </w:trPr>
        <w:tc>
          <w:tcPr>
            <w:tcW w:w="2268" w:type="dxa"/>
            <w:tcBorders>
              <w:bottom w:val="single" w:sz="8" w:space="0" w:color="auto"/>
            </w:tcBorders>
          </w:tcPr>
          <w:p>
            <w:pPr>
              <w:pStyle w:val="nTable"/>
              <w:spacing w:after="40"/>
              <w:rPr>
                <w:del w:id="1668" w:author="svcMRProcess" w:date="2020-02-19T21:14:00Z"/>
                <w:i/>
                <w:sz w:val="19"/>
              </w:rPr>
            </w:pPr>
            <w:del w:id="1669" w:author="svcMRProcess" w:date="2020-02-19T21:14:00Z">
              <w:r>
                <w:rPr>
                  <w:i/>
                  <w:snapToGrid w:val="0"/>
                  <w:sz w:val="19"/>
                </w:rPr>
                <w:delText>Petroleum Legislation Amendment and Repeal Act 2005</w:delText>
              </w:r>
              <w:r>
                <w:rPr>
                  <w:snapToGrid w:val="0"/>
                  <w:sz w:val="19"/>
                </w:rPr>
                <w:delText xml:space="preserve"> Pt. 4</w:delText>
              </w:r>
              <w:r>
                <w:rPr>
                  <w:snapToGrid w:val="0"/>
                  <w:sz w:val="19"/>
                  <w:vertAlign w:val="superscript"/>
                </w:rPr>
                <w:delText> 15</w:delText>
              </w:r>
            </w:del>
          </w:p>
        </w:tc>
        <w:tc>
          <w:tcPr>
            <w:tcW w:w="1134" w:type="dxa"/>
            <w:tcBorders>
              <w:bottom w:val="single" w:sz="8" w:space="0" w:color="auto"/>
            </w:tcBorders>
          </w:tcPr>
          <w:p>
            <w:pPr>
              <w:pStyle w:val="nTable"/>
              <w:spacing w:after="40"/>
              <w:rPr>
                <w:del w:id="1670" w:author="svcMRProcess" w:date="2020-02-19T21:14:00Z"/>
                <w:sz w:val="19"/>
              </w:rPr>
            </w:pPr>
            <w:del w:id="1671" w:author="svcMRProcess" w:date="2020-02-19T21:14:00Z">
              <w:r>
                <w:rPr>
                  <w:sz w:val="19"/>
                </w:rPr>
                <w:delText>13 of 2005</w:delText>
              </w:r>
            </w:del>
          </w:p>
        </w:tc>
        <w:tc>
          <w:tcPr>
            <w:tcW w:w="1134" w:type="dxa"/>
            <w:tcBorders>
              <w:bottom w:val="single" w:sz="8" w:space="0" w:color="auto"/>
            </w:tcBorders>
          </w:tcPr>
          <w:p>
            <w:pPr>
              <w:pStyle w:val="nTable"/>
              <w:spacing w:after="40"/>
              <w:rPr>
                <w:del w:id="1672" w:author="svcMRProcess" w:date="2020-02-19T21:14:00Z"/>
                <w:sz w:val="19"/>
              </w:rPr>
            </w:pPr>
            <w:del w:id="1673" w:author="svcMRProcess" w:date="2020-02-19T21:14:00Z">
              <w:r>
                <w:rPr>
                  <w:sz w:val="19"/>
                </w:rPr>
                <w:delText>1 Sep 2005</w:delText>
              </w:r>
            </w:del>
          </w:p>
        </w:tc>
        <w:tc>
          <w:tcPr>
            <w:tcW w:w="2552" w:type="dxa"/>
            <w:tcBorders>
              <w:bottom w:val="single" w:sz="8" w:space="0" w:color="auto"/>
            </w:tcBorders>
          </w:tcPr>
          <w:p>
            <w:pPr>
              <w:pStyle w:val="nTable"/>
              <w:spacing w:after="40"/>
              <w:rPr>
                <w:del w:id="1674" w:author="svcMRProcess" w:date="2020-02-19T21:14:00Z"/>
                <w:sz w:val="19"/>
              </w:rPr>
            </w:pPr>
            <w:del w:id="1675" w:author="svcMRProcess" w:date="2020-02-19T21:14:00Z">
              <w:r>
                <w:rPr>
                  <w:sz w:val="19"/>
                </w:rPr>
                <w:delText>To be proclaimed (see s. 2)</w:delText>
              </w:r>
            </w:del>
          </w:p>
        </w:tc>
      </w:tr>
    </w:tbl>
    <w:p>
      <w:pPr>
        <w:pStyle w:val="nSubsection"/>
        <w:rPr>
          <w:del w:id="1676" w:author="svcMRProcess" w:date="2020-02-19T21:14:00Z"/>
          <w:snapToGrid w:val="0"/>
        </w:rPr>
      </w:pPr>
      <w:del w:id="1677" w:author="svcMRProcess" w:date="2020-02-19T21:14:00Z">
        <w:r>
          <w:rPr>
            <w:snapToGrid w:val="0"/>
            <w:vertAlign w:val="superscript"/>
          </w:rPr>
          <w:delText>2</w:delText>
        </w:r>
        <w:r>
          <w:rPr>
            <w:snapToGrid w:val="0"/>
          </w:rPr>
          <w:tab/>
          <w:delText xml:space="preserve">Section 191(2) of the </w:delText>
        </w:r>
        <w:r>
          <w:rPr>
            <w:i/>
            <w:snapToGrid w:val="0"/>
          </w:rPr>
          <w:delText>Acts Amendment (Petroleum) Act 1990</w:delText>
        </w:r>
        <w:r>
          <w:rPr>
            <w:snapToGrid w:val="0"/>
          </w:rPr>
          <w:delText xml:space="preserve"> (No. 12 of 1990) ( as amended by the </w:delText>
        </w:r>
        <w:r>
          <w:rPr>
            <w:i/>
            <w:snapToGrid w:val="0"/>
          </w:rPr>
          <w:delText>Acts Amendment (Petroleum) Act 1994</w:delText>
        </w:r>
        <w:r>
          <w:rPr>
            <w:snapToGrid w:val="0"/>
          </w:rPr>
          <w:delText xml:space="preserve"> (No. 28 of 1994 s.3)) reads — </w:delText>
        </w:r>
      </w:del>
    </w:p>
    <w:p>
      <w:pPr>
        <w:pStyle w:val="MiscOpen"/>
        <w:rPr>
          <w:del w:id="1678" w:author="svcMRProcess" w:date="2020-02-19T21:14:00Z"/>
        </w:rPr>
      </w:pPr>
      <w:del w:id="1679" w:author="svcMRProcess" w:date="2020-02-19T21:14:00Z">
        <w:r>
          <w:delText>“</w:delText>
        </w:r>
      </w:del>
    </w:p>
    <w:p>
      <w:pPr>
        <w:pStyle w:val="nzSubsection"/>
        <w:spacing w:before="0"/>
        <w:rPr>
          <w:del w:id="1680" w:author="svcMRProcess" w:date="2020-02-19T21:14:00Z"/>
          <w:snapToGrid w:val="0"/>
        </w:rPr>
      </w:pPr>
      <w:del w:id="1681" w:author="svcMRProcess" w:date="2020-02-19T21:14:00Z">
        <w:r>
          <w:rPr>
            <w:snapToGrid w:val="0"/>
          </w:rPr>
          <w:tab/>
          <w:delText>(2)</w:delText>
        </w:r>
        <w:r>
          <w:rPr>
            <w:snapToGrid w:val="0"/>
          </w:rPr>
          <w:tab/>
          <w:delText>Notwithstanding anything in the principal Act — </w:delText>
        </w:r>
      </w:del>
    </w:p>
    <w:p>
      <w:pPr>
        <w:pStyle w:val="nzIndenta"/>
        <w:rPr>
          <w:del w:id="1682" w:author="svcMRProcess" w:date="2020-02-19T21:14:00Z"/>
          <w:snapToGrid w:val="0"/>
        </w:rPr>
      </w:pPr>
      <w:del w:id="1683" w:author="svcMRProcess" w:date="2020-02-19T21:14:00Z">
        <w:r>
          <w:rPr>
            <w:snapToGrid w:val="0"/>
          </w:rPr>
          <w:tab/>
          <w:delText>(a)</w:delText>
        </w:r>
        <w:r>
          <w:rPr>
            <w:snapToGrid w:val="0"/>
          </w:rPr>
          <w:tab/>
          <w:delText>section 4 of the principal Act shall have effect in relation to the Barrow Island Pipeline and the Withnell Bay Pipeline as if — </w:delText>
        </w:r>
      </w:del>
    </w:p>
    <w:p>
      <w:pPr>
        <w:pStyle w:val="nzIndenti"/>
        <w:keepNext/>
        <w:keepLines/>
        <w:rPr>
          <w:del w:id="1684" w:author="svcMRProcess" w:date="2020-02-19T21:14:00Z"/>
          <w:snapToGrid w:val="0"/>
        </w:rPr>
      </w:pPr>
      <w:del w:id="1685" w:author="svcMRProcess" w:date="2020-02-19T21:14:00Z">
        <w:r>
          <w:rPr>
            <w:snapToGrid w:val="0"/>
          </w:rPr>
          <w:tab/>
          <w:delText>(i)</w:delText>
        </w:r>
        <w:r>
          <w:rPr>
            <w:snapToGrid w:val="0"/>
          </w:rPr>
          <w:tab/>
          <w:delText xml:space="preserve">the definition of </w:delText>
        </w:r>
        <w:r>
          <w:rPr>
            <w:b/>
            <w:snapToGrid w:val="0"/>
          </w:rPr>
          <w:delText>“pipeline licence”</w:delText>
        </w:r>
        <w:r>
          <w:rPr>
            <w:snapToGrid w:val="0"/>
          </w:rPr>
          <w:delText xml:space="preserve"> had been deleted and the following definition had been substituted — </w:delText>
        </w:r>
      </w:del>
    </w:p>
    <w:p>
      <w:pPr>
        <w:pStyle w:val="MiscellaneousBody"/>
        <w:keepNext/>
        <w:keepLines/>
        <w:spacing w:before="0"/>
        <w:ind w:left="2694" w:right="578"/>
        <w:rPr>
          <w:del w:id="1686" w:author="svcMRProcess" w:date="2020-02-19T21:14:00Z"/>
          <w:sz w:val="20"/>
        </w:rPr>
      </w:pPr>
      <w:del w:id="1687" w:author="svcMRProcess" w:date="2020-02-19T21:14:00Z">
        <w:r>
          <w:rPr>
            <w:sz w:val="20"/>
          </w:rPr>
          <w:delText>“</w:delText>
        </w:r>
      </w:del>
    </w:p>
    <w:p>
      <w:pPr>
        <w:pStyle w:val="MiscellaneousBody"/>
        <w:tabs>
          <w:tab w:val="left" w:pos="3402"/>
        </w:tabs>
        <w:spacing w:before="0" w:line="240" w:lineRule="auto"/>
        <w:ind w:left="3402" w:right="578" w:hanging="482"/>
        <w:rPr>
          <w:del w:id="1688" w:author="svcMRProcess" w:date="2020-02-19T21:14:00Z"/>
          <w:sz w:val="20"/>
        </w:rPr>
      </w:pPr>
      <w:del w:id="1689" w:author="svcMRProcess" w:date="2020-02-19T21:14:00Z">
        <w:r>
          <w:rPr>
            <w:b/>
            <w:sz w:val="20"/>
          </w:rPr>
          <w:delText>“pipeline licence”</w:delText>
        </w:r>
        <w:r>
          <w:rPr>
            <w:sz w:val="20"/>
          </w:rPr>
          <w:delText xml:space="preserve"> means a licence under Part III to operate an existing pipeline;</w:delText>
        </w:r>
      </w:del>
    </w:p>
    <w:p>
      <w:pPr>
        <w:pStyle w:val="MiscellaneousBody"/>
        <w:tabs>
          <w:tab w:val="left" w:pos="3402"/>
        </w:tabs>
        <w:spacing w:before="0"/>
        <w:ind w:left="3402" w:right="292" w:hanging="481"/>
        <w:jc w:val="right"/>
        <w:rPr>
          <w:del w:id="1690" w:author="svcMRProcess" w:date="2020-02-19T21:14:00Z"/>
          <w:sz w:val="20"/>
        </w:rPr>
      </w:pPr>
      <w:del w:id="1691" w:author="svcMRProcess" w:date="2020-02-19T21:14:00Z">
        <w:r>
          <w:rPr>
            <w:sz w:val="20"/>
          </w:rPr>
          <w:delText>”;</w:delText>
        </w:r>
      </w:del>
    </w:p>
    <w:p>
      <w:pPr>
        <w:pStyle w:val="nzIndenti"/>
        <w:rPr>
          <w:del w:id="1692" w:author="svcMRProcess" w:date="2020-02-19T21:14:00Z"/>
        </w:rPr>
      </w:pPr>
      <w:del w:id="1693" w:author="svcMRProcess" w:date="2020-02-19T21:14:00Z">
        <w:r>
          <w:tab/>
        </w:r>
        <w:r>
          <w:tab/>
          <w:delText>and</w:delText>
        </w:r>
      </w:del>
    </w:p>
    <w:p>
      <w:pPr>
        <w:pStyle w:val="nzIndenti"/>
        <w:keepNext/>
        <w:keepLines/>
        <w:rPr>
          <w:del w:id="1694" w:author="svcMRProcess" w:date="2020-02-19T21:14:00Z"/>
        </w:rPr>
      </w:pPr>
      <w:del w:id="1695" w:author="svcMRProcess" w:date="2020-02-19T21:14:00Z">
        <w:r>
          <w:tab/>
          <w:delText>(ii)</w:delText>
        </w:r>
        <w:r>
          <w:tab/>
          <w:delText>the following definitions had been inserted in the appropriate alphabetical positions — </w:delText>
        </w:r>
      </w:del>
    </w:p>
    <w:p>
      <w:pPr>
        <w:pStyle w:val="MiscellaneousBody"/>
        <w:keepNext/>
        <w:keepLines/>
        <w:spacing w:before="0"/>
        <w:ind w:left="2694" w:right="578"/>
        <w:rPr>
          <w:del w:id="1696" w:author="svcMRProcess" w:date="2020-02-19T21:14:00Z"/>
          <w:sz w:val="20"/>
        </w:rPr>
      </w:pPr>
      <w:del w:id="1697" w:author="svcMRProcess" w:date="2020-02-19T21:14:00Z">
        <w:r>
          <w:rPr>
            <w:sz w:val="20"/>
          </w:rPr>
          <w:delText>“</w:delText>
        </w:r>
      </w:del>
    </w:p>
    <w:p>
      <w:pPr>
        <w:pStyle w:val="MiscellaneousBody"/>
        <w:keepNext/>
        <w:keepLines/>
        <w:tabs>
          <w:tab w:val="left" w:pos="3402"/>
        </w:tabs>
        <w:spacing w:before="0" w:line="240" w:lineRule="auto"/>
        <w:ind w:left="3402" w:right="577" w:hanging="481"/>
        <w:rPr>
          <w:del w:id="1698" w:author="svcMRProcess" w:date="2020-02-19T21:14:00Z"/>
          <w:sz w:val="20"/>
        </w:rPr>
      </w:pPr>
      <w:del w:id="1699" w:author="svcMRProcess" w:date="2020-02-19T21:14:00Z">
        <w:r>
          <w:rPr>
            <w:b/>
            <w:sz w:val="20"/>
          </w:rPr>
          <w:delText>“existing pipeline”</w:delText>
        </w:r>
        <w:r>
          <w:rPr>
            <w:sz w:val="20"/>
          </w:rPr>
          <w:delText xml:space="preserve"> means the Barrow Island Pipeline or the Withnell Bay Pipeline;</w:delText>
        </w:r>
      </w:del>
    </w:p>
    <w:p>
      <w:pPr>
        <w:pStyle w:val="MiscellaneousBody"/>
        <w:keepNext/>
        <w:keepLines/>
        <w:tabs>
          <w:tab w:val="left" w:pos="3402"/>
        </w:tabs>
        <w:spacing w:before="40" w:line="240" w:lineRule="auto"/>
        <w:ind w:left="3402" w:right="578" w:hanging="482"/>
        <w:rPr>
          <w:del w:id="1700" w:author="svcMRProcess" w:date="2020-02-19T21:14:00Z"/>
          <w:sz w:val="20"/>
        </w:rPr>
      </w:pPr>
      <w:del w:id="1701" w:author="svcMRProcess" w:date="2020-02-19T21:14:00Z">
        <w:r>
          <w:rPr>
            <w:b/>
            <w:sz w:val="20"/>
          </w:rPr>
          <w:delText>“the Barrow Island Pipeline”</w:delText>
        </w:r>
        <w:r>
          <w:rPr>
            <w:sz w:val="20"/>
          </w:rPr>
          <w:delText xml:space="preserve"> means the pipeline which extends from Barrow Island to an offshore mooring terminal and which is more fully described in Special lease No. 3116/3628 granted under section 116 of the </w:delText>
        </w:r>
        <w:r>
          <w:rPr>
            <w:i/>
            <w:sz w:val="20"/>
          </w:rPr>
          <w:delText>Land Act 1933</w:delText>
        </w:r>
        <w:r>
          <w:rPr>
            <w:sz w:val="20"/>
          </w:rPr>
          <w:delText>;</w:delText>
        </w:r>
      </w:del>
    </w:p>
    <w:p>
      <w:pPr>
        <w:pStyle w:val="MiscellaneousBody"/>
        <w:tabs>
          <w:tab w:val="left" w:pos="3402"/>
        </w:tabs>
        <w:spacing w:before="40" w:line="240" w:lineRule="auto"/>
        <w:ind w:left="3402" w:right="578" w:hanging="482"/>
        <w:rPr>
          <w:del w:id="1702" w:author="svcMRProcess" w:date="2020-02-19T21:14:00Z"/>
          <w:sz w:val="20"/>
        </w:rPr>
      </w:pPr>
      <w:del w:id="1703" w:author="svcMRProcess" w:date="2020-02-19T21:14:00Z">
        <w:r>
          <w:rPr>
            <w:b/>
            <w:sz w:val="20"/>
          </w:rPr>
          <w:delText>“the Withnell Bay Pipeline”</w:delText>
        </w:r>
        <w:r>
          <w:rPr>
            <w:sz w:val="20"/>
          </w:rPr>
          <w:delText xml:space="preserve"> means the pipeline which extends from the North West Shelf Development Project Treatment Plant to the Product Loading Jetty near Withnell Bay and which is the subject of Pipeline Licence PL9 granted under the </w:delText>
        </w:r>
        <w:r>
          <w:rPr>
            <w:i/>
            <w:sz w:val="20"/>
          </w:rPr>
          <w:delText>Petroleum Pipelines Act 1969</w:delText>
        </w:r>
        <w:r>
          <w:rPr>
            <w:sz w:val="20"/>
          </w:rPr>
          <w:delText>.</w:delText>
        </w:r>
      </w:del>
    </w:p>
    <w:p>
      <w:pPr>
        <w:pStyle w:val="MiscellaneousBody"/>
        <w:tabs>
          <w:tab w:val="left" w:pos="3402"/>
        </w:tabs>
        <w:spacing w:before="40"/>
        <w:ind w:left="3402" w:right="292" w:hanging="482"/>
        <w:jc w:val="right"/>
        <w:rPr>
          <w:del w:id="1704" w:author="svcMRProcess" w:date="2020-02-19T21:14:00Z"/>
          <w:sz w:val="20"/>
        </w:rPr>
      </w:pPr>
      <w:del w:id="1705" w:author="svcMRProcess" w:date="2020-02-19T21:14:00Z">
        <w:r>
          <w:rPr>
            <w:sz w:val="20"/>
          </w:rPr>
          <w:delText>”;</w:delText>
        </w:r>
      </w:del>
    </w:p>
    <w:p>
      <w:pPr>
        <w:pStyle w:val="nzIndenta"/>
        <w:rPr>
          <w:del w:id="1706" w:author="svcMRProcess" w:date="2020-02-19T21:14:00Z"/>
        </w:rPr>
      </w:pPr>
      <w:del w:id="1707" w:author="svcMRProcess" w:date="2020-02-19T21:14:00Z">
        <w:r>
          <w:tab/>
          <w:delText>(b)</w:delText>
        </w:r>
        <w:r>
          <w:tab/>
          <w:delText>section 64 of the principal Act shall have effect in relation to the Barrow Island Pipeline and the Withnell Bay Pipeline as if it had been enacted in the following form — </w:delText>
        </w:r>
      </w:del>
    </w:p>
    <w:p>
      <w:pPr>
        <w:pStyle w:val="MiscOpen"/>
        <w:tabs>
          <w:tab w:val="clear" w:pos="893"/>
        </w:tabs>
        <w:spacing w:before="0"/>
        <w:ind w:left="567"/>
        <w:rPr>
          <w:del w:id="1708" w:author="svcMRProcess" w:date="2020-02-19T21:14:00Z"/>
          <w:sz w:val="20"/>
        </w:rPr>
      </w:pPr>
      <w:del w:id="1709" w:author="svcMRProcess" w:date="2020-02-19T21:14:00Z">
        <w:r>
          <w:rPr>
            <w:sz w:val="20"/>
          </w:rPr>
          <w:delText>“</w:delText>
        </w:r>
      </w:del>
    </w:p>
    <w:p>
      <w:pPr>
        <w:pStyle w:val="nzSubsection"/>
        <w:tabs>
          <w:tab w:val="clear" w:pos="1162"/>
          <w:tab w:val="clear" w:pos="1446"/>
          <w:tab w:val="left" w:pos="1701"/>
        </w:tabs>
        <w:spacing w:before="0"/>
        <w:ind w:left="1701" w:hanging="850"/>
        <w:rPr>
          <w:del w:id="1710" w:author="svcMRProcess" w:date="2020-02-19T21:14:00Z"/>
          <w:b/>
        </w:rPr>
      </w:pPr>
      <w:del w:id="1711" w:author="svcMRProcess" w:date="2020-02-19T21:14:00Z">
        <w:r>
          <w:rPr>
            <w:b/>
          </w:rPr>
          <w:delText>64.</w:delText>
        </w:r>
        <w:r>
          <w:rPr>
            <w:b/>
          </w:rPr>
          <w:tab/>
          <w:delText>Application for pipeline licence in respect of existing pipeline</w:delText>
        </w:r>
      </w:del>
    </w:p>
    <w:p>
      <w:pPr>
        <w:pStyle w:val="nzIndenta"/>
        <w:tabs>
          <w:tab w:val="clear" w:pos="1899"/>
          <w:tab w:val="clear" w:pos="2183"/>
          <w:tab w:val="right" w:pos="1418"/>
          <w:tab w:val="left" w:pos="1701"/>
        </w:tabs>
        <w:ind w:left="1701" w:right="433" w:hanging="708"/>
        <w:rPr>
          <w:del w:id="1712" w:author="svcMRProcess" w:date="2020-02-19T21:14:00Z"/>
        </w:rPr>
      </w:pPr>
      <w:del w:id="1713" w:author="svcMRProcess" w:date="2020-02-19T21:14:00Z">
        <w:r>
          <w:tab/>
          <w:delText>(1)</w:delText>
        </w:r>
        <w:r>
          <w:tab/>
          <w:delText>An application for a pipeline licence in respect of an existing pipeline shall be made in writing to the Minister by the owner of the existing pipeline.</w:delText>
        </w:r>
      </w:del>
    </w:p>
    <w:p>
      <w:pPr>
        <w:pStyle w:val="nzIndenta"/>
        <w:tabs>
          <w:tab w:val="clear" w:pos="1899"/>
          <w:tab w:val="clear" w:pos="2183"/>
          <w:tab w:val="right" w:pos="1418"/>
          <w:tab w:val="left" w:pos="1701"/>
        </w:tabs>
        <w:ind w:left="1701" w:right="433" w:hanging="708"/>
        <w:rPr>
          <w:del w:id="1714" w:author="svcMRProcess" w:date="2020-02-19T21:14:00Z"/>
        </w:rPr>
      </w:pPr>
      <w:del w:id="1715" w:author="svcMRProcess" w:date="2020-02-19T21:14:00Z">
        <w:r>
          <w:tab/>
          <w:delText>(2)</w:delText>
        </w:r>
        <w:r>
          <w:tab/>
          <w:delText>The Minister may at any time by instrument in writing served on an applicant under subsection (1) require the applicant to furnish to the Minister, within the period specified in that instrument, further information in writing in connection with his application, and, notwithstanding section 65(2), the Minister is not obliged to grant a pipeline licence to the applicant in respect of the relevant existing pipeline until that information has been furnished to him.</w:delText>
        </w:r>
      </w:del>
    </w:p>
    <w:p>
      <w:pPr>
        <w:pStyle w:val="MiscClose"/>
        <w:ind w:right="294"/>
        <w:rPr>
          <w:del w:id="1716" w:author="svcMRProcess" w:date="2020-02-19T21:14:00Z"/>
          <w:sz w:val="20"/>
        </w:rPr>
      </w:pPr>
      <w:del w:id="1717" w:author="svcMRProcess" w:date="2020-02-19T21:14:00Z">
        <w:r>
          <w:rPr>
            <w:sz w:val="20"/>
          </w:rPr>
          <w:delText>”;</w:delText>
        </w:r>
      </w:del>
    </w:p>
    <w:p>
      <w:pPr>
        <w:pStyle w:val="nzIndenta"/>
        <w:rPr>
          <w:del w:id="1718" w:author="svcMRProcess" w:date="2020-02-19T21:14:00Z"/>
        </w:rPr>
      </w:pPr>
      <w:del w:id="1719" w:author="svcMRProcess" w:date="2020-02-19T21:14:00Z">
        <w:r>
          <w:rPr>
            <w:snapToGrid w:val="0"/>
          </w:rPr>
          <w:tab/>
          <w:delText>(c)</w:delText>
        </w:r>
        <w:r>
          <w:rPr>
            <w:snapToGrid w:val="0"/>
          </w:rPr>
          <w:tab/>
          <w:delText>section 65 of the principal Act shall have effect in relation to the Barrow Island Pipeline and the Withnell Bay Pipeline as if it had been enacted in the following form</w:delText>
        </w:r>
        <w:r>
          <w:delText> — </w:delText>
        </w:r>
      </w:del>
    </w:p>
    <w:p>
      <w:pPr>
        <w:pStyle w:val="MiscOpen"/>
        <w:tabs>
          <w:tab w:val="clear" w:pos="893"/>
        </w:tabs>
        <w:spacing w:before="0"/>
        <w:ind w:left="567"/>
        <w:rPr>
          <w:del w:id="1720" w:author="svcMRProcess" w:date="2020-02-19T21:14:00Z"/>
          <w:sz w:val="20"/>
        </w:rPr>
      </w:pPr>
      <w:del w:id="1721" w:author="svcMRProcess" w:date="2020-02-19T21:14:00Z">
        <w:r>
          <w:rPr>
            <w:sz w:val="20"/>
          </w:rPr>
          <w:delText>“</w:delText>
        </w:r>
      </w:del>
    </w:p>
    <w:p>
      <w:pPr>
        <w:pStyle w:val="nzSubsection"/>
        <w:tabs>
          <w:tab w:val="clear" w:pos="1162"/>
          <w:tab w:val="clear" w:pos="1446"/>
          <w:tab w:val="left" w:pos="1701"/>
        </w:tabs>
        <w:spacing w:before="0"/>
        <w:ind w:left="1701" w:hanging="850"/>
        <w:rPr>
          <w:del w:id="1722" w:author="svcMRProcess" w:date="2020-02-19T21:14:00Z"/>
          <w:b/>
        </w:rPr>
      </w:pPr>
      <w:del w:id="1723" w:author="svcMRProcess" w:date="2020-02-19T21:14:00Z">
        <w:r>
          <w:rPr>
            <w:b/>
          </w:rPr>
          <w:delText>65.</w:delText>
        </w:r>
        <w:r>
          <w:rPr>
            <w:b/>
          </w:rPr>
          <w:tab/>
          <w:delText>Grant of pipeline licence in respect of the existing licence</w:delText>
        </w:r>
      </w:del>
    </w:p>
    <w:p>
      <w:pPr>
        <w:pStyle w:val="nzIndenta"/>
        <w:tabs>
          <w:tab w:val="clear" w:pos="1899"/>
          <w:tab w:val="clear" w:pos="2183"/>
          <w:tab w:val="right" w:pos="1418"/>
          <w:tab w:val="left" w:pos="1701"/>
        </w:tabs>
        <w:ind w:left="1701" w:right="433" w:hanging="708"/>
        <w:rPr>
          <w:del w:id="1724" w:author="svcMRProcess" w:date="2020-02-19T21:14:00Z"/>
        </w:rPr>
      </w:pPr>
      <w:del w:id="1725" w:author="svcMRProcess" w:date="2020-02-19T21:14:00Z">
        <w:r>
          <w:tab/>
          <w:delText>(1)</w:delText>
        </w:r>
        <w:r>
          <w:tab/>
          <w:delText>When a person makes an application under section 64, the Minister shall inform the person by instrument in writing served on the person that the Minister is prepared to grant a pipeline licence to that person in the form set out in that instrument, which form includes — </w:delText>
        </w:r>
      </w:del>
    </w:p>
    <w:p>
      <w:pPr>
        <w:pStyle w:val="nzIndenti"/>
        <w:tabs>
          <w:tab w:val="clear" w:pos="2608"/>
          <w:tab w:val="clear" w:pos="2892"/>
          <w:tab w:val="right" w:pos="2127"/>
          <w:tab w:val="left" w:pos="2552"/>
        </w:tabs>
        <w:ind w:left="2552" w:hanging="1418"/>
        <w:rPr>
          <w:del w:id="1726" w:author="svcMRProcess" w:date="2020-02-19T21:14:00Z"/>
          <w:snapToGrid w:val="0"/>
        </w:rPr>
      </w:pPr>
      <w:del w:id="1727" w:author="svcMRProcess" w:date="2020-02-19T21:14:00Z">
        <w:r>
          <w:rPr>
            <w:snapToGrid w:val="0"/>
          </w:rPr>
          <w:tab/>
          <w:delText>(a)</w:delText>
        </w:r>
        <w:r>
          <w:rPr>
            <w:snapToGrid w:val="0"/>
          </w:rPr>
          <w:tab/>
          <w:delText>the conditions to which the pipeline licence is to be subject; and</w:delText>
        </w:r>
      </w:del>
    </w:p>
    <w:p>
      <w:pPr>
        <w:pStyle w:val="nzIndenti"/>
        <w:tabs>
          <w:tab w:val="clear" w:pos="2608"/>
          <w:tab w:val="clear" w:pos="2892"/>
          <w:tab w:val="right" w:pos="2127"/>
          <w:tab w:val="left" w:pos="2552"/>
        </w:tabs>
        <w:ind w:left="2552" w:hanging="1418"/>
        <w:rPr>
          <w:del w:id="1728" w:author="svcMRProcess" w:date="2020-02-19T21:14:00Z"/>
          <w:snapToGrid w:val="0"/>
        </w:rPr>
      </w:pPr>
      <w:del w:id="1729" w:author="svcMRProcess" w:date="2020-02-19T21:14:00Z">
        <w:r>
          <w:rPr>
            <w:snapToGrid w:val="0"/>
          </w:rPr>
          <w:tab/>
          <w:delText>(b)</w:delText>
        </w:r>
        <w:r>
          <w:rPr>
            <w:snapToGrid w:val="0"/>
          </w:rPr>
          <w:tab/>
          <w:delText xml:space="preserve">in respect of the Withnell Bay Pipeline, all directions and conditions to which Pipeline Licence PL9 granted under the </w:delText>
        </w:r>
        <w:r>
          <w:rPr>
            <w:i/>
            <w:snapToGrid w:val="0"/>
          </w:rPr>
          <w:delText>Petroleum Pipelines Act 1969</w:delText>
        </w:r>
        <w:r>
          <w:rPr>
            <w:snapToGrid w:val="0"/>
          </w:rPr>
          <w:delText xml:space="preserve"> is subject and all terms and conditions, instruments and dealings registered under Part IV of that Act in respect of that licence,</w:delText>
        </w:r>
      </w:del>
    </w:p>
    <w:p>
      <w:pPr>
        <w:pStyle w:val="nzIndenta"/>
        <w:tabs>
          <w:tab w:val="clear" w:pos="1899"/>
          <w:tab w:val="clear" w:pos="2183"/>
          <w:tab w:val="right" w:pos="1418"/>
          <w:tab w:val="left" w:pos="1701"/>
        </w:tabs>
        <w:ind w:left="1701" w:right="433" w:hanging="708"/>
        <w:rPr>
          <w:del w:id="1730" w:author="svcMRProcess" w:date="2020-02-19T21:14:00Z"/>
        </w:rPr>
      </w:pPr>
      <w:del w:id="1731" w:author="svcMRProcess" w:date="2020-02-19T21:14:00Z">
        <w:r>
          <w:tab/>
        </w:r>
        <w:r>
          <w:tab/>
          <w:delText>if the person within 30 days after that service requests the Minister to grant to him a pipeline licence in that form.</w:delText>
        </w:r>
      </w:del>
    </w:p>
    <w:p>
      <w:pPr>
        <w:pStyle w:val="nzIndenta"/>
        <w:tabs>
          <w:tab w:val="clear" w:pos="1899"/>
          <w:tab w:val="clear" w:pos="2183"/>
          <w:tab w:val="right" w:pos="1418"/>
          <w:tab w:val="left" w:pos="1701"/>
        </w:tabs>
        <w:ind w:left="1701" w:right="433" w:hanging="708"/>
        <w:rPr>
          <w:del w:id="1732" w:author="svcMRProcess" w:date="2020-02-19T21:14:00Z"/>
        </w:rPr>
      </w:pPr>
      <w:del w:id="1733" w:author="svcMRProcess" w:date="2020-02-19T21:14:00Z">
        <w:r>
          <w:tab/>
          <w:delText>(2)</w:delText>
        </w:r>
        <w:r>
          <w:tab/>
          <w:delText>On receiving from the person referred to in subsection (1) a request within the period referred to in that subsection, the Minister shall, subject to section 64(2), grant to that person a licence to operate a pipeline — </w:delText>
        </w:r>
      </w:del>
    </w:p>
    <w:p>
      <w:pPr>
        <w:pStyle w:val="nzIndenti"/>
        <w:tabs>
          <w:tab w:val="clear" w:pos="2608"/>
          <w:tab w:val="clear" w:pos="2892"/>
          <w:tab w:val="right" w:pos="2127"/>
          <w:tab w:val="left" w:pos="2552"/>
        </w:tabs>
        <w:ind w:left="2552" w:hanging="1418"/>
        <w:rPr>
          <w:del w:id="1734" w:author="svcMRProcess" w:date="2020-02-19T21:14:00Z"/>
          <w:snapToGrid w:val="0"/>
        </w:rPr>
      </w:pPr>
      <w:del w:id="1735" w:author="svcMRProcess" w:date="2020-02-19T21:14:00Z">
        <w:r>
          <w:rPr>
            <w:snapToGrid w:val="0"/>
          </w:rPr>
          <w:tab/>
          <w:delText>(a)</w:delText>
        </w:r>
        <w:r>
          <w:rPr>
            <w:snapToGrid w:val="0"/>
          </w:rPr>
          <w:tab/>
          <w:delText>in respect of the existing pipeline specified; and</w:delText>
        </w:r>
      </w:del>
    </w:p>
    <w:p>
      <w:pPr>
        <w:pStyle w:val="nzIndenti"/>
        <w:tabs>
          <w:tab w:val="clear" w:pos="2608"/>
          <w:tab w:val="clear" w:pos="2892"/>
          <w:tab w:val="right" w:pos="2127"/>
          <w:tab w:val="left" w:pos="2552"/>
        </w:tabs>
        <w:ind w:left="2552" w:hanging="1418"/>
        <w:rPr>
          <w:del w:id="1736" w:author="svcMRProcess" w:date="2020-02-19T21:14:00Z"/>
          <w:snapToGrid w:val="0"/>
        </w:rPr>
      </w:pPr>
      <w:del w:id="1737" w:author="svcMRProcess" w:date="2020-02-19T21:14:00Z">
        <w:r>
          <w:rPr>
            <w:snapToGrid w:val="0"/>
          </w:rPr>
          <w:tab/>
          <w:delText>(b)</w:delText>
        </w:r>
        <w:r>
          <w:rPr>
            <w:snapToGrid w:val="0"/>
          </w:rPr>
          <w:tab/>
          <w:delText>in the form set out,</w:delText>
        </w:r>
      </w:del>
    </w:p>
    <w:p>
      <w:pPr>
        <w:pStyle w:val="nzIndenta"/>
        <w:tabs>
          <w:tab w:val="clear" w:pos="1899"/>
          <w:tab w:val="clear" w:pos="2183"/>
          <w:tab w:val="right" w:pos="1418"/>
          <w:tab w:val="left" w:pos="1701"/>
        </w:tabs>
        <w:ind w:left="1701" w:right="433" w:hanging="708"/>
        <w:rPr>
          <w:del w:id="1738" w:author="svcMRProcess" w:date="2020-02-19T21:14:00Z"/>
        </w:rPr>
      </w:pPr>
      <w:del w:id="1739" w:author="svcMRProcess" w:date="2020-02-19T21:14:00Z">
        <w:r>
          <w:tab/>
        </w:r>
        <w:r>
          <w:tab/>
          <w:delText>in the instrument served under that subsection on that person.</w:delText>
        </w:r>
      </w:del>
    </w:p>
    <w:p>
      <w:pPr>
        <w:pStyle w:val="nzIndenta"/>
        <w:tabs>
          <w:tab w:val="clear" w:pos="1899"/>
          <w:tab w:val="clear" w:pos="2183"/>
          <w:tab w:val="right" w:pos="1418"/>
          <w:tab w:val="left" w:pos="1701"/>
        </w:tabs>
        <w:ind w:left="1701" w:right="433" w:hanging="708"/>
        <w:rPr>
          <w:del w:id="1740" w:author="svcMRProcess" w:date="2020-02-19T21:14:00Z"/>
        </w:rPr>
      </w:pPr>
      <w:del w:id="1741" w:author="svcMRProcess" w:date="2020-02-19T21:14:00Z">
        <w:r>
          <w:tab/>
          <w:delText>(3)</w:delText>
        </w:r>
        <w:r>
          <w:tab/>
          <w:delText>If a person on whom an instrument has been served under subsection (1) does not make the request referred to in that subsection within the period referred to in that subsection, the application made by that person lapses on the expiry of that period.</w:delText>
        </w:r>
      </w:del>
    </w:p>
    <w:p>
      <w:pPr>
        <w:pStyle w:val="MiscClose"/>
        <w:ind w:right="294"/>
        <w:rPr>
          <w:del w:id="1742" w:author="svcMRProcess" w:date="2020-02-19T21:14:00Z"/>
          <w:snapToGrid w:val="0"/>
          <w:sz w:val="20"/>
        </w:rPr>
      </w:pPr>
      <w:del w:id="1743" w:author="svcMRProcess" w:date="2020-02-19T21:14:00Z">
        <w:r>
          <w:rPr>
            <w:snapToGrid w:val="0"/>
            <w:sz w:val="20"/>
          </w:rPr>
          <w:delText>”;</w:delText>
        </w:r>
      </w:del>
    </w:p>
    <w:p>
      <w:pPr>
        <w:pStyle w:val="nzIndenta"/>
        <w:rPr>
          <w:del w:id="1744" w:author="svcMRProcess" w:date="2020-02-19T21:14:00Z"/>
          <w:snapToGrid w:val="0"/>
        </w:rPr>
      </w:pPr>
      <w:del w:id="1745" w:author="svcMRProcess" w:date="2020-02-19T21:14:00Z">
        <w:r>
          <w:rPr>
            <w:snapToGrid w:val="0"/>
          </w:rPr>
          <w:tab/>
          <w:delText>(d)</w:delText>
        </w:r>
        <w:r>
          <w:rPr>
            <w:snapToGrid w:val="0"/>
          </w:rPr>
          <w:tab/>
          <w:delText>section 66 of the principal Act shall have effect in relation to the Barrow Island Pipeline and the Withnell Bay Pipeline as if it had been enacted in the following form — </w:delText>
        </w:r>
      </w:del>
    </w:p>
    <w:p>
      <w:pPr>
        <w:pStyle w:val="MiscOpen"/>
        <w:tabs>
          <w:tab w:val="clear" w:pos="893"/>
        </w:tabs>
        <w:spacing w:before="0"/>
        <w:ind w:left="567"/>
        <w:rPr>
          <w:del w:id="1746" w:author="svcMRProcess" w:date="2020-02-19T21:14:00Z"/>
          <w:sz w:val="20"/>
        </w:rPr>
      </w:pPr>
      <w:del w:id="1747" w:author="svcMRProcess" w:date="2020-02-19T21:14:00Z">
        <w:r>
          <w:rPr>
            <w:sz w:val="20"/>
          </w:rPr>
          <w:delText>“</w:delText>
        </w:r>
      </w:del>
    </w:p>
    <w:p>
      <w:pPr>
        <w:pStyle w:val="nzSubsection"/>
        <w:tabs>
          <w:tab w:val="clear" w:pos="1162"/>
          <w:tab w:val="clear" w:pos="1446"/>
          <w:tab w:val="left" w:pos="1701"/>
        </w:tabs>
        <w:spacing w:before="0"/>
        <w:ind w:left="1701" w:hanging="850"/>
        <w:rPr>
          <w:del w:id="1748" w:author="svcMRProcess" w:date="2020-02-19T21:14:00Z"/>
          <w:b/>
        </w:rPr>
      </w:pPr>
      <w:del w:id="1749" w:author="svcMRProcess" w:date="2020-02-19T21:14:00Z">
        <w:r>
          <w:rPr>
            <w:b/>
          </w:rPr>
          <w:delText>66.</w:delText>
        </w:r>
        <w:r>
          <w:rPr>
            <w:b/>
          </w:rPr>
          <w:tab/>
          <w:delText>Rights conferred by pipeline licence</w:delText>
        </w:r>
      </w:del>
    </w:p>
    <w:p>
      <w:pPr>
        <w:pStyle w:val="nzIndenta"/>
        <w:tabs>
          <w:tab w:val="clear" w:pos="1899"/>
          <w:tab w:val="clear" w:pos="2183"/>
          <w:tab w:val="right" w:pos="1418"/>
          <w:tab w:val="left" w:pos="1701"/>
        </w:tabs>
        <w:ind w:left="1701" w:right="433" w:hanging="708"/>
        <w:rPr>
          <w:del w:id="1750" w:author="svcMRProcess" w:date="2020-02-19T21:14:00Z"/>
        </w:rPr>
      </w:pPr>
      <w:del w:id="1751" w:author="svcMRProcess" w:date="2020-02-19T21:14:00Z">
        <w:r>
          <w:tab/>
        </w:r>
        <w:r>
          <w:tab/>
          <w:delText>A pipeline licence, while it remains in force, authorizes the pipeline licensee, subject to this Act and the regulations and to the conditions to which the pipeline licence is subject — </w:delText>
        </w:r>
      </w:del>
    </w:p>
    <w:p>
      <w:pPr>
        <w:pStyle w:val="nzIndenti"/>
        <w:tabs>
          <w:tab w:val="clear" w:pos="2608"/>
          <w:tab w:val="clear" w:pos="2892"/>
          <w:tab w:val="right" w:pos="2127"/>
          <w:tab w:val="left" w:pos="2552"/>
        </w:tabs>
        <w:ind w:left="2552" w:hanging="1418"/>
        <w:rPr>
          <w:del w:id="1752" w:author="svcMRProcess" w:date="2020-02-19T21:14:00Z"/>
          <w:snapToGrid w:val="0"/>
        </w:rPr>
      </w:pPr>
      <w:del w:id="1753" w:author="svcMRProcess" w:date="2020-02-19T21:14:00Z">
        <w:r>
          <w:rPr>
            <w:snapToGrid w:val="0"/>
          </w:rPr>
          <w:tab/>
          <w:delText>(a)</w:delText>
        </w:r>
        <w:r>
          <w:rPr>
            <w:snapToGrid w:val="0"/>
          </w:rPr>
          <w:tab/>
          <w:delText>to operate the existing pipeline to which the pipeline licence relates and its pumping stations, tank stations and valve stations specified in the pipeline licence; and</w:delText>
        </w:r>
      </w:del>
    </w:p>
    <w:p>
      <w:pPr>
        <w:pStyle w:val="nzIndenti"/>
        <w:tabs>
          <w:tab w:val="clear" w:pos="2608"/>
          <w:tab w:val="clear" w:pos="2892"/>
          <w:tab w:val="right" w:pos="2127"/>
          <w:tab w:val="left" w:pos="2552"/>
        </w:tabs>
        <w:ind w:left="2552" w:hanging="1418"/>
        <w:rPr>
          <w:del w:id="1754" w:author="svcMRProcess" w:date="2020-02-19T21:14:00Z"/>
          <w:snapToGrid w:val="0"/>
        </w:rPr>
      </w:pPr>
      <w:del w:id="1755" w:author="svcMRProcess" w:date="2020-02-19T21:14:00Z">
        <w:r>
          <w:rPr>
            <w:snapToGrid w:val="0"/>
          </w:rPr>
          <w:tab/>
          <w:delText>(b)</w:delText>
        </w:r>
        <w:r>
          <w:rPr>
            <w:snapToGrid w:val="0"/>
          </w:rPr>
          <w:tab/>
          <w:delText>to carry on such operations, to execute such works and to do all such other things in the adjacent area as are necessary for or incidental to the operation of the existing pipeline, and the pumping stations, tank stations and valve stations, referred to in paragraph (a).</w:delText>
        </w:r>
      </w:del>
    </w:p>
    <w:p>
      <w:pPr>
        <w:pStyle w:val="MiscClose"/>
        <w:ind w:right="294"/>
        <w:rPr>
          <w:del w:id="1756" w:author="svcMRProcess" w:date="2020-02-19T21:14:00Z"/>
          <w:snapToGrid w:val="0"/>
          <w:sz w:val="20"/>
        </w:rPr>
      </w:pPr>
      <w:del w:id="1757" w:author="svcMRProcess" w:date="2020-02-19T21:14:00Z">
        <w:r>
          <w:rPr>
            <w:snapToGrid w:val="0"/>
            <w:sz w:val="20"/>
          </w:rPr>
          <w:delText>”;</w:delText>
        </w:r>
      </w:del>
    </w:p>
    <w:p>
      <w:pPr>
        <w:pStyle w:val="nzIndenta"/>
        <w:rPr>
          <w:del w:id="1758" w:author="svcMRProcess" w:date="2020-02-19T21:14:00Z"/>
          <w:snapToGrid w:val="0"/>
        </w:rPr>
      </w:pPr>
      <w:del w:id="1759" w:author="svcMRProcess" w:date="2020-02-19T21:14:00Z">
        <w:r>
          <w:rPr>
            <w:snapToGrid w:val="0"/>
          </w:rPr>
          <w:tab/>
          <w:delText>(e)</w:delText>
        </w:r>
        <w:r>
          <w:rPr>
            <w:snapToGrid w:val="0"/>
          </w:rPr>
          <w:tab/>
        </w:r>
        <w:r>
          <w:rPr>
            <w:snapToGrid w:val="0"/>
            <w:spacing w:val="-2"/>
          </w:rPr>
          <w:delText>section 67 of the principal Act shall have effect in relation to the Barrow Island Pipeline and the Withnell Bay Pipeline as if it had been enacted in the following form —</w:delText>
        </w:r>
        <w:r>
          <w:rPr>
            <w:snapToGrid w:val="0"/>
          </w:rPr>
          <w:delText> </w:delText>
        </w:r>
      </w:del>
    </w:p>
    <w:p>
      <w:pPr>
        <w:pStyle w:val="MiscOpen"/>
        <w:tabs>
          <w:tab w:val="clear" w:pos="893"/>
        </w:tabs>
        <w:spacing w:before="0"/>
        <w:ind w:left="567"/>
        <w:rPr>
          <w:del w:id="1760" w:author="svcMRProcess" w:date="2020-02-19T21:14:00Z"/>
          <w:sz w:val="20"/>
        </w:rPr>
      </w:pPr>
      <w:del w:id="1761" w:author="svcMRProcess" w:date="2020-02-19T21:14:00Z">
        <w:r>
          <w:rPr>
            <w:sz w:val="20"/>
          </w:rPr>
          <w:delText>“</w:delText>
        </w:r>
      </w:del>
    </w:p>
    <w:p>
      <w:pPr>
        <w:pStyle w:val="nzSubsection"/>
        <w:tabs>
          <w:tab w:val="clear" w:pos="1162"/>
          <w:tab w:val="clear" w:pos="1446"/>
          <w:tab w:val="left" w:pos="1701"/>
        </w:tabs>
        <w:spacing w:before="0"/>
        <w:ind w:left="1701" w:hanging="850"/>
        <w:rPr>
          <w:del w:id="1762" w:author="svcMRProcess" w:date="2020-02-19T21:14:00Z"/>
          <w:b/>
        </w:rPr>
      </w:pPr>
      <w:del w:id="1763" w:author="svcMRProcess" w:date="2020-02-19T21:14:00Z">
        <w:r>
          <w:rPr>
            <w:b/>
          </w:rPr>
          <w:delText>67.</w:delText>
        </w:r>
        <w:r>
          <w:rPr>
            <w:b/>
          </w:rPr>
          <w:tab/>
          <w:delText>Term of existing pipeline licence</w:delText>
        </w:r>
      </w:del>
    </w:p>
    <w:p>
      <w:pPr>
        <w:pStyle w:val="nzIndenta"/>
        <w:tabs>
          <w:tab w:val="clear" w:pos="1899"/>
          <w:tab w:val="clear" w:pos="2183"/>
          <w:tab w:val="right" w:pos="1418"/>
          <w:tab w:val="left" w:pos="1701"/>
        </w:tabs>
        <w:ind w:left="1701" w:right="433" w:hanging="708"/>
        <w:rPr>
          <w:del w:id="1764" w:author="svcMRProcess" w:date="2020-02-19T21:14:00Z"/>
        </w:rPr>
      </w:pPr>
      <w:del w:id="1765" w:author="svcMRProcess" w:date="2020-02-19T21:14:00Z">
        <w:r>
          <w:tab/>
          <w:delText>(1)</w:delText>
        </w:r>
        <w:r>
          <w:tab/>
          <w:delText>Subject to this Part, a pipeline licence — </w:delText>
        </w:r>
      </w:del>
    </w:p>
    <w:p>
      <w:pPr>
        <w:pStyle w:val="nzIndenti"/>
        <w:tabs>
          <w:tab w:val="clear" w:pos="2608"/>
          <w:tab w:val="clear" w:pos="2892"/>
          <w:tab w:val="right" w:pos="2127"/>
          <w:tab w:val="left" w:pos="2552"/>
        </w:tabs>
        <w:ind w:left="2552" w:hanging="1418"/>
        <w:rPr>
          <w:del w:id="1766" w:author="svcMRProcess" w:date="2020-02-19T21:14:00Z"/>
          <w:snapToGrid w:val="0"/>
        </w:rPr>
      </w:pPr>
      <w:del w:id="1767" w:author="svcMRProcess" w:date="2020-02-19T21:14:00Z">
        <w:r>
          <w:rPr>
            <w:snapToGrid w:val="0"/>
          </w:rPr>
          <w:tab/>
          <w:delText>(a)</w:delText>
        </w:r>
        <w:r>
          <w:rPr>
            <w:snapToGrid w:val="0"/>
          </w:rPr>
          <w:tab/>
          <w:delText>granted otherwise than by way of renewal in respect of an existing pipeline — </w:delText>
        </w:r>
      </w:del>
    </w:p>
    <w:p>
      <w:pPr>
        <w:pStyle w:val="nzIndentI0"/>
        <w:tabs>
          <w:tab w:val="clear" w:pos="3459"/>
          <w:tab w:val="clear" w:pos="3771"/>
          <w:tab w:val="right" w:pos="3119"/>
          <w:tab w:val="left" w:pos="3544"/>
        </w:tabs>
        <w:ind w:left="3544" w:hanging="1276"/>
        <w:rPr>
          <w:del w:id="1768" w:author="svcMRProcess" w:date="2020-02-19T21:14:00Z"/>
          <w:snapToGrid w:val="0"/>
        </w:rPr>
      </w:pPr>
      <w:del w:id="1769" w:author="svcMRProcess" w:date="2020-02-19T21:14:00Z">
        <w:r>
          <w:rPr>
            <w:snapToGrid w:val="0"/>
          </w:rPr>
          <w:tab/>
          <w:delText>(i)</w:delText>
        </w:r>
        <w:r>
          <w:rPr>
            <w:snapToGrid w:val="0"/>
          </w:rPr>
          <w:tab/>
          <w:delText>which is the Barrow Island Pipeline remains in force for the period of 21 years which commenced on 10 February 1988; or</w:delText>
        </w:r>
      </w:del>
    </w:p>
    <w:p>
      <w:pPr>
        <w:pStyle w:val="nzIndentI0"/>
        <w:tabs>
          <w:tab w:val="clear" w:pos="3459"/>
          <w:tab w:val="clear" w:pos="3771"/>
          <w:tab w:val="right" w:pos="3119"/>
          <w:tab w:val="left" w:pos="3544"/>
        </w:tabs>
        <w:ind w:left="3544" w:hanging="1276"/>
        <w:rPr>
          <w:del w:id="1770" w:author="svcMRProcess" w:date="2020-02-19T21:14:00Z"/>
          <w:snapToGrid w:val="0"/>
        </w:rPr>
      </w:pPr>
      <w:del w:id="1771" w:author="svcMRProcess" w:date="2020-02-19T21:14:00Z">
        <w:r>
          <w:rPr>
            <w:snapToGrid w:val="0"/>
          </w:rPr>
          <w:tab/>
          <w:delText>(ii)</w:delText>
        </w:r>
        <w:r>
          <w:rPr>
            <w:snapToGrid w:val="0"/>
          </w:rPr>
          <w:tab/>
          <w:delText>which is the Withnell Bay Pipeline remains in force for the period of 21 years which commenced on 20 December 1983;</w:delText>
        </w:r>
      </w:del>
    </w:p>
    <w:p>
      <w:pPr>
        <w:pStyle w:val="nzIndenti"/>
        <w:tabs>
          <w:tab w:val="clear" w:pos="2608"/>
          <w:tab w:val="clear" w:pos="2892"/>
          <w:tab w:val="right" w:pos="2127"/>
          <w:tab w:val="left" w:pos="2552"/>
        </w:tabs>
        <w:ind w:left="2552" w:hanging="1418"/>
        <w:rPr>
          <w:del w:id="1772" w:author="svcMRProcess" w:date="2020-02-19T21:14:00Z"/>
          <w:snapToGrid w:val="0"/>
        </w:rPr>
      </w:pPr>
      <w:del w:id="1773" w:author="svcMRProcess" w:date="2020-02-19T21:14:00Z">
        <w:r>
          <w:rPr>
            <w:snapToGrid w:val="0"/>
          </w:rPr>
          <w:tab/>
        </w:r>
        <w:r>
          <w:rPr>
            <w:snapToGrid w:val="0"/>
          </w:rPr>
          <w:tab/>
          <w:delText>or</w:delText>
        </w:r>
      </w:del>
    </w:p>
    <w:p>
      <w:pPr>
        <w:pStyle w:val="nzIndenti"/>
        <w:tabs>
          <w:tab w:val="clear" w:pos="2608"/>
          <w:tab w:val="clear" w:pos="2892"/>
          <w:tab w:val="right" w:pos="2127"/>
          <w:tab w:val="left" w:pos="2552"/>
        </w:tabs>
        <w:ind w:left="2552" w:hanging="1418"/>
        <w:rPr>
          <w:del w:id="1774" w:author="svcMRProcess" w:date="2020-02-19T21:14:00Z"/>
          <w:snapToGrid w:val="0"/>
        </w:rPr>
      </w:pPr>
      <w:del w:id="1775" w:author="svcMRProcess" w:date="2020-02-19T21:14:00Z">
        <w:r>
          <w:rPr>
            <w:snapToGrid w:val="0"/>
          </w:rPr>
          <w:tab/>
          <w:delText>(b)</w:delText>
        </w:r>
        <w:r>
          <w:rPr>
            <w:snapToGrid w:val="0"/>
          </w:rPr>
          <w:tab/>
          <w:delText>granted by way of renewal in respect of an existing pipeline remains in force, subject to subsection (2), for a period of 21 years.</w:delText>
        </w:r>
      </w:del>
    </w:p>
    <w:p>
      <w:pPr>
        <w:pStyle w:val="nzIndenta"/>
        <w:tabs>
          <w:tab w:val="clear" w:pos="1899"/>
          <w:tab w:val="clear" w:pos="2183"/>
          <w:tab w:val="right" w:pos="1418"/>
          <w:tab w:val="left" w:pos="1701"/>
        </w:tabs>
        <w:ind w:left="1701" w:right="433" w:hanging="708"/>
        <w:rPr>
          <w:del w:id="1776" w:author="svcMRProcess" w:date="2020-02-19T21:14:00Z"/>
        </w:rPr>
      </w:pPr>
      <w:del w:id="1777" w:author="svcMRProcess" w:date="2020-02-19T21:14:00Z">
        <w:r>
          <w:tab/>
          <w:delText>(2)</w:delText>
        </w:r>
        <w:r>
          <w:tab/>
          <w:delText>If the Minister considers that, having regard to the dates of expiry of the licences that relate to the licence areas from which petroleum is conveyed by means of an existing pipeline, it is not necessary for the relevant pipeline licence to remain in force for a period of 21 years after renewal, that pipeline licence remains in force after renewal, subject to this Part, for such period of less than 21 years as the Minister determines and specifies in that pipeline licence.</w:delText>
        </w:r>
      </w:del>
    </w:p>
    <w:p>
      <w:pPr>
        <w:pStyle w:val="MiscClose"/>
        <w:ind w:right="294"/>
        <w:rPr>
          <w:del w:id="1778" w:author="svcMRProcess" w:date="2020-02-19T21:14:00Z"/>
          <w:snapToGrid w:val="0"/>
          <w:sz w:val="20"/>
        </w:rPr>
      </w:pPr>
      <w:del w:id="1779" w:author="svcMRProcess" w:date="2020-02-19T21:14:00Z">
        <w:r>
          <w:rPr>
            <w:snapToGrid w:val="0"/>
            <w:sz w:val="20"/>
          </w:rPr>
          <w:delText>”;</w:delText>
        </w:r>
      </w:del>
    </w:p>
    <w:p>
      <w:pPr>
        <w:pStyle w:val="MiscClose"/>
        <w:rPr>
          <w:del w:id="1780" w:author="svcMRProcess" w:date="2020-02-19T21:14:00Z"/>
          <w:snapToGrid w:val="0"/>
          <w:sz w:val="20"/>
        </w:rPr>
      </w:pPr>
      <w:del w:id="1781" w:author="svcMRProcess" w:date="2020-02-19T21:14:00Z">
        <w:r>
          <w:rPr>
            <w:snapToGrid w:val="0"/>
            <w:sz w:val="20"/>
          </w:rPr>
          <w:delText>”;</w:delText>
        </w:r>
      </w:del>
    </w:p>
    <w:p>
      <w:pPr>
        <w:pStyle w:val="nSubsection"/>
        <w:rPr>
          <w:del w:id="1782" w:author="svcMRProcess" w:date="2020-02-19T21:14:00Z"/>
          <w:snapToGrid w:val="0"/>
        </w:rPr>
      </w:pPr>
      <w:del w:id="1783" w:author="svcMRProcess" w:date="2020-02-19T21:14:00Z">
        <w:r>
          <w:rPr>
            <w:snapToGrid w:val="0"/>
          </w:rPr>
          <w:tab/>
          <w:delText xml:space="preserve">Section 191(3) of the </w:delText>
        </w:r>
        <w:r>
          <w:rPr>
            <w:i/>
            <w:snapToGrid w:val="0"/>
          </w:rPr>
          <w:delText>Acts Amendment (Petroleum) Act 1990</w:delText>
        </w:r>
        <w:r>
          <w:rPr>
            <w:snapToGrid w:val="0"/>
          </w:rPr>
          <w:delText xml:space="preserve"> (No. 12 of 1990) reads — </w:delText>
        </w:r>
      </w:del>
    </w:p>
    <w:p>
      <w:pPr>
        <w:pStyle w:val="MiscOpen"/>
        <w:rPr>
          <w:del w:id="1784" w:author="svcMRProcess" w:date="2020-02-19T21:14:00Z"/>
          <w:snapToGrid w:val="0"/>
          <w:sz w:val="20"/>
        </w:rPr>
      </w:pPr>
      <w:del w:id="1785" w:author="svcMRProcess" w:date="2020-02-19T21:14:00Z">
        <w:r>
          <w:rPr>
            <w:snapToGrid w:val="0"/>
            <w:sz w:val="20"/>
          </w:rPr>
          <w:delText>“</w:delText>
        </w:r>
      </w:del>
    </w:p>
    <w:p>
      <w:pPr>
        <w:pStyle w:val="nzSubsection"/>
        <w:spacing w:before="0"/>
        <w:rPr>
          <w:del w:id="1786" w:author="svcMRProcess" w:date="2020-02-19T21:14:00Z"/>
          <w:snapToGrid w:val="0"/>
        </w:rPr>
      </w:pPr>
      <w:del w:id="1787" w:author="svcMRProcess" w:date="2020-02-19T21:14:00Z">
        <w:r>
          <w:rPr>
            <w:snapToGrid w:val="0"/>
          </w:rPr>
          <w:tab/>
          <w:delText>(3)</w:delText>
        </w:r>
        <w:r>
          <w:rPr>
            <w:snapToGrid w:val="0"/>
          </w:rPr>
          <w:tab/>
          <w:delText>In subsection (2) — </w:delText>
        </w:r>
      </w:del>
    </w:p>
    <w:p>
      <w:pPr>
        <w:pStyle w:val="nzPenstart"/>
        <w:rPr>
          <w:del w:id="1788" w:author="svcMRProcess" w:date="2020-02-19T21:14:00Z"/>
        </w:rPr>
      </w:pPr>
      <w:del w:id="1789" w:author="svcMRProcess" w:date="2020-02-19T21:14:00Z">
        <w:r>
          <w:tab/>
        </w:r>
        <w:r>
          <w:rPr>
            <w:b/>
          </w:rPr>
          <w:delText>“the Barrow Island Pipeline”</w:delText>
        </w:r>
        <w:r>
          <w:delText xml:space="preserve"> means the pipeline which extends from Barrow Island to the offshore mooring terminal and which is more fully described in Special Lease No. 3116/3628 granted under section 116 of the </w:delText>
        </w:r>
        <w:r>
          <w:rPr>
            <w:i/>
          </w:rPr>
          <w:delText>Land Act 1933</w:delText>
        </w:r>
        <w:r>
          <w:delText>;</w:delText>
        </w:r>
      </w:del>
    </w:p>
    <w:p>
      <w:pPr>
        <w:pStyle w:val="nzPenstart"/>
        <w:rPr>
          <w:del w:id="1790" w:author="svcMRProcess" w:date="2020-02-19T21:14:00Z"/>
        </w:rPr>
      </w:pPr>
      <w:del w:id="1791" w:author="svcMRProcess" w:date="2020-02-19T21:14:00Z">
        <w:r>
          <w:tab/>
        </w:r>
        <w:r>
          <w:rPr>
            <w:b/>
          </w:rPr>
          <w:delText>“the Withnell Bay Pipeline”</w:delText>
        </w:r>
        <w:r>
          <w:delText xml:space="preserve"> means the pipeline which extends from the North West Shelf Development Project Treatment Plant to the Product Loading Jetty near Withnell Bay and which is the subject of Pipeline Licence PL9 granted under the </w:delText>
        </w:r>
        <w:r>
          <w:rPr>
            <w:i/>
          </w:rPr>
          <w:delText>Petroleum Pipelines Act 1969</w:delText>
        </w:r>
        <w:r>
          <w:delText>.</w:delText>
        </w:r>
      </w:del>
    </w:p>
    <w:p>
      <w:pPr>
        <w:pStyle w:val="MiscClose"/>
        <w:rPr>
          <w:del w:id="1792" w:author="svcMRProcess" w:date="2020-02-19T21:14:00Z"/>
          <w:sz w:val="20"/>
        </w:rPr>
      </w:pPr>
      <w:del w:id="1793" w:author="svcMRProcess" w:date="2020-02-19T21:14:00Z">
        <w:r>
          <w:rPr>
            <w:sz w:val="20"/>
          </w:rPr>
          <w:delText>”.</w:delText>
        </w:r>
      </w:del>
    </w:p>
    <w:p>
      <w:pPr>
        <w:pStyle w:val="nSubsection"/>
        <w:rPr>
          <w:del w:id="1794" w:author="svcMRProcess" w:date="2020-02-19T21:14:00Z"/>
          <w:snapToGrid w:val="0"/>
        </w:rPr>
      </w:pPr>
      <w:del w:id="1795" w:author="svcMRProcess" w:date="2020-02-19T21:14:00Z">
        <w:r>
          <w:rPr>
            <w:snapToGrid w:val="0"/>
            <w:vertAlign w:val="superscript"/>
          </w:rPr>
          <w:delText>3</w:delText>
        </w:r>
        <w:r>
          <w:rPr>
            <w:snapToGrid w:val="0"/>
          </w:rPr>
          <w:tab/>
          <w:delText xml:space="preserve">Section 172(2), (3), (4), (5) and (6) of the </w:delText>
        </w:r>
        <w:r>
          <w:rPr>
            <w:i/>
            <w:snapToGrid w:val="0"/>
          </w:rPr>
          <w:delText>Acts Amendment (Petroleum) Act 1990</w:delText>
        </w:r>
        <w:r>
          <w:rPr>
            <w:snapToGrid w:val="0"/>
          </w:rPr>
          <w:delText xml:space="preserve"> (No. 12 of 1990) reads — </w:delText>
        </w:r>
      </w:del>
    </w:p>
    <w:p>
      <w:pPr>
        <w:pStyle w:val="MiscOpen"/>
        <w:rPr>
          <w:del w:id="1796" w:author="svcMRProcess" w:date="2020-02-19T21:14:00Z"/>
          <w:snapToGrid w:val="0"/>
          <w:sz w:val="20"/>
        </w:rPr>
      </w:pPr>
      <w:del w:id="1797" w:author="svcMRProcess" w:date="2020-02-19T21:14:00Z">
        <w:r>
          <w:rPr>
            <w:snapToGrid w:val="0"/>
            <w:sz w:val="20"/>
          </w:rPr>
          <w:delText>“</w:delText>
        </w:r>
      </w:del>
    </w:p>
    <w:p>
      <w:pPr>
        <w:pStyle w:val="nzSubsection"/>
        <w:spacing w:before="0"/>
        <w:rPr>
          <w:del w:id="1798" w:author="svcMRProcess" w:date="2020-02-19T21:14:00Z"/>
          <w:snapToGrid w:val="0"/>
        </w:rPr>
      </w:pPr>
      <w:del w:id="1799" w:author="svcMRProcess" w:date="2020-02-19T21:14:00Z">
        <w:r>
          <w:rPr>
            <w:snapToGrid w:val="0"/>
          </w:rPr>
          <w:tab/>
          <w:delText>(2)</w:delText>
        </w:r>
        <w:r>
          <w:rPr>
            <w:snapToGrid w:val="0"/>
          </w:rPr>
          <w:tab/>
          <w:delText>Where — </w:delText>
        </w:r>
      </w:del>
    </w:p>
    <w:p>
      <w:pPr>
        <w:pStyle w:val="nzIndenta"/>
        <w:rPr>
          <w:del w:id="1800" w:author="svcMRProcess" w:date="2020-02-19T21:14:00Z"/>
          <w:snapToGrid w:val="0"/>
        </w:rPr>
      </w:pPr>
      <w:del w:id="1801" w:author="svcMRProcess" w:date="2020-02-19T21:14:00Z">
        <w:r>
          <w:rPr>
            <w:snapToGrid w:val="0"/>
          </w:rPr>
          <w:tab/>
          <w:delText>(a)</w:delText>
        </w:r>
        <w:r>
          <w:rPr>
            <w:snapToGrid w:val="0"/>
          </w:rPr>
          <w:tab/>
          <w:delText>at the commencement of this section, a nomination had been made under section 36 of the principal Act; and</w:delText>
        </w:r>
      </w:del>
    </w:p>
    <w:p>
      <w:pPr>
        <w:pStyle w:val="nzIndenta"/>
        <w:rPr>
          <w:del w:id="1802" w:author="svcMRProcess" w:date="2020-02-19T21:14:00Z"/>
          <w:snapToGrid w:val="0"/>
        </w:rPr>
      </w:pPr>
      <w:del w:id="1803" w:author="svcMRProcess" w:date="2020-02-19T21:14:00Z">
        <w:r>
          <w:rPr>
            <w:snapToGrid w:val="0"/>
          </w:rPr>
          <w:tab/>
          <w:delText>(b)</w:delText>
        </w:r>
        <w:r>
          <w:rPr>
            <w:snapToGrid w:val="0"/>
          </w:rPr>
          <w:tab/>
          <w:delText>at that commencement, a declaration had not been made under section 37 of the principal Act as a result of the making of the nomination,</w:delText>
        </w:r>
      </w:del>
    </w:p>
    <w:p>
      <w:pPr>
        <w:pStyle w:val="nzSubsection"/>
        <w:rPr>
          <w:del w:id="1804" w:author="svcMRProcess" w:date="2020-02-19T21:14:00Z"/>
          <w:snapToGrid w:val="0"/>
        </w:rPr>
      </w:pPr>
      <w:del w:id="1805" w:author="svcMRProcess" w:date="2020-02-19T21:14:00Z">
        <w:r>
          <w:rPr>
            <w:snapToGrid w:val="0"/>
          </w:rPr>
          <w:tab/>
        </w:r>
        <w:r>
          <w:rPr>
            <w:snapToGrid w:val="0"/>
          </w:rPr>
          <w:tab/>
          <w:delText>sections 36, 37 and 38 of the principal Act, as in force immediately before the commencement of this section, continue to have effect in relation to that nomination and the block or blocks that would be affected by a declaration as if this Act had not been enacted.</w:delText>
        </w:r>
      </w:del>
    </w:p>
    <w:p>
      <w:pPr>
        <w:pStyle w:val="nzSubsection"/>
        <w:rPr>
          <w:del w:id="1806" w:author="svcMRProcess" w:date="2020-02-19T21:14:00Z"/>
          <w:snapToGrid w:val="0"/>
        </w:rPr>
      </w:pPr>
      <w:del w:id="1807" w:author="svcMRProcess" w:date="2020-02-19T21:14:00Z">
        <w:r>
          <w:rPr>
            <w:snapToGrid w:val="0"/>
          </w:rPr>
          <w:tab/>
          <w:delText>(3)</w:delText>
        </w:r>
        <w:r>
          <w:rPr>
            <w:snapToGrid w:val="0"/>
          </w:rPr>
          <w:tab/>
          <w:delText>A declaration made under section 37 of the principal Act as continued in force by subsection (2) has effect, and the principal Act, as amended by this Act, applies to the declaration, as if the declaration had been made under that section as amended by this Act.</w:delText>
        </w:r>
      </w:del>
    </w:p>
    <w:p>
      <w:pPr>
        <w:pStyle w:val="nzSubsection"/>
        <w:rPr>
          <w:del w:id="1808" w:author="svcMRProcess" w:date="2020-02-19T21:14:00Z"/>
          <w:snapToGrid w:val="0"/>
        </w:rPr>
      </w:pPr>
      <w:del w:id="1809" w:author="svcMRProcess" w:date="2020-02-19T21:14:00Z">
        <w:r>
          <w:rPr>
            <w:snapToGrid w:val="0"/>
          </w:rPr>
          <w:tab/>
          <w:delText>(4)</w:delText>
        </w:r>
        <w:r>
          <w:rPr>
            <w:snapToGrid w:val="0"/>
          </w:rPr>
          <w:tab/>
          <w:delText>A declaration in force under section 37 of the principal Act immediately before the commencement of this section has effect after that commencement as if it were a declaration under section 37 of the principal Act as amended by this Act.</w:delText>
        </w:r>
      </w:del>
    </w:p>
    <w:p>
      <w:pPr>
        <w:pStyle w:val="nzSubsection"/>
        <w:rPr>
          <w:del w:id="1810" w:author="svcMRProcess" w:date="2020-02-19T21:14:00Z"/>
          <w:snapToGrid w:val="0"/>
        </w:rPr>
      </w:pPr>
      <w:del w:id="1811" w:author="svcMRProcess" w:date="2020-02-19T21:14:00Z">
        <w:r>
          <w:rPr>
            <w:snapToGrid w:val="0"/>
          </w:rPr>
          <w:tab/>
          <w:delText>(5)</w:delText>
        </w:r>
        <w:r>
          <w:rPr>
            <w:snapToGrid w:val="0"/>
          </w:rPr>
          <w:tab/>
          <w:delText>Where — </w:delText>
        </w:r>
      </w:del>
    </w:p>
    <w:p>
      <w:pPr>
        <w:pStyle w:val="nzIndenta"/>
        <w:rPr>
          <w:del w:id="1812" w:author="svcMRProcess" w:date="2020-02-19T21:14:00Z"/>
          <w:snapToGrid w:val="0"/>
          <w:spacing w:val="-2"/>
        </w:rPr>
      </w:pPr>
      <w:del w:id="1813" w:author="svcMRProcess" w:date="2020-02-19T21:14:00Z">
        <w:r>
          <w:rPr>
            <w:snapToGrid w:val="0"/>
            <w:spacing w:val="-2"/>
          </w:rPr>
          <w:tab/>
          <w:delText>(a)</w:delText>
        </w:r>
        <w:r>
          <w:rPr>
            <w:snapToGrid w:val="0"/>
            <w:spacing w:val="-2"/>
          </w:rPr>
          <w:tab/>
          <w:delText>the permittee under a permit granted before the commencement of this section applies under section 40 of the principal Act, as amended by this Act, for a licence;</w:delText>
        </w:r>
      </w:del>
    </w:p>
    <w:p>
      <w:pPr>
        <w:pStyle w:val="nzIndenta"/>
        <w:rPr>
          <w:del w:id="1814" w:author="svcMRProcess" w:date="2020-02-19T21:14:00Z"/>
          <w:snapToGrid w:val="0"/>
        </w:rPr>
      </w:pPr>
      <w:del w:id="1815" w:author="svcMRProcess" w:date="2020-02-19T21:14:00Z">
        <w:r>
          <w:rPr>
            <w:snapToGrid w:val="0"/>
          </w:rPr>
          <w:tab/>
          <w:delText>(b)</w:delText>
        </w:r>
        <w:r>
          <w:rPr>
            <w:snapToGrid w:val="0"/>
          </w:rPr>
          <w:tab/>
          <w:delText>the location that includes the block or blocks to which the application relates was declared under section 37 of the principal Act as amended by this Act;</w:delText>
        </w:r>
      </w:del>
    </w:p>
    <w:p>
      <w:pPr>
        <w:pStyle w:val="nzIndenta"/>
        <w:rPr>
          <w:del w:id="1816" w:author="svcMRProcess" w:date="2020-02-19T21:14:00Z"/>
          <w:snapToGrid w:val="0"/>
        </w:rPr>
      </w:pPr>
      <w:del w:id="1817" w:author="svcMRProcess" w:date="2020-02-19T21:14:00Z">
        <w:r>
          <w:rPr>
            <w:snapToGrid w:val="0"/>
          </w:rPr>
          <w:tab/>
          <w:delText>(c)</w:delText>
        </w:r>
        <w:r>
          <w:rPr>
            <w:snapToGrid w:val="0"/>
          </w:rPr>
          <w:tab/>
          <w:delText>the location consists of not more than 8 blocks;</w:delText>
        </w:r>
      </w:del>
    </w:p>
    <w:p>
      <w:pPr>
        <w:pStyle w:val="nzIndenta"/>
        <w:rPr>
          <w:del w:id="1818" w:author="svcMRProcess" w:date="2020-02-19T21:14:00Z"/>
          <w:snapToGrid w:val="0"/>
        </w:rPr>
      </w:pPr>
      <w:del w:id="1819" w:author="svcMRProcess" w:date="2020-02-19T21:14:00Z">
        <w:r>
          <w:rPr>
            <w:snapToGrid w:val="0"/>
          </w:rPr>
          <w:tab/>
          <w:delText>(d)</w:delText>
        </w:r>
        <w:r>
          <w:rPr>
            <w:snapToGrid w:val="0"/>
          </w:rPr>
          <w:tab/>
          <w:delTex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delText>
        </w:r>
      </w:del>
    </w:p>
    <w:p>
      <w:pPr>
        <w:pStyle w:val="nzIndenta"/>
        <w:rPr>
          <w:del w:id="1820" w:author="svcMRProcess" w:date="2020-02-19T21:14:00Z"/>
          <w:snapToGrid w:val="0"/>
        </w:rPr>
      </w:pPr>
      <w:del w:id="1821" w:author="svcMRProcess" w:date="2020-02-19T21:14:00Z">
        <w:r>
          <w:rPr>
            <w:snapToGrid w:val="0"/>
          </w:rPr>
          <w:tab/>
          <w:delText>(e)</w:delText>
        </w:r>
        <w:r>
          <w:rPr>
            <w:snapToGrid w:val="0"/>
          </w:rPr>
          <w:tab/>
          <w:delText>the number of blocks specified in the notification exceeds the number of blocks in the location referred to in paragraph (b),</w:delText>
        </w:r>
      </w:del>
    </w:p>
    <w:p>
      <w:pPr>
        <w:pStyle w:val="nzSubsection"/>
        <w:rPr>
          <w:del w:id="1822" w:author="svcMRProcess" w:date="2020-02-19T21:14:00Z"/>
          <w:snapToGrid w:val="0"/>
        </w:rPr>
      </w:pPr>
      <w:del w:id="1823" w:author="svcMRProcess" w:date="2020-02-19T21:14:00Z">
        <w:r>
          <w:rPr>
            <w:snapToGrid w:val="0"/>
          </w:rPr>
          <w:tab/>
        </w:r>
        <w:r>
          <w:rPr>
            <w:snapToGrid w:val="0"/>
          </w:rPr>
          <w:tab/>
          <w:delText>section 40(1) of the principal Act, as amended by this Act, applies as if the first</w:delText>
        </w:r>
        <w:r>
          <w:rPr>
            <w:snapToGrid w:val="0"/>
          </w:rPr>
          <w:noBreakHyphen/>
          <w:delText>mentioned location were constituted by the number of blocks specified in the notification referred to in paragraph (d).</w:delText>
        </w:r>
      </w:del>
    </w:p>
    <w:p>
      <w:pPr>
        <w:pStyle w:val="nzSubsection"/>
        <w:rPr>
          <w:del w:id="1824" w:author="svcMRProcess" w:date="2020-02-19T21:14:00Z"/>
          <w:snapToGrid w:val="0"/>
        </w:rPr>
      </w:pPr>
      <w:del w:id="1825" w:author="svcMRProcess" w:date="2020-02-19T21:14:00Z">
        <w:r>
          <w:rPr>
            <w:snapToGrid w:val="0"/>
          </w:rPr>
          <w:tab/>
          <w:delText>(6)</w:delText>
        </w:r>
        <w:r>
          <w:rPr>
            <w:snapToGrid w:val="0"/>
          </w:rPr>
          <w:tab/>
          <w:delText>Where — </w:delText>
        </w:r>
      </w:del>
    </w:p>
    <w:p>
      <w:pPr>
        <w:pStyle w:val="nzIndenta"/>
        <w:rPr>
          <w:del w:id="1826" w:author="svcMRProcess" w:date="2020-02-19T21:14:00Z"/>
          <w:snapToGrid w:val="0"/>
        </w:rPr>
      </w:pPr>
      <w:del w:id="1827" w:author="svcMRProcess" w:date="2020-02-19T21:14:00Z">
        <w:r>
          <w:rPr>
            <w:snapToGrid w:val="0"/>
          </w:rPr>
          <w:tab/>
          <w:delText>(a)</w:delText>
        </w:r>
        <w:r>
          <w:rPr>
            <w:snapToGrid w:val="0"/>
          </w:rPr>
          <w:tab/>
          <w:delText>a lessee under a lease of a block or blocks for which a permit was granted before the commencement of this section applies under section 40A of the principal Act, as amended by this Act, for a licence;</w:delText>
        </w:r>
      </w:del>
    </w:p>
    <w:p>
      <w:pPr>
        <w:pStyle w:val="nzIndenta"/>
        <w:rPr>
          <w:del w:id="1828" w:author="svcMRProcess" w:date="2020-02-19T21:14:00Z"/>
          <w:snapToGrid w:val="0"/>
        </w:rPr>
      </w:pPr>
      <w:del w:id="1829" w:author="svcMRProcess" w:date="2020-02-19T21:14:00Z">
        <w:r>
          <w:rPr>
            <w:snapToGrid w:val="0"/>
          </w:rPr>
          <w:tab/>
          <w:delText>(b)</w:delText>
        </w:r>
        <w:r>
          <w:rPr>
            <w:snapToGrid w:val="0"/>
          </w:rPr>
          <w:tab/>
          <w:delText>the location that includes the block or blocks to which the application relates was declared under section 37 of the principal Act, as amended by this Act;</w:delText>
        </w:r>
      </w:del>
    </w:p>
    <w:p>
      <w:pPr>
        <w:pStyle w:val="nzIndenta"/>
        <w:rPr>
          <w:del w:id="1830" w:author="svcMRProcess" w:date="2020-02-19T21:14:00Z"/>
          <w:snapToGrid w:val="0"/>
        </w:rPr>
      </w:pPr>
      <w:del w:id="1831" w:author="svcMRProcess" w:date="2020-02-19T21:14:00Z">
        <w:r>
          <w:rPr>
            <w:snapToGrid w:val="0"/>
          </w:rPr>
          <w:tab/>
          <w:delText>(c)</w:delText>
        </w:r>
        <w:r>
          <w:rPr>
            <w:snapToGrid w:val="0"/>
          </w:rPr>
          <w:tab/>
          <w:delText>the location consists of not more than 8 blocks;</w:delText>
        </w:r>
      </w:del>
    </w:p>
    <w:p>
      <w:pPr>
        <w:pStyle w:val="nzIndenta"/>
        <w:rPr>
          <w:del w:id="1832" w:author="svcMRProcess" w:date="2020-02-19T21:14:00Z"/>
          <w:snapToGrid w:val="0"/>
        </w:rPr>
      </w:pPr>
      <w:del w:id="1833" w:author="svcMRProcess" w:date="2020-02-19T21:14:00Z">
        <w:r>
          <w:rPr>
            <w:snapToGrid w:val="0"/>
          </w:rPr>
          <w:tab/>
          <w:delText>(d)</w:delText>
        </w:r>
        <w:r>
          <w:rPr>
            <w:snapToGrid w:val="0"/>
          </w:rPr>
          <w:tab/>
          <w:delTex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delText>
        </w:r>
      </w:del>
    </w:p>
    <w:p>
      <w:pPr>
        <w:pStyle w:val="nzIndenta"/>
        <w:rPr>
          <w:del w:id="1834" w:author="svcMRProcess" w:date="2020-02-19T21:14:00Z"/>
          <w:snapToGrid w:val="0"/>
        </w:rPr>
      </w:pPr>
      <w:del w:id="1835" w:author="svcMRProcess" w:date="2020-02-19T21:14:00Z">
        <w:r>
          <w:rPr>
            <w:snapToGrid w:val="0"/>
          </w:rPr>
          <w:tab/>
          <w:delText>(e)</w:delText>
        </w:r>
        <w:r>
          <w:rPr>
            <w:snapToGrid w:val="0"/>
          </w:rPr>
          <w:tab/>
          <w:delText>the number of blocks specified in the notification exceeds the number of blocks in the location referred to in paragraph (b),</w:delText>
        </w:r>
      </w:del>
    </w:p>
    <w:p>
      <w:pPr>
        <w:pStyle w:val="nzSubsection"/>
        <w:rPr>
          <w:del w:id="1836" w:author="svcMRProcess" w:date="2020-02-19T21:14:00Z"/>
          <w:snapToGrid w:val="0"/>
        </w:rPr>
      </w:pPr>
      <w:del w:id="1837" w:author="svcMRProcess" w:date="2020-02-19T21:14:00Z">
        <w:r>
          <w:rPr>
            <w:snapToGrid w:val="0"/>
          </w:rPr>
          <w:tab/>
        </w:r>
        <w:r>
          <w:rPr>
            <w:snapToGrid w:val="0"/>
          </w:rPr>
          <w:tab/>
          <w:delText>section 40A(1) of the principal Act, as amended by this Act, applies as if the lease were in respect of the number of blocks specified in the notification referred to in paragraph (d).</w:delText>
        </w:r>
      </w:del>
    </w:p>
    <w:p>
      <w:pPr>
        <w:pStyle w:val="MiscClose"/>
        <w:rPr>
          <w:del w:id="1838" w:author="svcMRProcess" w:date="2020-02-19T21:14:00Z"/>
          <w:snapToGrid w:val="0"/>
          <w:sz w:val="20"/>
        </w:rPr>
      </w:pPr>
      <w:del w:id="1839" w:author="svcMRProcess" w:date="2020-02-19T21:14:00Z">
        <w:r>
          <w:rPr>
            <w:snapToGrid w:val="0"/>
            <w:sz w:val="20"/>
          </w:rPr>
          <w:delText>”.</w:delText>
        </w:r>
      </w:del>
    </w:p>
    <w:p>
      <w:pPr>
        <w:pStyle w:val="nSubsection"/>
        <w:rPr>
          <w:del w:id="1840" w:author="svcMRProcess" w:date="2020-02-19T21:14:00Z"/>
          <w:snapToGrid w:val="0"/>
        </w:rPr>
      </w:pPr>
      <w:del w:id="1841" w:author="svcMRProcess" w:date="2020-02-19T21:14:00Z">
        <w:r>
          <w:rPr>
            <w:snapToGrid w:val="0"/>
            <w:vertAlign w:val="superscript"/>
          </w:rPr>
          <w:delText>4</w:delText>
        </w:r>
        <w:r>
          <w:rPr>
            <w:snapToGrid w:val="0"/>
          </w:rPr>
          <w:tab/>
          <w:delText xml:space="preserve">Section 181(2) of the </w:delText>
        </w:r>
        <w:r>
          <w:rPr>
            <w:i/>
            <w:snapToGrid w:val="0"/>
          </w:rPr>
          <w:delText>Acts Amendment (Petroleum) Act 1990</w:delText>
        </w:r>
        <w:r>
          <w:rPr>
            <w:snapToGrid w:val="0"/>
          </w:rPr>
          <w:delText xml:space="preserve"> (No. 12 of 1990) reads — </w:delText>
        </w:r>
      </w:del>
    </w:p>
    <w:p>
      <w:pPr>
        <w:pStyle w:val="MiscOpen"/>
        <w:rPr>
          <w:del w:id="1842" w:author="svcMRProcess" w:date="2020-02-19T21:14:00Z"/>
          <w:snapToGrid w:val="0"/>
          <w:sz w:val="20"/>
        </w:rPr>
      </w:pPr>
      <w:del w:id="1843" w:author="svcMRProcess" w:date="2020-02-19T21:14:00Z">
        <w:r>
          <w:rPr>
            <w:snapToGrid w:val="0"/>
            <w:sz w:val="20"/>
          </w:rPr>
          <w:delText>“</w:delText>
        </w:r>
      </w:del>
    </w:p>
    <w:p>
      <w:pPr>
        <w:pStyle w:val="nzSubsection"/>
        <w:spacing w:before="0"/>
        <w:rPr>
          <w:del w:id="1844" w:author="svcMRProcess" w:date="2020-02-19T21:14:00Z"/>
          <w:snapToGrid w:val="0"/>
        </w:rPr>
      </w:pPr>
      <w:del w:id="1845" w:author="svcMRProcess" w:date="2020-02-19T21:14:00Z">
        <w:r>
          <w:rPr>
            <w:snapToGrid w:val="0"/>
          </w:rPr>
          <w:tab/>
          <w:delText>(2)</w:delText>
        </w:r>
        <w:r>
          <w:rPr>
            <w:snapToGrid w:val="0"/>
          </w:rPr>
          <w:tab/>
          <w:delText>The revocation under section 46(3) of the principal Act of a declaration in respect of a location shall be deemed not to have affected the validity of a licence granted under the principal Act in respect of any block forming part of that location.</w:delText>
        </w:r>
      </w:del>
    </w:p>
    <w:p>
      <w:pPr>
        <w:pStyle w:val="MiscClose"/>
        <w:rPr>
          <w:del w:id="1846" w:author="svcMRProcess" w:date="2020-02-19T21:14:00Z"/>
          <w:snapToGrid w:val="0"/>
          <w:sz w:val="20"/>
        </w:rPr>
      </w:pPr>
      <w:del w:id="1847" w:author="svcMRProcess" w:date="2020-02-19T21:14:00Z">
        <w:r>
          <w:rPr>
            <w:snapToGrid w:val="0"/>
            <w:sz w:val="20"/>
          </w:rPr>
          <w:delText>”.</w:delText>
        </w:r>
      </w:del>
    </w:p>
    <w:p>
      <w:pPr>
        <w:pStyle w:val="nSubsection"/>
        <w:rPr>
          <w:del w:id="1848" w:author="svcMRProcess" w:date="2020-02-19T21:14:00Z"/>
          <w:snapToGrid w:val="0"/>
        </w:rPr>
      </w:pPr>
      <w:del w:id="1849" w:author="svcMRProcess" w:date="2020-02-19T21:14:00Z">
        <w:r>
          <w:rPr>
            <w:snapToGrid w:val="0"/>
            <w:vertAlign w:val="superscript"/>
          </w:rPr>
          <w:delText>5</w:delText>
        </w:r>
        <w:r>
          <w:rPr>
            <w:snapToGrid w:val="0"/>
          </w:rPr>
          <w:tab/>
          <w:delText xml:space="preserve">Section 188(2) and (3) of the </w:delText>
        </w:r>
        <w:r>
          <w:rPr>
            <w:i/>
            <w:snapToGrid w:val="0"/>
          </w:rPr>
          <w:delText>Acts Amendment (Petroleum) Act 1990</w:delText>
        </w:r>
        <w:r>
          <w:rPr>
            <w:snapToGrid w:val="0"/>
          </w:rPr>
          <w:delText xml:space="preserve"> (No. 12 of 1990) reads — </w:delText>
        </w:r>
      </w:del>
    </w:p>
    <w:p>
      <w:pPr>
        <w:pStyle w:val="MiscOpen"/>
        <w:rPr>
          <w:del w:id="1850" w:author="svcMRProcess" w:date="2020-02-19T21:14:00Z"/>
          <w:snapToGrid w:val="0"/>
          <w:sz w:val="20"/>
        </w:rPr>
      </w:pPr>
      <w:del w:id="1851" w:author="svcMRProcess" w:date="2020-02-19T21:14:00Z">
        <w:r>
          <w:rPr>
            <w:snapToGrid w:val="0"/>
            <w:sz w:val="20"/>
          </w:rPr>
          <w:delText>“</w:delText>
        </w:r>
      </w:del>
    </w:p>
    <w:p>
      <w:pPr>
        <w:pStyle w:val="nzSubsection"/>
        <w:spacing w:before="0"/>
        <w:rPr>
          <w:del w:id="1852" w:author="svcMRProcess" w:date="2020-02-19T21:14:00Z"/>
          <w:snapToGrid w:val="0"/>
        </w:rPr>
      </w:pPr>
      <w:del w:id="1853" w:author="svcMRProcess" w:date="2020-02-19T21:14:00Z">
        <w:r>
          <w:rPr>
            <w:snapToGrid w:val="0"/>
          </w:rPr>
          <w:tab/>
          <w:delText>(2)</w:delText>
        </w:r>
        <w:r>
          <w:rPr>
            <w:snapToGrid w:val="0"/>
          </w:rPr>
          <w:tab/>
          <w:delText xml:space="preserve">Notwithstanding anything in section 37 of the </w:delText>
        </w:r>
        <w:r>
          <w:rPr>
            <w:i/>
            <w:snapToGrid w:val="0"/>
          </w:rPr>
          <w:delText>Interpretation Act 1984</w:delText>
        </w:r>
        <w:r>
          <w:rPr>
            <w:snapToGrid w:val="0"/>
          </w:rPr>
          <w:delText>, if, in respect of a year of the term of his licence that has elapsed prior to the commencement of this section, a licensee has not complied with section 57(1) or (2) of the principal Act, the licensee is not required after that commencement to comply with that section in respect of that year and section 57(3) of the principal Act does not apply to or in relation to such a non</w:delText>
        </w:r>
        <w:r>
          <w:rPr>
            <w:snapToGrid w:val="0"/>
          </w:rPr>
          <w:noBreakHyphen/>
          <w:delText>compliance.</w:delText>
        </w:r>
      </w:del>
    </w:p>
    <w:p>
      <w:pPr>
        <w:pStyle w:val="nzSubsection"/>
        <w:rPr>
          <w:del w:id="1854" w:author="svcMRProcess" w:date="2020-02-19T21:14:00Z"/>
          <w:snapToGrid w:val="0"/>
        </w:rPr>
      </w:pPr>
      <w:del w:id="1855" w:author="svcMRProcess" w:date="2020-02-19T21:14:00Z">
        <w:r>
          <w:rPr>
            <w:snapToGrid w:val="0"/>
          </w:rPr>
          <w:tab/>
          <w:delText>(3)</w:delText>
        </w:r>
        <w:r>
          <w:rPr>
            <w:snapToGrid w:val="0"/>
          </w:rPr>
          <w:tab/>
          <w:delText>in subsection (2) — </w:delText>
        </w:r>
      </w:del>
    </w:p>
    <w:p>
      <w:pPr>
        <w:pStyle w:val="nzDefstart"/>
        <w:rPr>
          <w:del w:id="1856" w:author="svcMRProcess" w:date="2020-02-19T21:14:00Z"/>
        </w:rPr>
      </w:pPr>
      <w:del w:id="1857" w:author="svcMRProcess" w:date="2020-02-19T21:14:00Z">
        <w:r>
          <w:rPr>
            <w:b/>
          </w:rPr>
          <w:tab/>
          <w:delText>“licence”</w:delText>
        </w:r>
        <w:r>
          <w:delText xml:space="preserve"> and </w:delText>
        </w:r>
        <w:r>
          <w:rPr>
            <w:b/>
          </w:rPr>
          <w:delText>“licensee”</w:delText>
        </w:r>
        <w:r>
          <w:delText xml:space="preserve"> have the respective meanings given by the principal Act.</w:delText>
        </w:r>
      </w:del>
    </w:p>
    <w:p>
      <w:pPr>
        <w:pStyle w:val="MiscClose"/>
        <w:rPr>
          <w:del w:id="1858" w:author="svcMRProcess" w:date="2020-02-19T21:14:00Z"/>
          <w:sz w:val="20"/>
        </w:rPr>
      </w:pPr>
      <w:del w:id="1859" w:author="svcMRProcess" w:date="2020-02-19T21:14:00Z">
        <w:r>
          <w:rPr>
            <w:sz w:val="20"/>
          </w:rPr>
          <w:delText>”.</w:delText>
        </w:r>
      </w:del>
    </w:p>
    <w:p>
      <w:pPr>
        <w:pStyle w:val="nSubsection"/>
        <w:rPr>
          <w:del w:id="1860" w:author="svcMRProcess" w:date="2020-02-19T21:14:00Z"/>
          <w:snapToGrid w:val="0"/>
        </w:rPr>
      </w:pPr>
      <w:del w:id="1861" w:author="svcMRProcess" w:date="2020-02-19T21:14:00Z">
        <w:r>
          <w:rPr>
            <w:snapToGrid w:val="0"/>
            <w:vertAlign w:val="superscript"/>
          </w:rPr>
          <w:delText>6</w:delText>
        </w:r>
        <w:r>
          <w:rPr>
            <w:snapToGrid w:val="0"/>
          </w:rPr>
          <w:tab/>
          <w:delText xml:space="preserve">See the </w:delText>
        </w:r>
        <w:r>
          <w:rPr>
            <w:i/>
            <w:snapToGrid w:val="0"/>
          </w:rPr>
          <w:delText>Gas Pipelines Access (Western Australia) Act 1998</w:delText>
        </w:r>
        <w:r>
          <w:rPr>
            <w:snapToGrid w:val="0"/>
          </w:rPr>
          <w:delText xml:space="preserve"> (No. 65 of 1998), section 9.</w:delText>
        </w:r>
      </w:del>
    </w:p>
    <w:p>
      <w:pPr>
        <w:pStyle w:val="nSubsection"/>
        <w:rPr>
          <w:del w:id="1862" w:author="svcMRProcess" w:date="2020-02-19T21:14:00Z"/>
          <w:snapToGrid w:val="0"/>
        </w:rPr>
      </w:pPr>
      <w:del w:id="1863" w:author="svcMRProcess" w:date="2020-02-19T21:14:00Z">
        <w:r>
          <w:rPr>
            <w:snapToGrid w:val="0"/>
            <w:vertAlign w:val="superscript"/>
          </w:rPr>
          <w:delText>7</w:delText>
        </w:r>
        <w:r>
          <w:rPr>
            <w:snapToGrid w:val="0"/>
          </w:rPr>
          <w:tab/>
          <w:delText xml:space="preserve">Section 201(2), (3) and (4) of the </w:delText>
        </w:r>
        <w:r>
          <w:rPr>
            <w:i/>
            <w:snapToGrid w:val="0"/>
          </w:rPr>
          <w:delText>Acts Amendment (Petroleum) Act 1990</w:delText>
        </w:r>
        <w:r>
          <w:rPr>
            <w:snapToGrid w:val="0"/>
          </w:rPr>
          <w:delText xml:space="preserve"> (No. 12 of 1990) reads — </w:delText>
        </w:r>
      </w:del>
    </w:p>
    <w:p>
      <w:pPr>
        <w:pStyle w:val="MiscOpen"/>
        <w:rPr>
          <w:del w:id="1864" w:author="svcMRProcess" w:date="2020-02-19T21:14:00Z"/>
          <w:snapToGrid w:val="0"/>
          <w:sz w:val="20"/>
        </w:rPr>
      </w:pPr>
      <w:del w:id="1865" w:author="svcMRProcess" w:date="2020-02-19T21:14:00Z">
        <w:r>
          <w:rPr>
            <w:snapToGrid w:val="0"/>
            <w:sz w:val="20"/>
          </w:rPr>
          <w:delText>“</w:delText>
        </w:r>
      </w:del>
    </w:p>
    <w:p>
      <w:pPr>
        <w:pStyle w:val="nzSubsection"/>
        <w:spacing w:before="0"/>
        <w:rPr>
          <w:del w:id="1866" w:author="svcMRProcess" w:date="2020-02-19T21:14:00Z"/>
          <w:snapToGrid w:val="0"/>
        </w:rPr>
      </w:pPr>
      <w:del w:id="1867" w:author="svcMRProcess" w:date="2020-02-19T21:14:00Z">
        <w:r>
          <w:rPr>
            <w:snapToGrid w:val="0"/>
          </w:rPr>
          <w:tab/>
          <w:delText>(2)</w:delText>
        </w:r>
        <w:r>
          <w:rPr>
            <w:snapToGrid w:val="0"/>
          </w:rPr>
          <w:tab/>
          <w:delText>Section 78 of the principal Act as amended by this Act applies in relation to applications for approval of transfers of permits, licences, pipeline licences or access authorities lodged after the commencement of this section.</w:delText>
        </w:r>
      </w:del>
    </w:p>
    <w:p>
      <w:pPr>
        <w:pStyle w:val="nzSubsection"/>
        <w:rPr>
          <w:del w:id="1868" w:author="svcMRProcess" w:date="2020-02-19T21:14:00Z"/>
          <w:snapToGrid w:val="0"/>
        </w:rPr>
      </w:pPr>
      <w:del w:id="1869" w:author="svcMRProcess" w:date="2020-02-19T21:14:00Z">
        <w:r>
          <w:rPr>
            <w:snapToGrid w:val="0"/>
          </w:rPr>
          <w:tab/>
          <w:delText>(3)</w:delText>
        </w:r>
        <w:r>
          <w:rPr>
            <w:snapToGrid w:val="0"/>
          </w:rPr>
          <w:tab/>
          <w:delText>Notwithstanding the repeal of section 78 of the principal Act effected by subsection (1), that section continues to apply in relation to applications for approval of transfers of permits, licences, pipeline licences or access authorities lodged before the commencement of this section.</w:delText>
        </w:r>
      </w:del>
    </w:p>
    <w:p>
      <w:pPr>
        <w:pStyle w:val="nzSubsection"/>
        <w:rPr>
          <w:del w:id="1870" w:author="svcMRProcess" w:date="2020-02-19T21:14:00Z"/>
          <w:snapToGrid w:val="0"/>
        </w:rPr>
      </w:pPr>
      <w:del w:id="1871" w:author="svcMRProcess" w:date="2020-02-19T21:14:00Z">
        <w:r>
          <w:rPr>
            <w:snapToGrid w:val="0"/>
          </w:rPr>
          <w:tab/>
          <w:delText>(4)</w:delText>
        </w:r>
        <w:r>
          <w:rPr>
            <w:snapToGrid w:val="0"/>
          </w:rPr>
          <w:tab/>
          <w:delText>A transfer approved and registered under section 78 of the principal Act shall be deemed to have been approved and registered under section 78 of the principal Act as amended by this Act.</w:delText>
        </w:r>
      </w:del>
    </w:p>
    <w:p>
      <w:pPr>
        <w:pStyle w:val="MiscClose"/>
        <w:rPr>
          <w:del w:id="1872" w:author="svcMRProcess" w:date="2020-02-19T21:14:00Z"/>
          <w:snapToGrid w:val="0"/>
          <w:sz w:val="20"/>
        </w:rPr>
      </w:pPr>
      <w:del w:id="1873" w:author="svcMRProcess" w:date="2020-02-19T21:14:00Z">
        <w:r>
          <w:rPr>
            <w:snapToGrid w:val="0"/>
            <w:sz w:val="20"/>
          </w:rPr>
          <w:delText>”.</w:delText>
        </w:r>
      </w:del>
    </w:p>
    <w:p>
      <w:pPr>
        <w:pStyle w:val="nSubsection"/>
        <w:spacing w:before="240"/>
        <w:rPr>
          <w:del w:id="1874" w:author="svcMRProcess" w:date="2020-02-19T21:14:00Z"/>
        </w:rPr>
      </w:pPr>
      <w:del w:id="1875" w:author="svcMRProcess" w:date="2020-02-19T21:14:00Z">
        <w:r>
          <w:rPr>
            <w:snapToGrid w:val="0"/>
            <w:vertAlign w:val="superscript"/>
          </w:rPr>
          <w:delText>8</w:delText>
        </w:r>
        <w:r>
          <w:rPr>
            <w:snapToGrid w:val="0"/>
          </w:rPr>
          <w:tab/>
        </w:r>
        <w:r>
          <w:delText xml:space="preserve">As at the date of this compilation, item 4 of Schedule 2 of the </w:delText>
        </w:r>
        <w:r>
          <w:rPr>
            <w:i/>
          </w:rPr>
          <w:delText xml:space="preserve">Petroleum Safety Act 1999 </w:delText>
        </w:r>
        <w:r>
          <w:delText>(No. 19 of 1999) was not operative. It reads</w:delText>
        </w:r>
        <w:r>
          <w:rPr>
            <w:snapToGrid w:val="0"/>
          </w:rPr>
          <w:delText xml:space="preserve"> as follows:</w:delText>
        </w:r>
      </w:del>
    </w:p>
    <w:p>
      <w:pPr>
        <w:pStyle w:val="MiscOpen"/>
        <w:rPr>
          <w:del w:id="1876" w:author="svcMRProcess" w:date="2020-02-19T21:14:00Z"/>
        </w:rPr>
      </w:pPr>
      <w:del w:id="1877" w:author="svcMRProcess" w:date="2020-02-19T21:14:00Z">
        <w:r>
          <w:delText>“</w:delText>
        </w:r>
      </w:del>
    </w:p>
    <w:tbl>
      <w:tblPr>
        <w:tblW w:w="0" w:type="auto"/>
        <w:tblInd w:w="1101" w:type="dxa"/>
        <w:tblLayout w:type="fixed"/>
        <w:tblLook w:val="0000" w:firstRow="0" w:lastRow="0" w:firstColumn="0" w:lastColumn="0" w:noHBand="0" w:noVBand="0"/>
      </w:tblPr>
      <w:tblGrid>
        <w:gridCol w:w="1984"/>
        <w:gridCol w:w="3686"/>
      </w:tblGrid>
      <w:tr>
        <w:trPr>
          <w:del w:id="1878" w:author="svcMRProcess" w:date="2020-02-19T21:14:00Z"/>
        </w:trPr>
        <w:tc>
          <w:tcPr>
            <w:tcW w:w="1984" w:type="dxa"/>
          </w:tcPr>
          <w:p>
            <w:pPr>
              <w:pStyle w:val="MiscellaneousBody"/>
              <w:spacing w:before="60"/>
              <w:rPr>
                <w:del w:id="1879" w:author="svcMRProcess" w:date="2020-02-19T21:14:00Z"/>
                <w:i/>
                <w:sz w:val="20"/>
              </w:rPr>
            </w:pPr>
            <w:del w:id="1880" w:author="svcMRProcess" w:date="2020-02-19T21:14:00Z">
              <w:r>
                <w:rPr>
                  <w:i/>
                  <w:sz w:val="20"/>
                </w:rPr>
                <w:delText>Petroleum (Submerged Lands) Act 1982</w:delText>
              </w:r>
            </w:del>
          </w:p>
        </w:tc>
        <w:tc>
          <w:tcPr>
            <w:tcW w:w="3686" w:type="dxa"/>
          </w:tcPr>
          <w:p>
            <w:pPr>
              <w:pStyle w:val="MiscellaneousBody"/>
              <w:spacing w:before="60"/>
              <w:rPr>
                <w:del w:id="1881" w:author="svcMRProcess" w:date="2020-02-19T21:14:00Z"/>
                <w:sz w:val="20"/>
              </w:rPr>
            </w:pPr>
            <w:del w:id="1882" w:author="svcMRProcess" w:date="2020-02-19T21:14:00Z">
              <w:r>
                <w:rPr>
                  <w:sz w:val="20"/>
                </w:rPr>
                <w:delText>Section 97(1) is amended by deleting “and shall secure the safety, health and welfare of persons engaged in those operations in or about the permit area, lease area or licence area”.</w:delText>
              </w:r>
            </w:del>
          </w:p>
        </w:tc>
      </w:tr>
    </w:tbl>
    <w:p>
      <w:pPr>
        <w:pStyle w:val="MiscClose"/>
        <w:rPr>
          <w:del w:id="1883" w:author="svcMRProcess" w:date="2020-02-19T21:14:00Z"/>
          <w:snapToGrid w:val="0"/>
        </w:rPr>
      </w:pPr>
      <w:del w:id="1884" w:author="svcMRProcess" w:date="2020-02-19T21:14:00Z">
        <w:r>
          <w:delText>”.</w:delText>
        </w:r>
      </w:del>
    </w:p>
    <w:p>
      <w:pPr>
        <w:pStyle w:val="nSubsection"/>
        <w:keepNext/>
        <w:rPr>
          <w:del w:id="1885" w:author="svcMRProcess" w:date="2020-02-19T21:14:00Z"/>
          <w:snapToGrid w:val="0"/>
        </w:rPr>
      </w:pPr>
      <w:del w:id="1886" w:author="svcMRProcess" w:date="2020-02-19T21:14:00Z">
        <w:r>
          <w:rPr>
            <w:snapToGrid w:val="0"/>
            <w:vertAlign w:val="superscript"/>
          </w:rPr>
          <w:delText>9</w:delText>
        </w:r>
        <w:r>
          <w:rPr>
            <w:snapToGrid w:val="0"/>
          </w:rPr>
          <w:tab/>
          <w:delText xml:space="preserve">Section 203(2), (3), (4), (5), (6) and (7) of the </w:delText>
        </w:r>
        <w:r>
          <w:rPr>
            <w:i/>
            <w:snapToGrid w:val="0"/>
          </w:rPr>
          <w:delText>Acts Amendment (Petroleum) Act 1990</w:delText>
        </w:r>
        <w:r>
          <w:rPr>
            <w:snapToGrid w:val="0"/>
          </w:rPr>
          <w:delText xml:space="preserve"> (No. 12 of 1990) reads —</w:delText>
        </w:r>
      </w:del>
    </w:p>
    <w:p>
      <w:pPr>
        <w:pStyle w:val="MiscOpen"/>
        <w:rPr>
          <w:del w:id="1887" w:author="svcMRProcess" w:date="2020-02-19T21:14:00Z"/>
          <w:snapToGrid w:val="0"/>
          <w:sz w:val="20"/>
        </w:rPr>
      </w:pPr>
      <w:del w:id="1888" w:author="svcMRProcess" w:date="2020-02-19T21:14:00Z">
        <w:r>
          <w:rPr>
            <w:snapToGrid w:val="0"/>
            <w:sz w:val="20"/>
          </w:rPr>
          <w:delText>“</w:delText>
        </w:r>
      </w:del>
    </w:p>
    <w:p>
      <w:pPr>
        <w:pStyle w:val="nzSubsection"/>
        <w:spacing w:before="0"/>
        <w:rPr>
          <w:del w:id="1889" w:author="svcMRProcess" w:date="2020-02-19T21:14:00Z"/>
          <w:snapToGrid w:val="0"/>
        </w:rPr>
      </w:pPr>
      <w:del w:id="1890" w:author="svcMRProcess" w:date="2020-02-19T21:14:00Z">
        <w:r>
          <w:rPr>
            <w:snapToGrid w:val="0"/>
          </w:rPr>
          <w:tab/>
          <w:delText>(2)</w:delText>
        </w:r>
        <w:r>
          <w:rPr>
            <w:snapToGrid w:val="0"/>
          </w:rPr>
          <w:tab/>
          <w:delText>Subject to this section, sections 81 and 81A of the principal Act as amended by this Act apply in relation to dealings evidenced by instruments executed after the commencement of this section.</w:delText>
        </w:r>
      </w:del>
    </w:p>
    <w:p>
      <w:pPr>
        <w:pStyle w:val="nzSubsection"/>
        <w:rPr>
          <w:del w:id="1891" w:author="svcMRProcess" w:date="2020-02-19T21:14:00Z"/>
          <w:snapToGrid w:val="0"/>
        </w:rPr>
      </w:pPr>
      <w:del w:id="1892" w:author="svcMRProcess" w:date="2020-02-19T21:14:00Z">
        <w:r>
          <w:rPr>
            <w:snapToGrid w:val="0"/>
          </w:rPr>
          <w:tab/>
          <w:delText>(3)</w:delText>
        </w:r>
        <w:r>
          <w:rPr>
            <w:snapToGrid w:val="0"/>
          </w:rPr>
          <w:tab/>
          <w:delText>A party to an instrument to which section 81 of the principal Act applied, being an instrument that had not been approved under that section of that Act, may, if the instrument evidences a dealing — </w:delText>
        </w:r>
      </w:del>
    </w:p>
    <w:p>
      <w:pPr>
        <w:pStyle w:val="nzIndenta"/>
        <w:rPr>
          <w:del w:id="1893" w:author="svcMRProcess" w:date="2020-02-19T21:14:00Z"/>
          <w:snapToGrid w:val="0"/>
        </w:rPr>
      </w:pPr>
      <w:del w:id="1894" w:author="svcMRProcess" w:date="2020-02-19T21:14:00Z">
        <w:r>
          <w:rPr>
            <w:snapToGrid w:val="0"/>
          </w:rPr>
          <w:tab/>
          <w:delText>(a)</w:delText>
        </w:r>
        <w:r>
          <w:rPr>
            <w:snapToGrid w:val="0"/>
          </w:rPr>
          <w:tab/>
          <w:delText>to which section 81 of the principal Act as amended by this Act would, if the instrument had been executed after the commencement of this section, apply; and</w:delText>
        </w:r>
      </w:del>
    </w:p>
    <w:p>
      <w:pPr>
        <w:pStyle w:val="nzIndenta"/>
        <w:rPr>
          <w:del w:id="1895" w:author="svcMRProcess" w:date="2020-02-19T21:14:00Z"/>
          <w:snapToGrid w:val="0"/>
        </w:rPr>
      </w:pPr>
      <w:del w:id="1896" w:author="svcMRProcess" w:date="2020-02-19T21:14:00Z">
        <w:r>
          <w:rPr>
            <w:snapToGrid w:val="0"/>
          </w:rPr>
          <w:tab/>
          <w:delText>(b)</w:delText>
        </w:r>
        <w:r>
          <w:rPr>
            <w:snapToGrid w:val="0"/>
          </w:rPr>
          <w:tab/>
          <w:delText>that relates to a permit, licence, pipeline licence or access authority that was in existence at the time of execution of the instrument,</w:delText>
        </w:r>
      </w:del>
    </w:p>
    <w:p>
      <w:pPr>
        <w:pStyle w:val="nzSubsection"/>
        <w:rPr>
          <w:del w:id="1897" w:author="svcMRProcess" w:date="2020-02-19T21:14:00Z"/>
          <w:snapToGrid w:val="0"/>
        </w:rPr>
      </w:pPr>
      <w:del w:id="1898" w:author="svcMRProcess" w:date="2020-02-19T21:14:00Z">
        <w:r>
          <w:rPr>
            <w:snapToGrid w:val="0"/>
          </w:rPr>
          <w:tab/>
        </w:r>
        <w:r>
          <w:rPr>
            <w:snapToGrid w:val="0"/>
          </w:rPr>
          <w:tab/>
          <w:delText>make an application in writing, within 12 months after the commencement of this section, to the Minister for approval of the dealing.</w:delText>
        </w:r>
      </w:del>
    </w:p>
    <w:p>
      <w:pPr>
        <w:pStyle w:val="nzSubsection"/>
        <w:rPr>
          <w:del w:id="1899" w:author="svcMRProcess" w:date="2020-02-19T21:14:00Z"/>
          <w:snapToGrid w:val="0"/>
        </w:rPr>
      </w:pPr>
      <w:del w:id="1900" w:author="svcMRProcess" w:date="2020-02-19T21:14:00Z">
        <w:r>
          <w:rPr>
            <w:snapToGrid w:val="0"/>
          </w:rPr>
          <w:tab/>
          <w:delText>(4)</w:delText>
        </w:r>
        <w:r>
          <w:rPr>
            <w:snapToGrid w:val="0"/>
          </w:rPr>
          <w:tab/>
          <w:delText>Where — </w:delText>
        </w:r>
      </w:del>
    </w:p>
    <w:p>
      <w:pPr>
        <w:pStyle w:val="nzIndenta"/>
        <w:rPr>
          <w:del w:id="1901" w:author="svcMRProcess" w:date="2020-02-19T21:14:00Z"/>
          <w:snapToGrid w:val="0"/>
        </w:rPr>
      </w:pPr>
      <w:del w:id="1902" w:author="svcMRProcess" w:date="2020-02-19T21:14:00Z">
        <w:r>
          <w:rPr>
            <w:snapToGrid w:val="0"/>
          </w:rPr>
          <w:tab/>
          <w:delText>(a)</w:delText>
        </w:r>
        <w:r>
          <w:rPr>
            <w:snapToGrid w:val="0"/>
          </w:rPr>
          <w:tab/>
          <w:delText>before the commencement of this section, 2 or more persons entered into a dealing relating to a permit, licence, pipeline licence or access authority that was not in existence at the time of execution of the instrument evidencing the dealing;</w:delText>
        </w:r>
      </w:del>
    </w:p>
    <w:p>
      <w:pPr>
        <w:pStyle w:val="nzIndenta"/>
        <w:rPr>
          <w:del w:id="1903" w:author="svcMRProcess" w:date="2020-02-19T21:14:00Z"/>
          <w:snapToGrid w:val="0"/>
        </w:rPr>
      </w:pPr>
      <w:del w:id="1904" w:author="svcMRProcess" w:date="2020-02-19T21:14:00Z">
        <w:r>
          <w:rPr>
            <w:snapToGrid w:val="0"/>
          </w:rPr>
          <w:tab/>
          <w:delText>(b)</w:delText>
        </w:r>
        <w:r>
          <w:rPr>
            <w:snapToGrid w:val="0"/>
          </w:rPr>
          <w:tab/>
          <w:delText>that dealing would, if the instrument evidencing the dealing had been executed after the commencement of this section, be a dealing referred to in section 81A(1) of the principal Act as amended by this Act; and</w:delText>
        </w:r>
      </w:del>
    </w:p>
    <w:p>
      <w:pPr>
        <w:pStyle w:val="nzIndenta"/>
        <w:rPr>
          <w:del w:id="1905" w:author="svcMRProcess" w:date="2020-02-19T21:14:00Z"/>
          <w:snapToGrid w:val="0"/>
        </w:rPr>
      </w:pPr>
      <w:del w:id="1906" w:author="svcMRProcess" w:date="2020-02-19T21:14:00Z">
        <w:r>
          <w:rPr>
            <w:snapToGrid w:val="0"/>
          </w:rPr>
          <w:tab/>
          <w:delText>(c)</w:delText>
        </w:r>
        <w:r>
          <w:rPr>
            <w:snapToGrid w:val="0"/>
          </w:rPr>
          <w:tab/>
          <w:delText>that permit, licence, pipeline licence or access authority has come, or comes, into existence,</w:delText>
        </w:r>
      </w:del>
    </w:p>
    <w:p>
      <w:pPr>
        <w:pStyle w:val="nzSubsection"/>
        <w:rPr>
          <w:del w:id="1907" w:author="svcMRProcess" w:date="2020-02-19T21:14:00Z"/>
          <w:snapToGrid w:val="0"/>
        </w:rPr>
      </w:pPr>
      <w:del w:id="1908" w:author="svcMRProcess" w:date="2020-02-19T21:14:00Z">
        <w:r>
          <w:rPr>
            <w:snapToGrid w:val="0"/>
          </w:rPr>
          <w:tab/>
        </w:r>
        <w:r>
          <w:rPr>
            <w:snapToGrid w:val="0"/>
          </w:rPr>
          <w:tab/>
          <w:delText>a party to the dealing may make an application in writing within — </w:delText>
        </w:r>
      </w:del>
    </w:p>
    <w:p>
      <w:pPr>
        <w:pStyle w:val="nzIndenta"/>
        <w:rPr>
          <w:del w:id="1909" w:author="svcMRProcess" w:date="2020-02-19T21:14:00Z"/>
          <w:snapToGrid w:val="0"/>
        </w:rPr>
      </w:pPr>
      <w:del w:id="1910" w:author="svcMRProcess" w:date="2020-02-19T21:14:00Z">
        <w:r>
          <w:rPr>
            <w:snapToGrid w:val="0"/>
          </w:rPr>
          <w:tab/>
          <w:delText>(d)</w:delText>
        </w:r>
        <w:r>
          <w:rPr>
            <w:snapToGrid w:val="0"/>
          </w:rPr>
          <w:tab/>
          <w:delText>in a case where that permit, licence, pipeline licence or access authority came into existence before the commencement of this section, 12 months after that commencement; or</w:delText>
        </w:r>
      </w:del>
    </w:p>
    <w:p>
      <w:pPr>
        <w:pStyle w:val="nzIndenta"/>
        <w:rPr>
          <w:del w:id="1911" w:author="svcMRProcess" w:date="2020-02-19T21:14:00Z"/>
          <w:snapToGrid w:val="0"/>
        </w:rPr>
      </w:pPr>
      <w:del w:id="1912" w:author="svcMRProcess" w:date="2020-02-19T21:14:00Z">
        <w:r>
          <w:rPr>
            <w:snapToGrid w:val="0"/>
          </w:rPr>
          <w:tab/>
          <w:delText>(e)</w:delText>
        </w:r>
        <w:r>
          <w:rPr>
            <w:snapToGrid w:val="0"/>
          </w:rPr>
          <w:tab/>
          <w:delText>in any other case, 3 months after that permit, licence, pipeline licence or access authority comes into existence,</w:delText>
        </w:r>
      </w:del>
    </w:p>
    <w:p>
      <w:pPr>
        <w:pStyle w:val="nzSubsection"/>
        <w:rPr>
          <w:del w:id="1913" w:author="svcMRProcess" w:date="2020-02-19T21:14:00Z"/>
          <w:snapToGrid w:val="0"/>
        </w:rPr>
      </w:pPr>
      <w:del w:id="1914" w:author="svcMRProcess" w:date="2020-02-19T21:14:00Z">
        <w:r>
          <w:rPr>
            <w:snapToGrid w:val="0"/>
          </w:rPr>
          <w:tab/>
        </w:r>
        <w:r>
          <w:rPr>
            <w:snapToGrid w:val="0"/>
          </w:rPr>
          <w:tab/>
          <w:delText>to the Minister for approval of the dealing.</w:delText>
        </w:r>
      </w:del>
    </w:p>
    <w:p>
      <w:pPr>
        <w:pStyle w:val="nzSubsection"/>
        <w:rPr>
          <w:del w:id="1915" w:author="svcMRProcess" w:date="2020-02-19T21:14:00Z"/>
          <w:snapToGrid w:val="0"/>
        </w:rPr>
      </w:pPr>
      <w:del w:id="1916" w:author="svcMRProcess" w:date="2020-02-19T21:14:00Z">
        <w:r>
          <w:rPr>
            <w:snapToGrid w:val="0"/>
          </w:rPr>
          <w:tab/>
          <w:delText>(5)</w:delText>
        </w:r>
        <w:r>
          <w:rPr>
            <w:snapToGrid w:val="0"/>
          </w:rPr>
          <w:tab/>
          <w:delText>Section 81 of the principal Act as amended by this Act (other than subsections (5) and (6) of that section) applies to a dealing in respect of which an application is made under subsection (3) or (4) of this section.</w:delText>
        </w:r>
      </w:del>
    </w:p>
    <w:p>
      <w:pPr>
        <w:pStyle w:val="nzSubsection"/>
        <w:rPr>
          <w:del w:id="1917" w:author="svcMRProcess" w:date="2020-02-19T21:14:00Z"/>
          <w:snapToGrid w:val="0"/>
        </w:rPr>
      </w:pPr>
      <w:del w:id="1918" w:author="svcMRProcess" w:date="2020-02-19T21:14:00Z">
        <w:r>
          <w:rPr>
            <w:snapToGrid w:val="0"/>
          </w:rPr>
          <w:tab/>
          <w:delText>(6)</w:delText>
        </w:r>
        <w:r>
          <w:rPr>
            <w:snapToGrid w:val="0"/>
          </w:rPr>
          <w:tab/>
          <w:delText>If, when the first regulations made for the purposes of section 81(4)(b) of the principal Act as amended by this Act take effect, an application for approval of a dealing has been made but the Minister has neither approved nor refused to approve the dealing — </w:delText>
        </w:r>
      </w:del>
    </w:p>
    <w:p>
      <w:pPr>
        <w:pStyle w:val="nzIndenta"/>
        <w:rPr>
          <w:del w:id="1919" w:author="svcMRProcess" w:date="2020-02-19T21:14:00Z"/>
          <w:snapToGrid w:val="0"/>
        </w:rPr>
      </w:pPr>
      <w:del w:id="1920" w:author="svcMRProcess" w:date="2020-02-19T21:14:00Z">
        <w:r>
          <w:rPr>
            <w:snapToGrid w:val="0"/>
          </w:rPr>
          <w:tab/>
          <w:delText>(a)</w:delText>
        </w:r>
        <w:r>
          <w:rPr>
            <w:snapToGrid w:val="0"/>
          </w:rPr>
          <w:tab/>
          <w:delText>the Minister shall give to the applicant written notice that the applicant is entitled to lodge an instrument for the purpose of section 81(4)(b) of the principal Act in relation to the application;</w:delText>
        </w:r>
      </w:del>
    </w:p>
    <w:p>
      <w:pPr>
        <w:pStyle w:val="nzIndenta"/>
        <w:rPr>
          <w:del w:id="1921" w:author="svcMRProcess" w:date="2020-02-19T21:14:00Z"/>
          <w:snapToGrid w:val="0"/>
        </w:rPr>
      </w:pPr>
      <w:del w:id="1922" w:author="svcMRProcess" w:date="2020-02-19T21:14:00Z">
        <w:r>
          <w:rPr>
            <w:snapToGrid w:val="0"/>
          </w:rPr>
          <w:tab/>
          <w:delText>(b)</w:delText>
        </w:r>
        <w:r>
          <w:rPr>
            <w:snapToGrid w:val="0"/>
          </w:rPr>
          <w:tab/>
          <w:delText>the applicant may lodge an instrument for the purpose of section 81(4)(b) of the principal Act;</w:delText>
        </w:r>
      </w:del>
    </w:p>
    <w:p>
      <w:pPr>
        <w:pStyle w:val="nzIndenta"/>
        <w:rPr>
          <w:del w:id="1923" w:author="svcMRProcess" w:date="2020-02-19T21:14:00Z"/>
          <w:snapToGrid w:val="0"/>
        </w:rPr>
      </w:pPr>
      <w:del w:id="1924" w:author="svcMRProcess" w:date="2020-02-19T21:14:00Z">
        <w:r>
          <w:rPr>
            <w:snapToGrid w:val="0"/>
          </w:rPr>
          <w:tab/>
          <w:delText>(c)</w:delText>
        </w:r>
        <w:r>
          <w:rPr>
            <w:snapToGrid w:val="0"/>
          </w:rPr>
          <w:tab/>
          <w:delText>the application shall not be dealt with by the Minister until after the end of 30 days after the day on which notice is given for the purpose of paragraph (a); and</w:delText>
        </w:r>
      </w:del>
    </w:p>
    <w:p>
      <w:pPr>
        <w:pStyle w:val="nzIndenta"/>
        <w:rPr>
          <w:del w:id="1925" w:author="svcMRProcess" w:date="2020-02-19T21:14:00Z"/>
          <w:snapToGrid w:val="0"/>
        </w:rPr>
      </w:pPr>
      <w:del w:id="1926" w:author="svcMRProcess" w:date="2020-02-19T21:14:00Z">
        <w:r>
          <w:rPr>
            <w:snapToGrid w:val="0"/>
          </w:rPr>
          <w:tab/>
          <w:delText>(d)</w:delText>
        </w:r>
        <w:r>
          <w:rPr>
            <w:snapToGrid w:val="0"/>
          </w:rPr>
          <w:tab/>
          <w:delText>where the applicant lodges an instrument under paragraph (b), the applicant shall lodge with the instrument 2 copies of the instrument.</w:delText>
        </w:r>
      </w:del>
    </w:p>
    <w:p>
      <w:pPr>
        <w:pStyle w:val="nzSubsection"/>
        <w:rPr>
          <w:del w:id="1927" w:author="svcMRProcess" w:date="2020-02-19T21:14:00Z"/>
          <w:snapToGrid w:val="0"/>
        </w:rPr>
      </w:pPr>
      <w:del w:id="1928" w:author="svcMRProcess" w:date="2020-02-19T21:14:00Z">
        <w:r>
          <w:rPr>
            <w:snapToGrid w:val="0"/>
          </w:rPr>
          <w:tab/>
          <w:delText>(7)</w:delText>
        </w:r>
        <w:r>
          <w:rPr>
            <w:snapToGrid w:val="0"/>
          </w:rPr>
          <w:tab/>
          <w:delText>An instrument lodged under subsection (6) shall be taken, for the purposes of section 81(13) of the principal Act as amended by this Act, to have accompanied the application when the application was lodged.</w:delText>
        </w:r>
      </w:del>
    </w:p>
    <w:p>
      <w:pPr>
        <w:pStyle w:val="MiscClose"/>
        <w:rPr>
          <w:del w:id="1929" w:author="svcMRProcess" w:date="2020-02-19T21:14:00Z"/>
          <w:snapToGrid w:val="0"/>
          <w:sz w:val="20"/>
        </w:rPr>
      </w:pPr>
      <w:del w:id="1930" w:author="svcMRProcess" w:date="2020-02-19T21:14:00Z">
        <w:r>
          <w:rPr>
            <w:snapToGrid w:val="0"/>
            <w:sz w:val="20"/>
          </w:rPr>
          <w:delText>”.</w:delText>
        </w:r>
      </w:del>
    </w:p>
    <w:p>
      <w:pPr>
        <w:pStyle w:val="nSubsection"/>
        <w:rPr>
          <w:del w:id="1931" w:author="svcMRProcess" w:date="2020-02-19T21:14:00Z"/>
          <w:snapToGrid w:val="0"/>
        </w:rPr>
      </w:pPr>
      <w:del w:id="1932" w:author="svcMRProcess" w:date="2020-02-19T21:14:00Z">
        <w:r>
          <w:rPr>
            <w:snapToGrid w:val="0"/>
            <w:vertAlign w:val="superscript"/>
          </w:rPr>
          <w:delText>10</w:delText>
        </w:r>
        <w:r>
          <w:rPr>
            <w:snapToGrid w:val="0"/>
          </w:rPr>
          <w:tab/>
          <w:delText xml:space="preserve">Repealed by the </w:delText>
        </w:r>
        <w:r>
          <w:rPr>
            <w:i/>
            <w:snapToGrid w:val="0"/>
          </w:rPr>
          <w:delText>Off-shore (Application of Laws) Act 1982</w:delText>
        </w:r>
        <w:r>
          <w:rPr>
            <w:snapToGrid w:val="0"/>
          </w:rPr>
          <w:delText xml:space="preserve"> (No. 21 of 1982), section 5.</w:delText>
        </w:r>
      </w:del>
    </w:p>
    <w:p>
      <w:pPr>
        <w:pStyle w:val="nSubsection"/>
        <w:rPr>
          <w:del w:id="1933" w:author="svcMRProcess" w:date="2020-02-19T21:14:00Z"/>
          <w:snapToGrid w:val="0"/>
        </w:rPr>
      </w:pPr>
      <w:del w:id="1934" w:author="svcMRProcess" w:date="2020-02-19T21:14:00Z">
        <w:r>
          <w:rPr>
            <w:snapToGrid w:val="0"/>
            <w:vertAlign w:val="superscript"/>
          </w:rPr>
          <w:delText>11</w:delText>
        </w:r>
        <w:r>
          <w:rPr>
            <w:snapToGrid w:val="0"/>
          </w:rPr>
          <w:tab/>
          <w:delText xml:space="preserve">Section 218(2) and (3) of the </w:delText>
        </w:r>
        <w:r>
          <w:rPr>
            <w:i/>
            <w:snapToGrid w:val="0"/>
          </w:rPr>
          <w:delText>Acts Amendment (Petroleum) Act 1990</w:delText>
        </w:r>
        <w:r>
          <w:rPr>
            <w:snapToGrid w:val="0"/>
          </w:rPr>
          <w:delText xml:space="preserve"> (No. 12 of 1990) reads — </w:delText>
        </w:r>
      </w:del>
    </w:p>
    <w:p>
      <w:pPr>
        <w:pStyle w:val="MiscOpen"/>
        <w:rPr>
          <w:del w:id="1935" w:author="svcMRProcess" w:date="2020-02-19T21:14:00Z"/>
          <w:snapToGrid w:val="0"/>
          <w:sz w:val="20"/>
        </w:rPr>
      </w:pPr>
      <w:del w:id="1936" w:author="svcMRProcess" w:date="2020-02-19T21:14:00Z">
        <w:r>
          <w:rPr>
            <w:snapToGrid w:val="0"/>
            <w:sz w:val="20"/>
          </w:rPr>
          <w:delText>“</w:delText>
        </w:r>
      </w:del>
    </w:p>
    <w:p>
      <w:pPr>
        <w:pStyle w:val="nzSubsection"/>
        <w:spacing w:before="0"/>
        <w:rPr>
          <w:del w:id="1937" w:author="svcMRProcess" w:date="2020-02-19T21:14:00Z"/>
          <w:snapToGrid w:val="0"/>
        </w:rPr>
      </w:pPr>
      <w:del w:id="1938" w:author="svcMRProcess" w:date="2020-02-19T21:14:00Z">
        <w:r>
          <w:rPr>
            <w:snapToGrid w:val="0"/>
          </w:rPr>
          <w:tab/>
          <w:delText>(2)</w:delText>
        </w:r>
        <w:r>
          <w:rPr>
            <w:snapToGrid w:val="0"/>
          </w:rPr>
          <w:tab/>
          <w:delText>A direction in force under section 101 of the principal Act immediately before the commencement of this section shall, after that commencement, continue to apply to the person or persons to whom it applied before that commencement as if it were a direction under section 101 of the principal Act as amended by this Act.</w:delText>
        </w:r>
      </w:del>
    </w:p>
    <w:p>
      <w:pPr>
        <w:pStyle w:val="nzSubsection"/>
        <w:rPr>
          <w:del w:id="1939" w:author="svcMRProcess" w:date="2020-02-19T21:14:00Z"/>
          <w:snapToGrid w:val="0"/>
        </w:rPr>
      </w:pPr>
      <w:del w:id="1940" w:author="svcMRProcess" w:date="2020-02-19T21:14:00Z">
        <w:r>
          <w:rPr>
            <w:snapToGrid w:val="0"/>
          </w:rPr>
          <w:tab/>
          <w:delText>(3)</w:delText>
        </w:r>
        <w:r>
          <w:rPr>
            <w:snapToGrid w:val="0"/>
          </w:rPr>
          <w:tab/>
          <w:delText>A registered holder is not required by subsection 101(2a)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delText>
        </w:r>
      </w:del>
    </w:p>
    <w:p>
      <w:pPr>
        <w:pStyle w:val="MiscClose"/>
        <w:rPr>
          <w:del w:id="1941" w:author="svcMRProcess" w:date="2020-02-19T21:14:00Z"/>
          <w:snapToGrid w:val="0"/>
          <w:sz w:val="20"/>
        </w:rPr>
      </w:pPr>
      <w:del w:id="1942" w:author="svcMRProcess" w:date="2020-02-19T21:14:00Z">
        <w:r>
          <w:rPr>
            <w:snapToGrid w:val="0"/>
            <w:sz w:val="20"/>
          </w:rPr>
          <w:delText>”.</w:delText>
        </w:r>
      </w:del>
    </w:p>
    <w:p>
      <w:pPr>
        <w:pStyle w:val="nSubsection"/>
        <w:rPr>
          <w:del w:id="1943" w:author="svcMRProcess" w:date="2020-02-19T21:14:00Z"/>
          <w:snapToGrid w:val="0"/>
        </w:rPr>
      </w:pPr>
      <w:del w:id="1944" w:author="svcMRProcess" w:date="2020-02-19T21:14:00Z">
        <w:r>
          <w:rPr>
            <w:snapToGrid w:val="0"/>
            <w:vertAlign w:val="superscript"/>
          </w:rPr>
          <w:delText>12</w:delText>
        </w:r>
        <w:r>
          <w:rPr>
            <w:snapToGrid w:val="0"/>
          </w:rPr>
          <w:tab/>
          <w:delText xml:space="preserve">Repealed by the </w:delText>
        </w:r>
        <w:r>
          <w:rPr>
            <w:i/>
            <w:snapToGrid w:val="0"/>
          </w:rPr>
          <w:delText>Petroleum Act 1967</w:delText>
        </w:r>
        <w:r>
          <w:rPr>
            <w:snapToGrid w:val="0"/>
          </w:rPr>
          <w:delText xml:space="preserve"> (No. 72 of 1967), section 3.</w:delText>
        </w:r>
      </w:del>
    </w:p>
    <w:p>
      <w:pPr>
        <w:pStyle w:val="nSubsection"/>
        <w:rPr>
          <w:del w:id="1945" w:author="svcMRProcess" w:date="2020-02-19T21:14:00Z"/>
          <w:snapToGrid w:val="0"/>
        </w:rPr>
      </w:pPr>
      <w:del w:id="1946" w:author="svcMRProcess" w:date="2020-02-19T21:14:00Z">
        <w:r>
          <w:rPr>
            <w:snapToGrid w:val="0"/>
            <w:vertAlign w:val="superscript"/>
          </w:rPr>
          <w:delText>13</w:delText>
        </w:r>
        <w:r>
          <w:rPr>
            <w:snapToGrid w:val="0"/>
          </w:rPr>
          <w:tab/>
          <w:delText xml:space="preserve">Clause 5(2) of Part 4 of Schedule 1 of the </w:delText>
        </w:r>
        <w:r>
          <w:rPr>
            <w:i/>
            <w:snapToGrid w:val="0"/>
          </w:rPr>
          <w:delText>Land (Titles and Traditional Usage) Act 1993</w:delText>
        </w:r>
        <w:r>
          <w:rPr>
            <w:snapToGrid w:val="0"/>
          </w:rPr>
          <w:delText xml:space="preserve"> </w:delText>
        </w:r>
        <w:r>
          <w:rPr>
            <w:i/>
            <w:snapToGrid w:val="0"/>
          </w:rPr>
          <w:delText>(</w:delText>
        </w:r>
        <w:r>
          <w:rPr>
            <w:snapToGrid w:val="0"/>
          </w:rPr>
          <w:delText>No. 21 of 1993) reads as follows — </w:delText>
        </w:r>
      </w:del>
    </w:p>
    <w:p>
      <w:pPr>
        <w:pStyle w:val="MiscOpen"/>
        <w:rPr>
          <w:del w:id="1947" w:author="svcMRProcess" w:date="2020-02-19T21:14:00Z"/>
          <w:snapToGrid w:val="0"/>
          <w:sz w:val="20"/>
        </w:rPr>
      </w:pPr>
      <w:del w:id="1948" w:author="svcMRProcess" w:date="2020-02-19T21:14:00Z">
        <w:r>
          <w:rPr>
            <w:snapToGrid w:val="0"/>
            <w:sz w:val="20"/>
          </w:rPr>
          <w:delText>“</w:delText>
        </w:r>
      </w:del>
    </w:p>
    <w:p>
      <w:pPr>
        <w:pStyle w:val="nzSubsection"/>
        <w:spacing w:before="0"/>
        <w:rPr>
          <w:del w:id="1949" w:author="svcMRProcess" w:date="2020-02-19T21:14:00Z"/>
          <w:snapToGrid w:val="0"/>
        </w:rPr>
      </w:pPr>
      <w:del w:id="1950" w:author="svcMRProcess" w:date="2020-02-19T21:14:00Z">
        <w:r>
          <w:rPr>
            <w:snapToGrid w:val="0"/>
          </w:rPr>
          <w:tab/>
          <w:delText>(2)</w:delText>
        </w:r>
        <w:r>
          <w:rPr>
            <w:snapToGrid w:val="0"/>
          </w:rPr>
          <w:tab/>
          <w:delText>Division 4A inserted by subsection (1) does not apply to an application for approval lodged before the commencement of this section.</w:delText>
        </w:r>
      </w:del>
    </w:p>
    <w:p>
      <w:pPr>
        <w:pStyle w:val="MiscClose"/>
        <w:rPr>
          <w:del w:id="1951" w:author="svcMRProcess" w:date="2020-02-19T21:14:00Z"/>
          <w:snapToGrid w:val="0"/>
          <w:sz w:val="20"/>
        </w:rPr>
      </w:pPr>
      <w:del w:id="1952" w:author="svcMRProcess" w:date="2020-02-19T21:14:00Z">
        <w:r>
          <w:rPr>
            <w:snapToGrid w:val="0"/>
            <w:sz w:val="20"/>
          </w:rPr>
          <w:delText>”.</w:delText>
        </w:r>
      </w:del>
    </w:p>
    <w:p>
      <w:pPr>
        <w:pStyle w:val="nSubsection"/>
        <w:rPr>
          <w:del w:id="1953" w:author="svcMRProcess" w:date="2020-02-19T21:14:00Z"/>
        </w:rPr>
      </w:pPr>
      <w:del w:id="1954" w:author="svcMRProcess" w:date="2020-02-19T21:14:00Z">
        <w:r>
          <w:rPr>
            <w:vertAlign w:val="superscript"/>
          </w:rPr>
          <w:delText>14</w:delText>
        </w:r>
        <w:r>
          <w:tab/>
          <w:delText xml:space="preserve">The </w:delText>
        </w:r>
        <w:r>
          <w:rPr>
            <w:i/>
          </w:rPr>
          <w:delText>State Administrative Tribunal (Conferral of Jurisdiction) Amendment and Repeal Act 2004</w:delText>
        </w:r>
        <w:r>
          <w:delText xml:space="preserve"> Pt. 5, the </w:delText>
        </w:r>
        <w:r>
          <w:rPr>
            <w:i/>
          </w:rPr>
          <w:delText>State Administration Tribunal Act 2004</w:delText>
        </w:r>
        <w:r>
          <w:delText xml:space="preserve"> s. 167 and 169, and the </w:delText>
        </w:r>
        <w:r>
          <w:rPr>
            <w:i/>
          </w:rPr>
          <w:delText>State Administrative Tribunal Regulations 2004</w:delText>
        </w:r>
        <w:r>
          <w:delText xml:space="preserve"> r. 28 and 42 deal with certain transitional issues some of which may be relevant for this Act.</w:delText>
        </w:r>
      </w:del>
    </w:p>
    <w:p>
      <w:pPr>
        <w:pStyle w:val="nSubsection"/>
        <w:rPr>
          <w:del w:id="1955" w:author="svcMRProcess" w:date="2020-02-19T21:14:00Z"/>
          <w:snapToGrid w:val="0"/>
        </w:rPr>
      </w:pPr>
      <w:del w:id="1956" w:author="svcMRProcess" w:date="2020-02-19T21:14:00Z">
        <w:r>
          <w:rPr>
            <w:snapToGrid w:val="0"/>
            <w:vertAlign w:val="superscript"/>
          </w:rPr>
          <w:delText>15</w:delText>
        </w:r>
        <w:r>
          <w:rPr>
            <w:snapToGrid w:val="0"/>
          </w:rPr>
          <w:tab/>
          <w:delText xml:space="preserve">On the date as at which this compilation was prepared, the </w:delText>
        </w:r>
        <w:r>
          <w:rPr>
            <w:i/>
            <w:snapToGrid w:val="0"/>
          </w:rPr>
          <w:delText>Petroleum Legislation Amendment and Repeal Act 2005</w:delText>
        </w:r>
        <w:r>
          <w:rPr>
            <w:snapToGrid w:val="0"/>
          </w:rPr>
          <w:delText xml:space="preserve"> Pt. 4 had not come into operation.  It reads as follows:</w:delText>
        </w:r>
      </w:del>
    </w:p>
    <w:p>
      <w:pPr>
        <w:pStyle w:val="MiscOpen"/>
        <w:rPr>
          <w:del w:id="1957" w:author="svcMRProcess" w:date="2020-02-19T21:14:00Z"/>
          <w:snapToGrid w:val="0"/>
        </w:rPr>
      </w:pPr>
      <w:del w:id="1958" w:author="svcMRProcess" w:date="2020-02-19T21:14:00Z">
        <w:r>
          <w:rPr>
            <w:snapToGrid w:val="0"/>
          </w:rPr>
          <w:delText>“</w:delText>
        </w:r>
      </w:del>
    </w:p>
    <w:p>
      <w:pPr>
        <w:pStyle w:val="nzHeading2"/>
        <w:rPr>
          <w:del w:id="1959" w:author="svcMRProcess" w:date="2020-02-19T21:14:00Z"/>
        </w:rPr>
      </w:pPr>
      <w:bookmarkStart w:id="1960" w:name="_Toc65393099"/>
      <w:bookmarkStart w:id="1961" w:name="_Toc69034470"/>
      <w:bookmarkStart w:id="1962" w:name="_Toc69118102"/>
      <w:bookmarkStart w:id="1963" w:name="_Toc69118710"/>
      <w:bookmarkStart w:id="1964" w:name="_Toc69206049"/>
      <w:bookmarkStart w:id="1965" w:name="_Toc69206597"/>
      <w:bookmarkStart w:id="1966" w:name="_Toc69639508"/>
      <w:bookmarkStart w:id="1967" w:name="_Toc69639632"/>
      <w:bookmarkStart w:id="1968" w:name="_Toc69639710"/>
      <w:bookmarkStart w:id="1969" w:name="_Toc69710057"/>
      <w:bookmarkStart w:id="1970" w:name="_Toc69725664"/>
      <w:bookmarkStart w:id="1971" w:name="_Toc69725855"/>
      <w:bookmarkStart w:id="1972" w:name="_Toc69791017"/>
      <w:bookmarkStart w:id="1973" w:name="_Toc69805539"/>
      <w:bookmarkStart w:id="1974" w:name="_Toc69810040"/>
      <w:bookmarkStart w:id="1975" w:name="_Toc69811841"/>
      <w:bookmarkStart w:id="1976" w:name="_Toc69811871"/>
      <w:bookmarkStart w:id="1977" w:name="_Toc69876892"/>
      <w:bookmarkStart w:id="1978" w:name="_Toc70245139"/>
      <w:bookmarkStart w:id="1979" w:name="_Toc70403024"/>
      <w:bookmarkStart w:id="1980" w:name="_Toc70403711"/>
      <w:bookmarkStart w:id="1981" w:name="_Toc72747381"/>
      <w:bookmarkStart w:id="1982" w:name="_Toc72748464"/>
      <w:bookmarkStart w:id="1983" w:name="_Toc72749165"/>
      <w:bookmarkStart w:id="1984" w:name="_Toc72749300"/>
      <w:bookmarkStart w:id="1985" w:name="_Toc72815904"/>
      <w:bookmarkStart w:id="1986" w:name="_Toc74476202"/>
      <w:bookmarkStart w:id="1987" w:name="_Toc74643244"/>
      <w:bookmarkStart w:id="1988" w:name="_Toc74643543"/>
      <w:bookmarkStart w:id="1989" w:name="_Toc77156627"/>
      <w:bookmarkStart w:id="1990" w:name="_Toc77398963"/>
      <w:bookmarkStart w:id="1991" w:name="_Toc77415949"/>
      <w:bookmarkStart w:id="1992" w:name="_Toc77495579"/>
      <w:bookmarkStart w:id="1993" w:name="_Toc77502769"/>
      <w:bookmarkStart w:id="1994" w:name="_Toc77587970"/>
      <w:bookmarkStart w:id="1995" w:name="_Toc77654857"/>
      <w:bookmarkStart w:id="1996" w:name="_Toc77675573"/>
      <w:bookmarkStart w:id="1997" w:name="_Toc77744343"/>
      <w:bookmarkStart w:id="1998" w:name="_Toc77744437"/>
      <w:bookmarkStart w:id="1999" w:name="_Toc77744533"/>
      <w:bookmarkStart w:id="2000" w:name="_Toc77745008"/>
      <w:bookmarkStart w:id="2001" w:name="_Toc77746288"/>
      <w:bookmarkStart w:id="2002" w:name="_Toc79481191"/>
      <w:bookmarkStart w:id="2003" w:name="_Toc79481231"/>
      <w:bookmarkStart w:id="2004" w:name="_Toc79490112"/>
      <w:bookmarkStart w:id="2005" w:name="_Toc79490999"/>
      <w:bookmarkStart w:id="2006" w:name="_Toc79567399"/>
      <w:bookmarkStart w:id="2007" w:name="_Toc79573299"/>
      <w:bookmarkStart w:id="2008" w:name="_Toc79833490"/>
      <w:bookmarkStart w:id="2009" w:name="_Toc79913156"/>
      <w:bookmarkStart w:id="2010" w:name="_Toc79978519"/>
      <w:bookmarkStart w:id="2011" w:name="_Toc80004585"/>
      <w:bookmarkStart w:id="2012" w:name="_Toc80006778"/>
      <w:bookmarkStart w:id="2013" w:name="_Toc80428037"/>
      <w:bookmarkStart w:id="2014" w:name="_Toc80602192"/>
      <w:bookmarkStart w:id="2015" w:name="_Toc80612472"/>
      <w:bookmarkStart w:id="2016" w:name="_Toc80612585"/>
      <w:bookmarkStart w:id="2017" w:name="_Toc80785442"/>
      <w:bookmarkStart w:id="2018" w:name="_Toc82331224"/>
      <w:bookmarkStart w:id="2019" w:name="_Toc82340054"/>
      <w:bookmarkStart w:id="2020" w:name="_Toc82430116"/>
      <w:bookmarkStart w:id="2021" w:name="_Toc82503971"/>
      <w:bookmarkStart w:id="2022" w:name="_Toc82504942"/>
      <w:bookmarkStart w:id="2023" w:name="_Toc82514552"/>
      <w:bookmarkStart w:id="2024" w:name="_Toc82589635"/>
      <w:bookmarkStart w:id="2025" w:name="_Toc82595097"/>
      <w:bookmarkStart w:id="2026" w:name="_Toc83550629"/>
      <w:bookmarkStart w:id="2027" w:name="_Toc83615670"/>
      <w:bookmarkStart w:id="2028" w:name="_Toc83616505"/>
      <w:bookmarkStart w:id="2029" w:name="_Toc85336085"/>
      <w:bookmarkStart w:id="2030" w:name="_Toc85536047"/>
      <w:bookmarkStart w:id="2031" w:name="_Toc96232038"/>
      <w:bookmarkStart w:id="2032" w:name="_Toc96248889"/>
      <w:bookmarkStart w:id="2033" w:name="_Toc96336127"/>
      <w:bookmarkStart w:id="2034" w:name="_Toc96416779"/>
      <w:bookmarkStart w:id="2035" w:name="_Toc96501625"/>
      <w:bookmarkStart w:id="2036" w:name="_Toc96501842"/>
      <w:bookmarkStart w:id="2037" w:name="_Toc96501980"/>
      <w:bookmarkStart w:id="2038" w:name="_Toc96502746"/>
      <w:bookmarkStart w:id="2039" w:name="_Toc97028566"/>
      <w:bookmarkStart w:id="2040" w:name="_Toc97434572"/>
      <w:bookmarkStart w:id="2041" w:name="_Toc97440936"/>
      <w:bookmarkStart w:id="2042" w:name="_Toc97442248"/>
      <w:bookmarkStart w:id="2043" w:name="_Toc98136738"/>
      <w:bookmarkStart w:id="2044" w:name="_Toc98147491"/>
      <w:bookmarkStart w:id="2045" w:name="_Toc98149380"/>
      <w:bookmarkStart w:id="2046" w:name="_Toc98212844"/>
      <w:bookmarkStart w:id="2047" w:name="_Toc98666998"/>
      <w:bookmarkStart w:id="2048" w:name="_Toc98667867"/>
      <w:bookmarkStart w:id="2049" w:name="_Toc99354518"/>
      <w:bookmarkStart w:id="2050" w:name="_Toc99356780"/>
      <w:bookmarkStart w:id="2051" w:name="_Toc99357120"/>
      <w:bookmarkStart w:id="2052" w:name="_Toc99411216"/>
      <w:bookmarkStart w:id="2053" w:name="_Toc99417493"/>
      <w:bookmarkStart w:id="2054" w:name="_Toc99447874"/>
      <w:bookmarkStart w:id="2055" w:name="_Toc99769619"/>
      <w:bookmarkStart w:id="2056" w:name="_Toc112746384"/>
      <w:bookmarkStart w:id="2057" w:name="_Toc112746509"/>
      <w:del w:id="2058" w:author="svcMRProcess" w:date="2020-02-19T21:14:00Z">
        <w:r>
          <w:rPr>
            <w:rStyle w:val="CharPartNo"/>
          </w:rPr>
          <w:delText>Part 4</w:delText>
        </w:r>
        <w:r>
          <w:delText> — </w:delText>
        </w:r>
        <w:r>
          <w:rPr>
            <w:rStyle w:val="CharPartText"/>
            <w:i/>
          </w:rPr>
          <w:delText>Petroleum (Submerged Lands) Act 1982</w:delTex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del>
    </w:p>
    <w:p>
      <w:pPr>
        <w:pStyle w:val="nzHeading5"/>
        <w:rPr>
          <w:del w:id="2059" w:author="svcMRProcess" w:date="2020-02-19T21:14:00Z"/>
          <w:snapToGrid w:val="0"/>
        </w:rPr>
      </w:pPr>
      <w:bookmarkStart w:id="2060" w:name="_Toc471793483"/>
      <w:bookmarkStart w:id="2061" w:name="_Toc512746196"/>
      <w:bookmarkStart w:id="2062" w:name="_Toc515958177"/>
      <w:bookmarkStart w:id="2063" w:name="_Toc80428038"/>
      <w:bookmarkStart w:id="2064" w:name="_Toc99357121"/>
      <w:bookmarkStart w:id="2065" w:name="_Toc99769620"/>
      <w:bookmarkStart w:id="2066" w:name="_Toc112746510"/>
      <w:del w:id="2067" w:author="svcMRProcess" w:date="2020-02-19T21:14:00Z">
        <w:r>
          <w:rPr>
            <w:rStyle w:val="CharSectno"/>
          </w:rPr>
          <w:delText>33</w:delText>
        </w:r>
        <w:r>
          <w:rPr>
            <w:snapToGrid w:val="0"/>
          </w:rPr>
          <w:delText>.</w:delText>
        </w:r>
        <w:r>
          <w:rPr>
            <w:snapToGrid w:val="0"/>
          </w:rPr>
          <w:tab/>
          <w:delText>The Act amended</w:delText>
        </w:r>
        <w:bookmarkEnd w:id="2060"/>
        <w:bookmarkEnd w:id="2061"/>
        <w:bookmarkEnd w:id="2062"/>
        <w:bookmarkEnd w:id="2063"/>
        <w:bookmarkEnd w:id="2064"/>
        <w:bookmarkEnd w:id="2065"/>
        <w:bookmarkEnd w:id="2066"/>
      </w:del>
    </w:p>
    <w:p>
      <w:pPr>
        <w:pStyle w:val="nzSubsection"/>
        <w:rPr>
          <w:del w:id="2068" w:author="svcMRProcess" w:date="2020-02-19T21:14:00Z"/>
        </w:rPr>
      </w:pPr>
      <w:del w:id="2069" w:author="svcMRProcess" w:date="2020-02-19T21:14:00Z">
        <w:r>
          <w:tab/>
        </w:r>
        <w:r>
          <w:tab/>
          <w:delText xml:space="preserve">The amendments in this Part are to the </w:delText>
        </w:r>
        <w:r>
          <w:rPr>
            <w:i/>
          </w:rPr>
          <w:delText>Petroleum (Submerged Lands) Act 1982</w:delText>
        </w:r>
        <w:r>
          <w:delText>.</w:delText>
        </w:r>
      </w:del>
    </w:p>
    <w:p>
      <w:pPr>
        <w:pStyle w:val="nzHeading5"/>
        <w:rPr>
          <w:del w:id="2070" w:author="svcMRProcess" w:date="2020-02-19T21:14:00Z"/>
        </w:rPr>
      </w:pPr>
      <w:bookmarkStart w:id="2071" w:name="_Toc80428039"/>
      <w:bookmarkStart w:id="2072" w:name="_Toc99357122"/>
      <w:bookmarkStart w:id="2073" w:name="_Toc99769621"/>
      <w:bookmarkStart w:id="2074" w:name="_Toc112746511"/>
      <w:del w:id="2075" w:author="svcMRProcess" w:date="2020-02-19T21:14:00Z">
        <w:r>
          <w:rPr>
            <w:rStyle w:val="CharSectno"/>
          </w:rPr>
          <w:delText>34</w:delText>
        </w:r>
        <w:r>
          <w:delText>.</w:delText>
        </w:r>
        <w:r>
          <w:tab/>
          <w:delText>Section 4 amended</w:delText>
        </w:r>
        <w:bookmarkEnd w:id="2071"/>
        <w:bookmarkEnd w:id="2072"/>
        <w:bookmarkEnd w:id="2073"/>
        <w:bookmarkEnd w:id="2074"/>
      </w:del>
    </w:p>
    <w:p>
      <w:pPr>
        <w:pStyle w:val="nzSubsection"/>
        <w:rPr>
          <w:del w:id="2076" w:author="svcMRProcess" w:date="2020-02-19T21:14:00Z"/>
        </w:rPr>
      </w:pPr>
      <w:del w:id="2077" w:author="svcMRProcess" w:date="2020-02-19T21:14:00Z">
        <w:r>
          <w:tab/>
        </w:r>
        <w:r>
          <w:tab/>
          <w:delText xml:space="preserve">Section 4 is amended by inserting in the appropriate alphabetical positions the following definitions — </w:delText>
        </w:r>
      </w:del>
    </w:p>
    <w:p>
      <w:pPr>
        <w:pStyle w:val="MiscOpen"/>
        <w:ind w:left="880"/>
        <w:rPr>
          <w:del w:id="2078" w:author="svcMRProcess" w:date="2020-02-19T21:14:00Z"/>
        </w:rPr>
      </w:pPr>
      <w:del w:id="2079" w:author="svcMRProcess" w:date="2020-02-19T21:14:00Z">
        <w:r>
          <w:delText xml:space="preserve">“    </w:delText>
        </w:r>
      </w:del>
    </w:p>
    <w:p>
      <w:pPr>
        <w:pStyle w:val="nzDefstart"/>
        <w:rPr>
          <w:del w:id="2080" w:author="svcMRProcess" w:date="2020-02-19T21:14:00Z"/>
        </w:rPr>
      </w:pPr>
      <w:del w:id="2081" w:author="svcMRProcess" w:date="2020-02-19T21:14:00Z">
        <w:r>
          <w:rPr>
            <w:b/>
          </w:rPr>
          <w:tab/>
          <w:delText>“</w:delText>
        </w:r>
        <w:r>
          <w:rPr>
            <w:rStyle w:val="CharDefText"/>
          </w:rPr>
          <w:delText>Commonwealth Minister</w:delText>
        </w:r>
        <w:r>
          <w:rPr>
            <w:b/>
          </w:rPr>
          <w:delText xml:space="preserve">” </w:delText>
        </w:r>
        <w:r>
          <w:delText>means the Minister of the Crown in right of the Commonwealth for the time being administering the Commonwealth Act, and includes another Minister for the time being acting for and on behalf of that Minister;</w:delText>
        </w:r>
      </w:del>
    </w:p>
    <w:p>
      <w:pPr>
        <w:pStyle w:val="nzDefstart"/>
        <w:rPr>
          <w:del w:id="2082" w:author="svcMRProcess" w:date="2020-02-19T21:14:00Z"/>
        </w:rPr>
      </w:pPr>
      <w:del w:id="2083" w:author="svcMRProcess" w:date="2020-02-19T21:14:00Z">
        <w:r>
          <w:tab/>
        </w:r>
        <w:r>
          <w:rPr>
            <w:b/>
          </w:rPr>
          <w:delText>“</w:delText>
        </w:r>
        <w:r>
          <w:rPr>
            <w:rStyle w:val="CharDefText"/>
          </w:rPr>
          <w:delText>facility</w:delText>
        </w:r>
        <w:r>
          <w:rPr>
            <w:b/>
          </w:rPr>
          <w:delText>”</w:delText>
        </w:r>
        <w:r>
          <w:delText xml:space="preserve"> has the same meaning as in Schedule 5;</w:delText>
        </w:r>
      </w:del>
    </w:p>
    <w:p>
      <w:pPr>
        <w:pStyle w:val="nzDefstart"/>
        <w:rPr>
          <w:del w:id="2084" w:author="svcMRProcess" w:date="2020-02-19T21:14:00Z"/>
        </w:rPr>
      </w:pPr>
      <w:del w:id="2085" w:author="svcMRProcess" w:date="2020-02-19T21:14:00Z">
        <w:r>
          <w:rPr>
            <w:b/>
          </w:rPr>
          <w:tab/>
          <w:delText>“</w:delText>
        </w:r>
        <w:r>
          <w:rPr>
            <w:rStyle w:val="CharDefText"/>
          </w:rPr>
          <w:delText>interstate Minister</w:delText>
        </w:r>
        <w:r>
          <w:rPr>
            <w:b/>
          </w:rPr>
          <w:delText>”</w:delText>
        </w:r>
        <w:r>
          <w:delText xml:space="preserve"> means the Minister of the Crown in right of a State (other than Western Australia) or of the Northern Territory who is for the time being authorised under the law of that State or Territory to perform the functions of a Designated Authority under the Commonwealth Act;</w:delText>
        </w:r>
      </w:del>
    </w:p>
    <w:p>
      <w:pPr>
        <w:pStyle w:val="nzDefstart"/>
        <w:rPr>
          <w:del w:id="2086" w:author="svcMRProcess" w:date="2020-02-19T21:14:00Z"/>
        </w:rPr>
      </w:pPr>
      <w:del w:id="2087" w:author="svcMRProcess" w:date="2020-02-19T21:14:00Z">
        <w:r>
          <w:rPr>
            <w:b/>
          </w:rPr>
          <w:tab/>
          <w:delText>“</w:delText>
        </w:r>
        <w:r>
          <w:rPr>
            <w:rStyle w:val="CharDefText"/>
          </w:rPr>
          <w:delText>listed OSH law</w:delText>
        </w:r>
        <w:r>
          <w:rPr>
            <w:b/>
          </w:rPr>
          <w:delText>”</w:delText>
        </w:r>
        <w:r>
          <w:delText xml:space="preserve"> has the meaning given in section 151C;</w:delText>
        </w:r>
      </w:del>
    </w:p>
    <w:p>
      <w:pPr>
        <w:pStyle w:val="nzDefstart"/>
        <w:rPr>
          <w:del w:id="2088" w:author="svcMRProcess" w:date="2020-02-19T21:14:00Z"/>
        </w:rPr>
      </w:pPr>
      <w:del w:id="2089" w:author="svcMRProcess" w:date="2020-02-19T21:14:00Z">
        <w:r>
          <w:tab/>
        </w:r>
        <w:r>
          <w:rPr>
            <w:b/>
          </w:rPr>
          <w:delText>“</w:delText>
        </w:r>
        <w:r>
          <w:rPr>
            <w:rStyle w:val="CharDefText"/>
          </w:rPr>
          <w:delText>offshore petroleum operation</w:delText>
        </w:r>
        <w:r>
          <w:rPr>
            <w:b/>
          </w:rPr>
          <w:delText>”</w:delText>
        </w:r>
        <w:r>
          <w:delText xml:space="preserve"> means any operation (including a diving operation) that — </w:delText>
        </w:r>
      </w:del>
    </w:p>
    <w:p>
      <w:pPr>
        <w:pStyle w:val="nzDefpara"/>
        <w:rPr>
          <w:del w:id="2090" w:author="svcMRProcess" w:date="2020-02-19T21:14:00Z"/>
        </w:rPr>
      </w:pPr>
      <w:del w:id="2091" w:author="svcMRProcess" w:date="2020-02-19T21:14:00Z">
        <w:r>
          <w:tab/>
          <w:delText>(a)</w:delText>
        </w:r>
        <w:r>
          <w:tab/>
          <w:delText xml:space="preserve">relates to — </w:delText>
        </w:r>
      </w:del>
    </w:p>
    <w:p>
      <w:pPr>
        <w:pStyle w:val="nzDefsubpara"/>
        <w:rPr>
          <w:del w:id="2092" w:author="svcMRProcess" w:date="2020-02-19T21:14:00Z"/>
        </w:rPr>
      </w:pPr>
      <w:del w:id="2093" w:author="svcMRProcess" w:date="2020-02-19T21:14:00Z">
        <w:r>
          <w:tab/>
          <w:delText>(i)</w:delText>
        </w:r>
        <w:r>
          <w:tab/>
          <w:delText>the exploration for petroleum; or</w:delText>
        </w:r>
      </w:del>
    </w:p>
    <w:p>
      <w:pPr>
        <w:pStyle w:val="nzDefsubpara"/>
        <w:rPr>
          <w:del w:id="2094" w:author="svcMRProcess" w:date="2020-02-19T21:14:00Z"/>
        </w:rPr>
      </w:pPr>
      <w:del w:id="2095" w:author="svcMRProcess" w:date="2020-02-19T21:14:00Z">
        <w:r>
          <w:tab/>
          <w:delText>(ii)</w:delText>
        </w:r>
        <w:r>
          <w:tab/>
          <w:delText>the recovery, processing, storage, offloading or piped conveyance of petroleum;</w:delText>
        </w:r>
      </w:del>
    </w:p>
    <w:p>
      <w:pPr>
        <w:pStyle w:val="nzDefpara"/>
        <w:rPr>
          <w:del w:id="2096" w:author="svcMRProcess" w:date="2020-02-19T21:14:00Z"/>
        </w:rPr>
      </w:pPr>
      <w:del w:id="2097" w:author="svcMRProcess" w:date="2020-02-19T21:14:00Z">
        <w:r>
          <w:tab/>
          <w:delText>(b)</w:delText>
        </w:r>
        <w:r>
          <w:tab/>
          <w:delText>if the operation is a diving operation, takes place in the adjacent area; and</w:delText>
        </w:r>
      </w:del>
    </w:p>
    <w:p>
      <w:pPr>
        <w:pStyle w:val="nzDefpara"/>
        <w:rPr>
          <w:del w:id="2098" w:author="svcMRProcess" w:date="2020-02-19T21:14:00Z"/>
        </w:rPr>
      </w:pPr>
      <w:del w:id="2099" w:author="svcMRProcess" w:date="2020-02-19T21:14:00Z">
        <w:r>
          <w:tab/>
          <w:delText>(c)</w:delText>
        </w:r>
        <w:r>
          <w:tab/>
          <w:delText>if the operation is not a diving operation, takes place at a facility;</w:delText>
        </w:r>
      </w:del>
    </w:p>
    <w:p>
      <w:pPr>
        <w:pStyle w:val="nzDefstart"/>
        <w:rPr>
          <w:del w:id="2100" w:author="svcMRProcess" w:date="2020-02-19T21:14:00Z"/>
        </w:rPr>
      </w:pPr>
      <w:del w:id="2101" w:author="svcMRProcess" w:date="2020-02-19T21:14:00Z">
        <w:r>
          <w:tab/>
        </w:r>
        <w:r>
          <w:rPr>
            <w:b/>
          </w:rPr>
          <w:delText>“</w:delText>
        </w:r>
        <w:r>
          <w:rPr>
            <w:rStyle w:val="CharDefText"/>
          </w:rPr>
          <w:delText>OHS inspector</w:delText>
        </w:r>
        <w:r>
          <w:rPr>
            <w:b/>
          </w:rPr>
          <w:delText>”</w:delText>
        </w:r>
        <w:r>
          <w:delText xml:space="preserve"> means an OHS inspector appointed under the Commonwealth Act;</w:delText>
        </w:r>
      </w:del>
    </w:p>
    <w:p>
      <w:pPr>
        <w:pStyle w:val="nzDefstart"/>
        <w:rPr>
          <w:del w:id="2102" w:author="svcMRProcess" w:date="2020-02-19T21:14:00Z"/>
        </w:rPr>
      </w:pPr>
      <w:del w:id="2103" w:author="svcMRProcess" w:date="2020-02-19T21:14:00Z">
        <w:r>
          <w:tab/>
        </w:r>
        <w:r>
          <w:rPr>
            <w:b/>
          </w:rPr>
          <w:delText>“</w:delText>
        </w:r>
        <w:r>
          <w:rPr>
            <w:rStyle w:val="CharDefText"/>
          </w:rPr>
          <w:delText>Safety Authority</w:delText>
        </w:r>
        <w:r>
          <w:rPr>
            <w:b/>
          </w:rPr>
          <w:delText>”</w:delText>
        </w:r>
        <w:r>
          <w:delText xml:space="preserve"> means the National Offshore Petroleum Safety Authority under the Commonwealth Act;</w:delText>
        </w:r>
      </w:del>
    </w:p>
    <w:p>
      <w:pPr>
        <w:pStyle w:val="MiscClose"/>
        <w:ind w:right="575"/>
        <w:rPr>
          <w:del w:id="2104" w:author="svcMRProcess" w:date="2020-02-19T21:14:00Z"/>
        </w:rPr>
      </w:pPr>
      <w:del w:id="2105" w:author="svcMRProcess" w:date="2020-02-19T21:14:00Z">
        <w:r>
          <w:delText xml:space="preserve">    ”.</w:delText>
        </w:r>
      </w:del>
    </w:p>
    <w:p>
      <w:pPr>
        <w:pStyle w:val="nzHeading5"/>
        <w:rPr>
          <w:del w:id="2106" w:author="svcMRProcess" w:date="2020-02-19T21:14:00Z"/>
        </w:rPr>
      </w:pPr>
      <w:bookmarkStart w:id="2107" w:name="_Toc80428040"/>
      <w:bookmarkStart w:id="2108" w:name="_Toc99357123"/>
      <w:bookmarkStart w:id="2109" w:name="_Toc99769622"/>
      <w:bookmarkStart w:id="2110" w:name="_Toc112746512"/>
      <w:del w:id="2111" w:author="svcMRProcess" w:date="2020-02-19T21:14:00Z">
        <w:r>
          <w:rPr>
            <w:rStyle w:val="CharSectno"/>
          </w:rPr>
          <w:delText>35</w:delText>
        </w:r>
        <w:r>
          <w:delText>.</w:delText>
        </w:r>
        <w:r>
          <w:tab/>
          <w:delText>Section 11 amended</w:delText>
        </w:r>
        <w:bookmarkEnd w:id="2107"/>
        <w:bookmarkEnd w:id="2108"/>
        <w:bookmarkEnd w:id="2109"/>
        <w:bookmarkEnd w:id="2110"/>
      </w:del>
    </w:p>
    <w:p>
      <w:pPr>
        <w:pStyle w:val="nzSubsection"/>
        <w:rPr>
          <w:del w:id="2112" w:author="svcMRProcess" w:date="2020-02-19T21:14:00Z"/>
        </w:rPr>
      </w:pPr>
      <w:del w:id="2113" w:author="svcMRProcess" w:date="2020-02-19T21:14:00Z">
        <w:r>
          <w:tab/>
        </w:r>
        <w:r>
          <w:tab/>
          <w:delText xml:space="preserve">Section 11 is amended by deleting “Division” and inserting instead — </w:delText>
        </w:r>
      </w:del>
    </w:p>
    <w:p>
      <w:pPr>
        <w:pStyle w:val="nzSubsection"/>
        <w:rPr>
          <w:del w:id="2114" w:author="svcMRProcess" w:date="2020-02-19T21:14:00Z"/>
        </w:rPr>
      </w:pPr>
      <w:del w:id="2115" w:author="svcMRProcess" w:date="2020-02-19T21:14:00Z">
        <w:r>
          <w:tab/>
        </w:r>
        <w:r>
          <w:tab/>
          <w:delText>“    Part    ”.</w:delText>
        </w:r>
      </w:del>
    </w:p>
    <w:p>
      <w:pPr>
        <w:pStyle w:val="nzHeading5"/>
        <w:rPr>
          <w:del w:id="2116" w:author="svcMRProcess" w:date="2020-02-19T21:14:00Z"/>
        </w:rPr>
      </w:pPr>
      <w:bookmarkStart w:id="2117" w:name="_Toc80428041"/>
      <w:bookmarkStart w:id="2118" w:name="_Toc99357124"/>
      <w:bookmarkStart w:id="2119" w:name="_Toc99769623"/>
      <w:bookmarkStart w:id="2120" w:name="_Toc112746513"/>
      <w:del w:id="2121" w:author="svcMRProcess" w:date="2020-02-19T21:14:00Z">
        <w:r>
          <w:rPr>
            <w:rStyle w:val="CharSectno"/>
          </w:rPr>
          <w:delText>36</w:delText>
        </w:r>
        <w:r>
          <w:delText>.</w:delText>
        </w:r>
        <w:r>
          <w:tab/>
          <w:delText>Part IIA inserted</w:delText>
        </w:r>
        <w:bookmarkEnd w:id="2117"/>
        <w:bookmarkEnd w:id="2118"/>
        <w:bookmarkEnd w:id="2119"/>
        <w:bookmarkEnd w:id="2120"/>
      </w:del>
    </w:p>
    <w:p>
      <w:pPr>
        <w:pStyle w:val="nzSubsection"/>
        <w:rPr>
          <w:del w:id="2122" w:author="svcMRProcess" w:date="2020-02-19T21:14:00Z"/>
        </w:rPr>
      </w:pPr>
      <w:del w:id="2123" w:author="svcMRProcess" w:date="2020-02-19T21:14:00Z">
        <w:r>
          <w:tab/>
        </w:r>
        <w:r>
          <w:tab/>
          <w:delText xml:space="preserve">After section 15 the following Part is inserted — </w:delText>
        </w:r>
      </w:del>
    </w:p>
    <w:p>
      <w:pPr>
        <w:pStyle w:val="MiscOpen"/>
        <w:rPr>
          <w:del w:id="2124" w:author="svcMRProcess" w:date="2020-02-19T21:14:00Z"/>
        </w:rPr>
      </w:pPr>
      <w:del w:id="2125" w:author="svcMRProcess" w:date="2020-02-19T21:14:00Z">
        <w:r>
          <w:delText xml:space="preserve">“    </w:delText>
        </w:r>
      </w:del>
    </w:p>
    <w:p>
      <w:pPr>
        <w:pStyle w:val="nzHeading2"/>
        <w:rPr>
          <w:del w:id="2126" w:author="svcMRProcess" w:date="2020-02-19T21:14:00Z"/>
        </w:rPr>
      </w:pPr>
      <w:bookmarkStart w:id="2127" w:name="_Toc112746389"/>
      <w:bookmarkStart w:id="2128" w:name="_Toc112746514"/>
      <w:del w:id="2129" w:author="svcMRProcess" w:date="2020-02-19T21:14:00Z">
        <w:r>
          <w:delText>Part IIA</w:delText>
        </w:r>
        <w:r>
          <w:rPr>
            <w:b w:val="0"/>
          </w:rPr>
          <w:delText> </w:delText>
        </w:r>
        <w:r>
          <w:delText>—</w:delText>
        </w:r>
        <w:r>
          <w:rPr>
            <w:b w:val="0"/>
          </w:rPr>
          <w:delText> </w:delText>
        </w:r>
        <w:r>
          <w:delText>Application of laws</w:delText>
        </w:r>
        <w:bookmarkEnd w:id="2127"/>
        <w:bookmarkEnd w:id="2128"/>
      </w:del>
    </w:p>
    <w:p>
      <w:pPr>
        <w:pStyle w:val="nzHeading5"/>
        <w:rPr>
          <w:del w:id="2130" w:author="svcMRProcess" w:date="2020-02-19T21:14:00Z"/>
        </w:rPr>
      </w:pPr>
      <w:del w:id="2131" w:author="svcMRProcess" w:date="2020-02-19T21:14:00Z">
        <w:r>
          <w:delText>15A.</w:delText>
        </w:r>
        <w:r>
          <w:tab/>
          <w:delText>Disapplication of State occupational safety and health laws</w:delText>
        </w:r>
      </w:del>
    </w:p>
    <w:p>
      <w:pPr>
        <w:pStyle w:val="nzSubsection"/>
        <w:rPr>
          <w:del w:id="2132" w:author="svcMRProcess" w:date="2020-02-19T21:14:00Z"/>
        </w:rPr>
      </w:pPr>
      <w:del w:id="2133" w:author="svcMRProcess" w:date="2020-02-19T21:14:00Z">
        <w:r>
          <w:tab/>
          <w:delText>(1)</w:delText>
        </w:r>
        <w:r>
          <w:tab/>
          <w:delText xml:space="preserve">The prescribed occupational safety and health laws do not apply in relation to — </w:delText>
        </w:r>
      </w:del>
    </w:p>
    <w:p>
      <w:pPr>
        <w:pStyle w:val="nzIndenta"/>
        <w:rPr>
          <w:del w:id="2134" w:author="svcMRProcess" w:date="2020-02-19T21:14:00Z"/>
        </w:rPr>
      </w:pPr>
      <w:del w:id="2135" w:author="svcMRProcess" w:date="2020-02-19T21:14:00Z">
        <w:r>
          <w:tab/>
          <w:delText>(a)</w:delText>
        </w:r>
        <w:r>
          <w:tab/>
          <w:delText xml:space="preserve">a facility; </w:delText>
        </w:r>
      </w:del>
    </w:p>
    <w:p>
      <w:pPr>
        <w:pStyle w:val="nzIndenta"/>
        <w:rPr>
          <w:del w:id="2136" w:author="svcMRProcess" w:date="2020-02-19T21:14:00Z"/>
        </w:rPr>
      </w:pPr>
      <w:del w:id="2137" w:author="svcMRProcess" w:date="2020-02-19T21:14:00Z">
        <w:r>
          <w:tab/>
          <w:delText>(b)</w:delText>
        </w:r>
        <w:r>
          <w:tab/>
          <w:delText>a person at a facility;</w:delText>
        </w:r>
      </w:del>
    </w:p>
    <w:p>
      <w:pPr>
        <w:pStyle w:val="nzIndenta"/>
        <w:rPr>
          <w:del w:id="2138" w:author="svcMRProcess" w:date="2020-02-19T21:14:00Z"/>
        </w:rPr>
      </w:pPr>
      <w:del w:id="2139" w:author="svcMRProcess" w:date="2020-02-19T21:14:00Z">
        <w:r>
          <w:tab/>
          <w:delText>(c)</w:delText>
        </w:r>
        <w:r>
          <w:tab/>
          <w:delText xml:space="preserve">a person near a facility, to the extent to which the person is affected by — </w:delText>
        </w:r>
      </w:del>
    </w:p>
    <w:p>
      <w:pPr>
        <w:pStyle w:val="nzIndenti"/>
        <w:rPr>
          <w:del w:id="2140" w:author="svcMRProcess" w:date="2020-02-19T21:14:00Z"/>
        </w:rPr>
      </w:pPr>
      <w:del w:id="2141" w:author="svcMRProcess" w:date="2020-02-19T21:14:00Z">
        <w:r>
          <w:tab/>
          <w:delText>(i)</w:delText>
        </w:r>
        <w:r>
          <w:tab/>
          <w:delText>a facility; or</w:delText>
        </w:r>
      </w:del>
    </w:p>
    <w:p>
      <w:pPr>
        <w:pStyle w:val="nzDefsubpara"/>
        <w:rPr>
          <w:del w:id="2142" w:author="svcMRProcess" w:date="2020-02-19T21:14:00Z"/>
        </w:rPr>
      </w:pPr>
      <w:del w:id="2143" w:author="svcMRProcess" w:date="2020-02-19T21:14:00Z">
        <w:r>
          <w:tab/>
          <w:delText>(ii)</w:delText>
        </w:r>
        <w:r>
          <w:tab/>
          <w:delText xml:space="preserve">activities that take place at a facility; </w:delText>
        </w:r>
      </w:del>
    </w:p>
    <w:p>
      <w:pPr>
        <w:pStyle w:val="nzIndenta"/>
        <w:rPr>
          <w:del w:id="2144" w:author="svcMRProcess" w:date="2020-02-19T21:14:00Z"/>
        </w:rPr>
      </w:pPr>
      <w:del w:id="2145" w:author="svcMRProcess" w:date="2020-02-19T21:14:00Z">
        <w:r>
          <w:tab/>
        </w:r>
        <w:r>
          <w:tab/>
          <w:delText>or</w:delText>
        </w:r>
      </w:del>
    </w:p>
    <w:p>
      <w:pPr>
        <w:pStyle w:val="nzIndenta"/>
        <w:rPr>
          <w:del w:id="2146" w:author="svcMRProcess" w:date="2020-02-19T21:14:00Z"/>
        </w:rPr>
      </w:pPr>
      <w:del w:id="2147" w:author="svcMRProcess" w:date="2020-02-19T21:14:00Z">
        <w:r>
          <w:tab/>
          <w:delText>(d)</w:delText>
        </w:r>
        <w:r>
          <w:tab/>
          <w:delText>activities that take place at a facility.</w:delText>
        </w:r>
      </w:del>
    </w:p>
    <w:p>
      <w:pPr>
        <w:pStyle w:val="nzSubsection"/>
        <w:rPr>
          <w:del w:id="2148" w:author="svcMRProcess" w:date="2020-02-19T21:14:00Z"/>
        </w:rPr>
      </w:pPr>
      <w:del w:id="2149" w:author="svcMRProcess" w:date="2020-02-19T21:14:00Z">
        <w:r>
          <w:tab/>
          <w:delText>(2)</w:delText>
        </w:r>
        <w:r>
          <w:tab/>
          <w:delText xml:space="preserve">A reference in subsection (1) to the prescribed occupational safety and health laws is a reference to such of the provisions of those laws that, but for subsection (1), would apply in the adjacent area under the </w:delText>
        </w:r>
        <w:r>
          <w:rPr>
            <w:i/>
          </w:rPr>
          <w:delText>Off</w:delText>
        </w:r>
        <w:r>
          <w:rPr>
            <w:i/>
          </w:rPr>
          <w:noBreakHyphen/>
          <w:delText>shore (Application of Laws) Act 1982</w:delText>
        </w:r>
        <w:r>
          <w:delText xml:space="preserve"> or the cooperative scheme as defined by section 3 of the </w:delText>
        </w:r>
        <w:r>
          <w:rPr>
            <w:i/>
          </w:rPr>
          <w:delText>Crimes at Sea Act 2000.</w:delText>
        </w:r>
        <w:r>
          <w:delText xml:space="preserve"> </w:delText>
        </w:r>
      </w:del>
    </w:p>
    <w:p>
      <w:pPr>
        <w:pStyle w:val="nzSubsection"/>
        <w:rPr>
          <w:del w:id="2150" w:author="svcMRProcess" w:date="2020-02-19T21:14:00Z"/>
        </w:rPr>
      </w:pPr>
      <w:del w:id="2151" w:author="svcMRProcess" w:date="2020-02-19T21:14:00Z">
        <w:r>
          <w:tab/>
          <w:delText>(3)</w:delText>
        </w:r>
        <w:r>
          <w:tab/>
          <w:delText>In this section—</w:delText>
        </w:r>
      </w:del>
    </w:p>
    <w:p>
      <w:pPr>
        <w:pStyle w:val="nzDefstart"/>
        <w:rPr>
          <w:del w:id="2152" w:author="svcMRProcess" w:date="2020-02-19T21:14:00Z"/>
        </w:rPr>
      </w:pPr>
      <w:del w:id="2153" w:author="svcMRProcess" w:date="2020-02-19T21:14:00Z">
        <w:r>
          <w:rPr>
            <w:b/>
          </w:rPr>
          <w:tab/>
          <w:delText>“</w:delText>
        </w:r>
        <w:r>
          <w:rPr>
            <w:rStyle w:val="CharDefText"/>
          </w:rPr>
          <w:delText>prescribed occupational safety and health laws</w:delText>
        </w:r>
        <w:r>
          <w:rPr>
            <w:b/>
          </w:rPr>
          <w:delText>”</w:delText>
        </w:r>
        <w:r>
          <w:delText xml:space="preserve"> means any laws of the State relating to occupational safety and health (whether or not they also relate to other matters) that are prescribed by the regulations for the purposes of this section.</w:delText>
        </w:r>
      </w:del>
    </w:p>
    <w:p>
      <w:pPr>
        <w:pStyle w:val="nzSubsection"/>
        <w:rPr>
          <w:del w:id="2154" w:author="svcMRProcess" w:date="2020-02-19T21:14:00Z"/>
        </w:rPr>
      </w:pPr>
      <w:del w:id="2155" w:author="svcMRProcess" w:date="2020-02-19T21:14:00Z">
        <w:r>
          <w:tab/>
          <w:delText>(4)</w:delText>
        </w:r>
        <w:r>
          <w:tab/>
          <w:delText xml:space="preserve">This section applies despite anything to the contrary in the </w:delText>
        </w:r>
        <w:r>
          <w:rPr>
            <w:i/>
          </w:rPr>
          <w:delText>Off</w:delText>
        </w:r>
        <w:r>
          <w:rPr>
            <w:i/>
          </w:rPr>
          <w:noBreakHyphen/>
          <w:delText>shore (Application of Laws) Act 1982</w:delText>
        </w:r>
        <w:r>
          <w:delText xml:space="preserve"> or the </w:delText>
        </w:r>
        <w:r>
          <w:rPr>
            <w:i/>
          </w:rPr>
          <w:delText>Crimes at Sea Act 2000.</w:delText>
        </w:r>
      </w:del>
    </w:p>
    <w:p>
      <w:pPr>
        <w:pStyle w:val="MiscClose"/>
        <w:ind w:right="575"/>
        <w:rPr>
          <w:del w:id="2156" w:author="svcMRProcess" w:date="2020-02-19T21:14:00Z"/>
        </w:rPr>
      </w:pPr>
      <w:del w:id="2157" w:author="svcMRProcess" w:date="2020-02-19T21:14:00Z">
        <w:r>
          <w:delText xml:space="preserve">    ”.</w:delText>
        </w:r>
      </w:del>
    </w:p>
    <w:p>
      <w:pPr>
        <w:pStyle w:val="nzHeading5"/>
        <w:rPr>
          <w:del w:id="2158" w:author="svcMRProcess" w:date="2020-02-19T21:14:00Z"/>
        </w:rPr>
      </w:pPr>
      <w:bookmarkStart w:id="2159" w:name="_Toc80428042"/>
      <w:bookmarkStart w:id="2160" w:name="_Toc99357125"/>
      <w:bookmarkStart w:id="2161" w:name="_Toc99769624"/>
      <w:bookmarkStart w:id="2162" w:name="_Toc112746515"/>
      <w:del w:id="2163" w:author="svcMRProcess" w:date="2020-02-19T21:14:00Z">
        <w:r>
          <w:rPr>
            <w:rStyle w:val="CharSectno"/>
          </w:rPr>
          <w:delText>37</w:delText>
        </w:r>
        <w:r>
          <w:delText>.</w:delText>
        </w:r>
        <w:r>
          <w:tab/>
          <w:delText>Section 89 repealed</w:delText>
        </w:r>
        <w:bookmarkEnd w:id="2159"/>
        <w:bookmarkEnd w:id="2160"/>
        <w:bookmarkEnd w:id="2161"/>
        <w:bookmarkEnd w:id="2162"/>
      </w:del>
    </w:p>
    <w:p>
      <w:pPr>
        <w:pStyle w:val="nzSubsection"/>
        <w:rPr>
          <w:del w:id="2164" w:author="svcMRProcess" w:date="2020-02-19T21:14:00Z"/>
        </w:rPr>
      </w:pPr>
      <w:del w:id="2165" w:author="svcMRProcess" w:date="2020-02-19T21:14:00Z">
        <w:r>
          <w:tab/>
        </w:r>
        <w:r>
          <w:tab/>
          <w:delText>Section 89 is repealed.</w:delText>
        </w:r>
      </w:del>
    </w:p>
    <w:p>
      <w:pPr>
        <w:pStyle w:val="nzHeading5"/>
        <w:rPr>
          <w:del w:id="2166" w:author="svcMRProcess" w:date="2020-02-19T21:14:00Z"/>
        </w:rPr>
      </w:pPr>
      <w:bookmarkStart w:id="2167" w:name="_Toc80428043"/>
      <w:bookmarkStart w:id="2168" w:name="_Toc99357126"/>
      <w:bookmarkStart w:id="2169" w:name="_Toc99769625"/>
      <w:bookmarkStart w:id="2170" w:name="_Toc112746516"/>
      <w:del w:id="2171" w:author="svcMRProcess" w:date="2020-02-19T21:14:00Z">
        <w:r>
          <w:rPr>
            <w:rStyle w:val="CharSectno"/>
          </w:rPr>
          <w:delText>38</w:delText>
        </w:r>
        <w:r>
          <w:delText>.</w:delText>
        </w:r>
        <w:r>
          <w:tab/>
          <w:delText>Section 97 amended</w:delText>
        </w:r>
        <w:bookmarkEnd w:id="2167"/>
        <w:bookmarkEnd w:id="2168"/>
        <w:bookmarkEnd w:id="2169"/>
        <w:bookmarkEnd w:id="2170"/>
      </w:del>
    </w:p>
    <w:p>
      <w:pPr>
        <w:pStyle w:val="nzSubsection"/>
        <w:rPr>
          <w:del w:id="2172" w:author="svcMRProcess" w:date="2020-02-19T21:14:00Z"/>
        </w:rPr>
      </w:pPr>
      <w:del w:id="2173" w:author="svcMRProcess" w:date="2020-02-19T21:14:00Z">
        <w:r>
          <w:tab/>
          <w:delText>(1)</w:delText>
        </w:r>
        <w:r>
          <w:tab/>
          <w:delText>Section 97(1) is amended by deleting “and shall secure the safety, health and welfare of persons engaged in those operations in or about the permit area, lease area or licence area”.</w:delText>
        </w:r>
      </w:del>
    </w:p>
    <w:p>
      <w:pPr>
        <w:pStyle w:val="nzSubsection"/>
        <w:rPr>
          <w:del w:id="2174" w:author="svcMRProcess" w:date="2020-02-19T21:14:00Z"/>
        </w:rPr>
      </w:pPr>
      <w:del w:id="2175" w:author="svcMRProcess" w:date="2020-02-19T21:14:00Z">
        <w:r>
          <w:tab/>
          <w:delText>(2)</w:delText>
        </w:r>
        <w:r>
          <w:tab/>
          <w:delText>Section 97(3) is amended by deleting “and shall secure the safety, health and welfare of persons engaged in operations in connection with the pipeline”.</w:delText>
        </w:r>
      </w:del>
    </w:p>
    <w:p>
      <w:pPr>
        <w:pStyle w:val="nzSubsection"/>
        <w:rPr>
          <w:del w:id="2176" w:author="svcMRProcess" w:date="2020-02-19T21:14:00Z"/>
          <w:b/>
          <w:i/>
        </w:rPr>
      </w:pPr>
      <w:del w:id="2177" w:author="svcMRProcess" w:date="2020-02-19T21:14:00Z">
        <w:r>
          <w:tab/>
          <w:delText>(3)</w:delText>
        </w:r>
        <w:r>
          <w:tab/>
          <w:delText>Section 97(5) is amended by deleting “and shall secure the safety, health and welfare of persons engaged in those operations in or about that area”.</w:delText>
        </w:r>
      </w:del>
    </w:p>
    <w:p>
      <w:pPr>
        <w:pStyle w:val="nzHeading5"/>
        <w:rPr>
          <w:del w:id="2178" w:author="svcMRProcess" w:date="2020-02-19T21:14:00Z"/>
        </w:rPr>
      </w:pPr>
      <w:bookmarkStart w:id="2179" w:name="_Toc80428047"/>
      <w:bookmarkStart w:id="2180" w:name="_Toc99357127"/>
      <w:bookmarkStart w:id="2181" w:name="_Toc99769626"/>
      <w:bookmarkStart w:id="2182" w:name="_Toc112746517"/>
      <w:del w:id="2183" w:author="svcMRProcess" w:date="2020-02-19T21:14:00Z">
        <w:r>
          <w:rPr>
            <w:rStyle w:val="CharSectno"/>
          </w:rPr>
          <w:delText>39</w:delText>
        </w:r>
        <w:r>
          <w:delText>.</w:delText>
        </w:r>
        <w:r>
          <w:tab/>
          <w:delText>Section 124B inserted</w:delText>
        </w:r>
        <w:bookmarkEnd w:id="2179"/>
        <w:bookmarkEnd w:id="2180"/>
        <w:bookmarkEnd w:id="2181"/>
        <w:bookmarkEnd w:id="2182"/>
      </w:del>
    </w:p>
    <w:p>
      <w:pPr>
        <w:pStyle w:val="nzSubsection"/>
        <w:rPr>
          <w:del w:id="2184" w:author="svcMRProcess" w:date="2020-02-19T21:14:00Z"/>
        </w:rPr>
      </w:pPr>
      <w:del w:id="2185" w:author="svcMRProcess" w:date="2020-02-19T21:14:00Z">
        <w:r>
          <w:tab/>
        </w:r>
        <w:r>
          <w:tab/>
          <w:delText xml:space="preserve">After section 124A the following section is inserted — </w:delText>
        </w:r>
      </w:del>
    </w:p>
    <w:p>
      <w:pPr>
        <w:pStyle w:val="MiscOpen"/>
        <w:rPr>
          <w:del w:id="2186" w:author="svcMRProcess" w:date="2020-02-19T21:14:00Z"/>
        </w:rPr>
      </w:pPr>
      <w:del w:id="2187" w:author="svcMRProcess" w:date="2020-02-19T21:14:00Z">
        <w:r>
          <w:delText xml:space="preserve">“    </w:delText>
        </w:r>
      </w:del>
    </w:p>
    <w:p>
      <w:pPr>
        <w:pStyle w:val="nzHeading5"/>
        <w:rPr>
          <w:del w:id="2188" w:author="svcMRProcess" w:date="2020-02-19T21:14:00Z"/>
        </w:rPr>
      </w:pPr>
      <w:del w:id="2189" w:author="svcMRProcess" w:date="2020-02-19T21:14:00Z">
        <w:r>
          <w:delText>124B.</w:delText>
        </w:r>
        <w:r>
          <w:tab/>
          <w:delText>Interfering with offshore petroleum installation or operation</w:delText>
        </w:r>
      </w:del>
    </w:p>
    <w:p>
      <w:pPr>
        <w:pStyle w:val="nzSubsection"/>
        <w:rPr>
          <w:del w:id="2190" w:author="svcMRProcess" w:date="2020-02-19T21:14:00Z"/>
        </w:rPr>
      </w:pPr>
      <w:del w:id="2191" w:author="svcMRProcess" w:date="2020-02-19T21:14:00Z">
        <w:r>
          <w:tab/>
          <w:delText>(1)</w:delText>
        </w:r>
        <w:r>
          <w:tab/>
          <w:delText xml:space="preserve">A person must not intentionally or recklessly — </w:delText>
        </w:r>
      </w:del>
    </w:p>
    <w:p>
      <w:pPr>
        <w:pStyle w:val="nzIndenta"/>
        <w:rPr>
          <w:del w:id="2192" w:author="svcMRProcess" w:date="2020-02-19T21:14:00Z"/>
        </w:rPr>
      </w:pPr>
      <w:del w:id="2193" w:author="svcMRProcess" w:date="2020-02-19T21:14:00Z">
        <w:r>
          <w:tab/>
          <w:delText>(a)</w:delText>
        </w:r>
        <w:r>
          <w:tab/>
          <w:delText>cause damage to, or interfere with, any structure or vessel in the adjacent area that is, or is to be, used in an offshore petroleum operation; or</w:delText>
        </w:r>
      </w:del>
    </w:p>
    <w:p>
      <w:pPr>
        <w:pStyle w:val="nzIndenta"/>
        <w:rPr>
          <w:del w:id="2194" w:author="svcMRProcess" w:date="2020-02-19T21:14:00Z"/>
        </w:rPr>
      </w:pPr>
      <w:del w:id="2195" w:author="svcMRProcess" w:date="2020-02-19T21:14:00Z">
        <w:r>
          <w:tab/>
          <w:delText>(b)</w:delText>
        </w:r>
        <w:r>
          <w:tab/>
          <w:delText>interfere with any offshore petroleum operation.</w:delText>
        </w:r>
      </w:del>
    </w:p>
    <w:p>
      <w:pPr>
        <w:pStyle w:val="nzPenstart"/>
        <w:rPr>
          <w:del w:id="2196" w:author="svcMRProcess" w:date="2020-02-19T21:14:00Z"/>
        </w:rPr>
      </w:pPr>
      <w:del w:id="2197" w:author="svcMRProcess" w:date="2020-02-19T21:14:00Z">
        <w:r>
          <w:tab/>
          <w:delText>Penalty:</w:delText>
        </w:r>
        <w:r>
          <w:tab/>
          <w:delText>imprisonment for 10 years.</w:delText>
        </w:r>
      </w:del>
    </w:p>
    <w:p>
      <w:pPr>
        <w:pStyle w:val="nzSubsection"/>
        <w:rPr>
          <w:del w:id="2198" w:author="svcMRProcess" w:date="2020-02-19T21:14:00Z"/>
        </w:rPr>
      </w:pPr>
      <w:del w:id="2199" w:author="svcMRProcess" w:date="2020-02-19T21:14:00Z">
        <w:r>
          <w:tab/>
          <w:delText>(2)</w:delText>
        </w:r>
        <w:r>
          <w:tab/>
          <w:delText xml:space="preserve">In this section — </w:delText>
        </w:r>
      </w:del>
    </w:p>
    <w:p>
      <w:pPr>
        <w:pStyle w:val="nzDefstart"/>
        <w:rPr>
          <w:del w:id="2200" w:author="svcMRProcess" w:date="2020-02-19T21:14:00Z"/>
        </w:rPr>
      </w:pPr>
      <w:del w:id="2201" w:author="svcMRProcess" w:date="2020-02-19T21:14:00Z">
        <w:r>
          <w:rPr>
            <w:b/>
          </w:rPr>
          <w:tab/>
          <w:delText>“</w:delText>
        </w:r>
        <w:r>
          <w:rPr>
            <w:rStyle w:val="CharDefText"/>
          </w:rPr>
          <w:delText>structure</w:delText>
        </w:r>
        <w:r>
          <w:rPr>
            <w:b/>
          </w:rPr>
          <w:delText>”</w:delText>
        </w:r>
        <w:r>
          <w:delText xml:space="preserve"> means any fixed, moveable or floating structure or installation and includes a pipeline, pumping station, tank station and valve station.</w:delText>
        </w:r>
      </w:del>
    </w:p>
    <w:p>
      <w:pPr>
        <w:pStyle w:val="MiscClose"/>
        <w:ind w:right="575"/>
        <w:rPr>
          <w:del w:id="2202" w:author="svcMRProcess" w:date="2020-02-19T21:14:00Z"/>
        </w:rPr>
      </w:pPr>
      <w:del w:id="2203" w:author="svcMRProcess" w:date="2020-02-19T21:14:00Z">
        <w:r>
          <w:delText xml:space="preserve">    ”.</w:delText>
        </w:r>
      </w:del>
    </w:p>
    <w:p>
      <w:pPr>
        <w:pStyle w:val="nzHeading5"/>
        <w:rPr>
          <w:del w:id="2204" w:author="svcMRProcess" w:date="2020-02-19T21:14:00Z"/>
        </w:rPr>
      </w:pPr>
      <w:bookmarkStart w:id="2205" w:name="_Toc80428048"/>
      <w:bookmarkStart w:id="2206" w:name="_Toc99357128"/>
      <w:bookmarkStart w:id="2207" w:name="_Toc99769627"/>
      <w:bookmarkStart w:id="2208" w:name="_Toc112746518"/>
      <w:del w:id="2209" w:author="svcMRProcess" w:date="2020-02-19T21:14:00Z">
        <w:r>
          <w:rPr>
            <w:rStyle w:val="CharSectno"/>
          </w:rPr>
          <w:delText>40</w:delText>
        </w:r>
        <w:r>
          <w:delText>.</w:delText>
        </w:r>
        <w:r>
          <w:tab/>
          <w:delText>Section 125 amended</w:delText>
        </w:r>
        <w:bookmarkEnd w:id="2205"/>
        <w:bookmarkEnd w:id="2206"/>
        <w:bookmarkEnd w:id="2207"/>
        <w:bookmarkEnd w:id="2208"/>
      </w:del>
    </w:p>
    <w:p>
      <w:pPr>
        <w:pStyle w:val="nzSubsection"/>
        <w:rPr>
          <w:del w:id="2210" w:author="svcMRProcess" w:date="2020-02-19T21:14:00Z"/>
        </w:rPr>
      </w:pPr>
      <w:del w:id="2211" w:author="svcMRProcess" w:date="2020-02-19T21:14:00Z">
        <w:r>
          <w:tab/>
          <w:delText>(1)</w:delText>
        </w:r>
        <w:r>
          <w:tab/>
          <w:delText xml:space="preserve">Section 125(1) is amended by deleting “public service officer within the meaning of the </w:delText>
        </w:r>
        <w:r>
          <w:rPr>
            <w:i/>
          </w:rPr>
          <w:delText>Public Sector Management Act 1994</w:delText>
        </w:r>
        <w:r>
          <w:delText xml:space="preserve"> to be an inspector for the purposes of this Act and the regulations.” and inserting instead — </w:delText>
        </w:r>
      </w:del>
    </w:p>
    <w:p>
      <w:pPr>
        <w:pStyle w:val="MiscOpen"/>
        <w:ind w:left="880"/>
        <w:rPr>
          <w:del w:id="2212" w:author="svcMRProcess" w:date="2020-02-19T21:14:00Z"/>
        </w:rPr>
      </w:pPr>
      <w:del w:id="2213" w:author="svcMRProcess" w:date="2020-02-19T21:14:00Z">
        <w:r>
          <w:delText xml:space="preserve">“    </w:delText>
        </w:r>
      </w:del>
    </w:p>
    <w:p>
      <w:pPr>
        <w:pStyle w:val="nzSubsection"/>
        <w:rPr>
          <w:del w:id="2214" w:author="svcMRProcess" w:date="2020-02-19T21:14:00Z"/>
        </w:rPr>
      </w:pPr>
      <w:del w:id="2215" w:author="svcMRProcess" w:date="2020-02-19T21:14:00Z">
        <w:r>
          <w:tab/>
        </w:r>
        <w:r>
          <w:tab/>
          <w:delText>person to be an inspector for such or all of the purposes of this Act except Part IIIA as are specified in the instrument of appointment.</w:delText>
        </w:r>
      </w:del>
    </w:p>
    <w:p>
      <w:pPr>
        <w:pStyle w:val="MiscClose"/>
        <w:ind w:right="575"/>
        <w:rPr>
          <w:del w:id="2216" w:author="svcMRProcess" w:date="2020-02-19T21:14:00Z"/>
        </w:rPr>
      </w:pPr>
      <w:del w:id="2217" w:author="svcMRProcess" w:date="2020-02-19T21:14:00Z">
        <w:r>
          <w:delText xml:space="preserve">    ”.</w:delText>
        </w:r>
      </w:del>
    </w:p>
    <w:p>
      <w:pPr>
        <w:pStyle w:val="nzSubsection"/>
        <w:rPr>
          <w:del w:id="2218" w:author="svcMRProcess" w:date="2020-02-19T21:14:00Z"/>
        </w:rPr>
      </w:pPr>
      <w:del w:id="2219" w:author="svcMRProcess" w:date="2020-02-19T21:14:00Z">
        <w:r>
          <w:tab/>
          <w:delText>(2)</w:delText>
        </w:r>
        <w:r>
          <w:tab/>
          <w:delText xml:space="preserve">Section 125(2) is amended by deleting “he is an inspector for the purposes of this Act and the regulations.” and inserting instead — </w:delText>
        </w:r>
      </w:del>
    </w:p>
    <w:p>
      <w:pPr>
        <w:pStyle w:val="MiscOpen"/>
        <w:ind w:left="880"/>
        <w:rPr>
          <w:del w:id="2220" w:author="svcMRProcess" w:date="2020-02-19T21:14:00Z"/>
        </w:rPr>
      </w:pPr>
      <w:del w:id="2221" w:author="svcMRProcess" w:date="2020-02-19T21:14:00Z">
        <w:r>
          <w:delText xml:space="preserve">“    </w:delText>
        </w:r>
      </w:del>
    </w:p>
    <w:p>
      <w:pPr>
        <w:pStyle w:val="nzSubsection"/>
        <w:rPr>
          <w:del w:id="2222" w:author="svcMRProcess" w:date="2020-02-19T21:14:00Z"/>
        </w:rPr>
      </w:pPr>
      <w:del w:id="2223" w:author="svcMRProcess" w:date="2020-02-19T21:14:00Z">
        <w:r>
          <w:tab/>
        </w:r>
        <w:r>
          <w:tab/>
          <w:delText>the person is an inspector for the purposes specified in the certificate.</w:delText>
        </w:r>
      </w:del>
    </w:p>
    <w:p>
      <w:pPr>
        <w:pStyle w:val="MiscClose"/>
        <w:ind w:right="575"/>
        <w:rPr>
          <w:del w:id="2224" w:author="svcMRProcess" w:date="2020-02-19T21:14:00Z"/>
        </w:rPr>
      </w:pPr>
      <w:del w:id="2225" w:author="svcMRProcess" w:date="2020-02-19T21:14:00Z">
        <w:r>
          <w:delText xml:space="preserve">    ”.</w:delText>
        </w:r>
      </w:del>
    </w:p>
    <w:p>
      <w:pPr>
        <w:pStyle w:val="nzHeading5"/>
        <w:rPr>
          <w:del w:id="2226" w:author="svcMRProcess" w:date="2020-02-19T21:14:00Z"/>
        </w:rPr>
      </w:pPr>
      <w:bookmarkStart w:id="2227" w:name="_Toc80428049"/>
      <w:bookmarkStart w:id="2228" w:name="_Toc99357129"/>
      <w:bookmarkStart w:id="2229" w:name="_Toc99769628"/>
      <w:bookmarkStart w:id="2230" w:name="_Toc112746519"/>
      <w:del w:id="2231" w:author="svcMRProcess" w:date="2020-02-19T21:14:00Z">
        <w:r>
          <w:rPr>
            <w:rStyle w:val="CharSectno"/>
          </w:rPr>
          <w:delText>41</w:delText>
        </w:r>
        <w:r>
          <w:delText>.</w:delText>
        </w:r>
        <w:r>
          <w:tab/>
          <w:delText>Section 126 amended</w:delText>
        </w:r>
        <w:bookmarkEnd w:id="2227"/>
        <w:bookmarkEnd w:id="2228"/>
        <w:bookmarkEnd w:id="2229"/>
        <w:bookmarkEnd w:id="2230"/>
      </w:del>
    </w:p>
    <w:p>
      <w:pPr>
        <w:pStyle w:val="nzSubsection"/>
        <w:rPr>
          <w:del w:id="2232" w:author="svcMRProcess" w:date="2020-02-19T21:14:00Z"/>
        </w:rPr>
      </w:pPr>
      <w:del w:id="2233" w:author="svcMRProcess" w:date="2020-02-19T21:14:00Z">
        <w:r>
          <w:tab/>
        </w:r>
        <w:r>
          <w:tab/>
          <w:delText xml:space="preserve">Section 126(1) is amended by deleting “and the regulations,” and inserting instead — </w:delText>
        </w:r>
      </w:del>
    </w:p>
    <w:p>
      <w:pPr>
        <w:pStyle w:val="nzSubsection"/>
        <w:rPr>
          <w:del w:id="2234" w:author="svcMRProcess" w:date="2020-02-19T21:14:00Z"/>
        </w:rPr>
      </w:pPr>
      <w:del w:id="2235" w:author="svcMRProcess" w:date="2020-02-19T21:14:00Z">
        <w:r>
          <w:tab/>
        </w:r>
        <w:r>
          <w:tab/>
          <w:delText>“    other than Part IIIA,    ”.</w:delText>
        </w:r>
      </w:del>
    </w:p>
    <w:p>
      <w:pPr>
        <w:pStyle w:val="nzHeading5"/>
        <w:rPr>
          <w:del w:id="2236" w:author="svcMRProcess" w:date="2020-02-19T21:14:00Z"/>
        </w:rPr>
      </w:pPr>
      <w:bookmarkStart w:id="2237" w:name="_Toc80428050"/>
      <w:bookmarkStart w:id="2238" w:name="_Toc99357130"/>
      <w:bookmarkStart w:id="2239" w:name="_Toc99769629"/>
      <w:bookmarkStart w:id="2240" w:name="_Toc112746520"/>
      <w:del w:id="2241" w:author="svcMRProcess" w:date="2020-02-19T21:14:00Z">
        <w:r>
          <w:rPr>
            <w:rStyle w:val="CharSectno"/>
          </w:rPr>
          <w:delText>42</w:delText>
        </w:r>
        <w:r>
          <w:delText>.</w:delText>
        </w:r>
        <w:r>
          <w:tab/>
          <w:delText>Section 126A inserted</w:delText>
        </w:r>
        <w:bookmarkEnd w:id="2237"/>
        <w:bookmarkEnd w:id="2238"/>
        <w:bookmarkEnd w:id="2239"/>
        <w:bookmarkEnd w:id="2240"/>
      </w:del>
    </w:p>
    <w:p>
      <w:pPr>
        <w:pStyle w:val="nzSubsection"/>
        <w:rPr>
          <w:del w:id="2242" w:author="svcMRProcess" w:date="2020-02-19T21:14:00Z"/>
        </w:rPr>
      </w:pPr>
      <w:del w:id="2243" w:author="svcMRProcess" w:date="2020-02-19T21:14:00Z">
        <w:r>
          <w:tab/>
        </w:r>
        <w:r>
          <w:tab/>
          <w:delText xml:space="preserve">After section 126 the following section is inserted — </w:delText>
        </w:r>
      </w:del>
    </w:p>
    <w:p>
      <w:pPr>
        <w:pStyle w:val="MiscOpen"/>
        <w:rPr>
          <w:del w:id="2244" w:author="svcMRProcess" w:date="2020-02-19T21:14:00Z"/>
        </w:rPr>
      </w:pPr>
      <w:del w:id="2245" w:author="svcMRProcess" w:date="2020-02-19T21:14:00Z">
        <w:r>
          <w:delText xml:space="preserve">“    </w:delText>
        </w:r>
      </w:del>
    </w:p>
    <w:p>
      <w:pPr>
        <w:pStyle w:val="nzHeading5"/>
        <w:rPr>
          <w:del w:id="2246" w:author="svcMRProcess" w:date="2020-02-19T21:14:00Z"/>
        </w:rPr>
      </w:pPr>
      <w:del w:id="2247" w:author="svcMRProcess" w:date="2020-02-19T21:14:00Z">
        <w:r>
          <w:delText>126A.</w:delText>
        </w:r>
        <w:r>
          <w:tab/>
          <w:delText>Protection from liability for wrongdoing</w:delText>
        </w:r>
      </w:del>
    </w:p>
    <w:p>
      <w:pPr>
        <w:pStyle w:val="nzSubsection"/>
        <w:rPr>
          <w:del w:id="2248" w:author="svcMRProcess" w:date="2020-02-19T21:14:00Z"/>
        </w:rPr>
      </w:pPr>
      <w:del w:id="2249" w:author="svcMRProcess" w:date="2020-02-19T21:14:00Z">
        <w:r>
          <w:tab/>
          <w:delText>(1)</w:delText>
        </w:r>
        <w:r>
          <w:tab/>
          <w:delText>An action in tort does not lie against a person for anything that the person has done, in good faith, in the performance or purported performance of a function under this Act.</w:delText>
        </w:r>
      </w:del>
    </w:p>
    <w:p>
      <w:pPr>
        <w:pStyle w:val="nzSubsection"/>
        <w:rPr>
          <w:del w:id="2250" w:author="svcMRProcess" w:date="2020-02-19T21:14:00Z"/>
        </w:rPr>
      </w:pPr>
      <w:del w:id="2251" w:author="svcMRProcess" w:date="2020-02-19T21:14:00Z">
        <w:r>
          <w:tab/>
          <w:delText>(2)</w:delText>
        </w:r>
        <w:r>
          <w:tab/>
          <w:delText>The protection given by subsection (1) applies even though the thing done as described in that subsection may have been capable of being done whether or not this Act had been enacted.</w:delText>
        </w:r>
      </w:del>
    </w:p>
    <w:p>
      <w:pPr>
        <w:pStyle w:val="nzSubsection"/>
        <w:rPr>
          <w:del w:id="2252" w:author="svcMRProcess" w:date="2020-02-19T21:14:00Z"/>
        </w:rPr>
      </w:pPr>
      <w:del w:id="2253" w:author="svcMRProcess" w:date="2020-02-19T21:14:00Z">
        <w:r>
          <w:tab/>
          <w:delText>(3)</w:delText>
        </w:r>
        <w:r>
          <w:tab/>
          <w:delText>Despite subsection (1), the State is not relieved of any liability that it might have for another person having done anything as described in that subsection.</w:delText>
        </w:r>
      </w:del>
    </w:p>
    <w:p>
      <w:pPr>
        <w:pStyle w:val="nzSubsection"/>
        <w:rPr>
          <w:del w:id="2254" w:author="svcMRProcess" w:date="2020-02-19T21:14:00Z"/>
          <w:b/>
          <w:i/>
        </w:rPr>
      </w:pPr>
      <w:del w:id="2255" w:author="svcMRProcess" w:date="2020-02-19T21:14:00Z">
        <w:r>
          <w:tab/>
          <w:delText>(4)</w:delText>
        </w:r>
        <w:r>
          <w:tab/>
          <w:delText>In this section a reference to the doing of anything includes a reference to the omission to do anything.</w:delText>
        </w:r>
      </w:del>
    </w:p>
    <w:p>
      <w:pPr>
        <w:pStyle w:val="MiscClose"/>
        <w:ind w:right="575"/>
        <w:rPr>
          <w:del w:id="2256" w:author="svcMRProcess" w:date="2020-02-19T21:14:00Z"/>
        </w:rPr>
      </w:pPr>
      <w:del w:id="2257" w:author="svcMRProcess" w:date="2020-02-19T21:14:00Z">
        <w:r>
          <w:delText xml:space="preserve">    ”.</w:delText>
        </w:r>
      </w:del>
    </w:p>
    <w:p>
      <w:pPr>
        <w:pStyle w:val="nzHeading5"/>
        <w:rPr>
          <w:del w:id="2258" w:author="svcMRProcess" w:date="2020-02-19T21:14:00Z"/>
        </w:rPr>
      </w:pPr>
      <w:bookmarkStart w:id="2259" w:name="_Toc80428051"/>
      <w:bookmarkStart w:id="2260" w:name="_Toc99357131"/>
      <w:bookmarkStart w:id="2261" w:name="_Toc99769630"/>
      <w:bookmarkStart w:id="2262" w:name="_Toc112746521"/>
      <w:del w:id="2263" w:author="svcMRProcess" w:date="2020-02-19T21:14:00Z">
        <w:r>
          <w:rPr>
            <w:rStyle w:val="CharSectno"/>
          </w:rPr>
          <w:delText>43</w:delText>
        </w:r>
        <w:r>
          <w:delText>.</w:delText>
        </w:r>
        <w:r>
          <w:tab/>
          <w:delText>Section 137A inserted</w:delText>
        </w:r>
        <w:bookmarkEnd w:id="2259"/>
        <w:bookmarkEnd w:id="2260"/>
        <w:bookmarkEnd w:id="2261"/>
        <w:bookmarkEnd w:id="2262"/>
      </w:del>
    </w:p>
    <w:p>
      <w:pPr>
        <w:pStyle w:val="nzSubsection"/>
        <w:rPr>
          <w:del w:id="2264" w:author="svcMRProcess" w:date="2020-02-19T21:14:00Z"/>
        </w:rPr>
      </w:pPr>
      <w:del w:id="2265" w:author="svcMRProcess" w:date="2020-02-19T21:14:00Z">
        <w:r>
          <w:tab/>
        </w:r>
        <w:r>
          <w:tab/>
          <w:delText xml:space="preserve">After section 137 the following section is inserted — </w:delText>
        </w:r>
      </w:del>
    </w:p>
    <w:p>
      <w:pPr>
        <w:pStyle w:val="MiscOpen"/>
        <w:rPr>
          <w:del w:id="2266" w:author="svcMRProcess" w:date="2020-02-19T21:14:00Z"/>
        </w:rPr>
      </w:pPr>
      <w:del w:id="2267" w:author="svcMRProcess" w:date="2020-02-19T21:14:00Z">
        <w:r>
          <w:delText xml:space="preserve">“    </w:delText>
        </w:r>
      </w:del>
    </w:p>
    <w:p>
      <w:pPr>
        <w:pStyle w:val="nzHeading5"/>
        <w:rPr>
          <w:del w:id="2268" w:author="svcMRProcess" w:date="2020-02-19T21:14:00Z"/>
        </w:rPr>
      </w:pPr>
      <w:del w:id="2269" w:author="svcMRProcess" w:date="2020-02-19T21:14:00Z">
        <w:r>
          <w:delText>137A.</w:delText>
        </w:r>
        <w:r>
          <w:tab/>
          <w:delText>Evidentiary matters</w:delText>
        </w:r>
      </w:del>
    </w:p>
    <w:p>
      <w:pPr>
        <w:pStyle w:val="nzSubsection"/>
        <w:rPr>
          <w:del w:id="2270" w:author="svcMRProcess" w:date="2020-02-19T21:14:00Z"/>
        </w:rPr>
      </w:pPr>
      <w:del w:id="2271" w:author="svcMRProcess" w:date="2020-02-19T21:14:00Z">
        <w:r>
          <w:tab/>
          <w:delText>(1)</w:delText>
        </w:r>
        <w:r>
          <w:tab/>
          <w:delText xml:space="preserve">In a proceeding for an offence against this Act an averment in the complaint that at a particular time — </w:delText>
        </w:r>
      </w:del>
    </w:p>
    <w:p>
      <w:pPr>
        <w:pStyle w:val="nzIndenta"/>
        <w:rPr>
          <w:del w:id="2272" w:author="svcMRProcess" w:date="2020-02-19T21:14:00Z"/>
        </w:rPr>
      </w:pPr>
      <w:del w:id="2273" w:author="svcMRProcess" w:date="2020-02-19T21:14:00Z">
        <w:r>
          <w:tab/>
          <w:delText>(a)</w:delText>
        </w:r>
        <w:r>
          <w:tab/>
          <w:delText>a particular operation was an offshore petroleum operation;</w:delText>
        </w:r>
      </w:del>
    </w:p>
    <w:p>
      <w:pPr>
        <w:pStyle w:val="nzIndenta"/>
        <w:rPr>
          <w:del w:id="2274" w:author="svcMRProcess" w:date="2020-02-19T21:14:00Z"/>
        </w:rPr>
      </w:pPr>
      <w:del w:id="2275" w:author="svcMRProcess" w:date="2020-02-19T21:14:00Z">
        <w:r>
          <w:tab/>
          <w:delText>(b)</w:delText>
        </w:r>
        <w:r>
          <w:tab/>
          <w:delText>a particular vessel or structure was a facility;</w:delText>
        </w:r>
      </w:del>
    </w:p>
    <w:p>
      <w:pPr>
        <w:pStyle w:val="nzIndenta"/>
        <w:rPr>
          <w:del w:id="2276" w:author="svcMRProcess" w:date="2020-02-19T21:14:00Z"/>
        </w:rPr>
      </w:pPr>
      <w:del w:id="2277" w:author="svcMRProcess" w:date="2020-02-19T21:14:00Z">
        <w:r>
          <w:tab/>
          <w:delText>(c)</w:delText>
        </w:r>
        <w:r>
          <w:tab/>
          <w:delText>a particular person was the operator of a facility;</w:delText>
        </w:r>
      </w:del>
    </w:p>
    <w:p>
      <w:pPr>
        <w:pStyle w:val="nzIndenta"/>
        <w:rPr>
          <w:del w:id="2278" w:author="svcMRProcess" w:date="2020-02-19T21:14:00Z"/>
        </w:rPr>
      </w:pPr>
      <w:del w:id="2279" w:author="svcMRProcess" w:date="2020-02-19T21:14:00Z">
        <w:r>
          <w:tab/>
          <w:delText>(d)</w:delText>
        </w:r>
        <w:r>
          <w:tab/>
          <w:delText>a particular person was in control of a particular part of a facility, or of any particular work carried out at a facility;</w:delText>
        </w:r>
      </w:del>
    </w:p>
    <w:p>
      <w:pPr>
        <w:pStyle w:val="nzIndenta"/>
        <w:rPr>
          <w:del w:id="2280" w:author="svcMRProcess" w:date="2020-02-19T21:14:00Z"/>
        </w:rPr>
      </w:pPr>
      <w:del w:id="2281" w:author="svcMRProcess" w:date="2020-02-19T21:14:00Z">
        <w:r>
          <w:tab/>
          <w:delText>(e)</w:delText>
        </w:r>
        <w:r>
          <w:tab/>
          <w:delText>a particular person was an employer who carried on an activity at a facility;</w:delText>
        </w:r>
      </w:del>
    </w:p>
    <w:p>
      <w:pPr>
        <w:pStyle w:val="nzIndenta"/>
        <w:rPr>
          <w:del w:id="2282" w:author="svcMRProcess" w:date="2020-02-19T21:14:00Z"/>
        </w:rPr>
      </w:pPr>
      <w:del w:id="2283" w:author="svcMRProcess" w:date="2020-02-19T21:14:00Z">
        <w:r>
          <w:tab/>
          <w:delText>(f)</w:delText>
        </w:r>
        <w:r>
          <w:tab/>
          <w:delText>a particular person was an employer of a particular person or particular persons who worked at a facility;</w:delText>
        </w:r>
      </w:del>
    </w:p>
    <w:p>
      <w:pPr>
        <w:pStyle w:val="nzIndenta"/>
        <w:rPr>
          <w:del w:id="2284" w:author="svcMRProcess" w:date="2020-02-19T21:14:00Z"/>
        </w:rPr>
      </w:pPr>
      <w:del w:id="2285" w:author="svcMRProcess" w:date="2020-02-19T21:14:00Z">
        <w:r>
          <w:tab/>
          <w:delText>(g)</w:delText>
        </w:r>
        <w:r>
          <w:tab/>
          <w:delText>a particular person was an employee or inspector,</w:delText>
        </w:r>
      </w:del>
    </w:p>
    <w:p>
      <w:pPr>
        <w:pStyle w:val="nzSubsection"/>
        <w:rPr>
          <w:del w:id="2286" w:author="svcMRProcess" w:date="2020-02-19T21:14:00Z"/>
        </w:rPr>
      </w:pPr>
      <w:del w:id="2287" w:author="svcMRProcess" w:date="2020-02-19T21:14:00Z">
        <w:r>
          <w:tab/>
        </w:r>
        <w:r>
          <w:tab/>
          <w:delText>is to be taken to have been proved in the absence of evidence to the contrary.</w:delText>
        </w:r>
      </w:del>
    </w:p>
    <w:p>
      <w:pPr>
        <w:pStyle w:val="nzSubsection"/>
        <w:rPr>
          <w:del w:id="2288" w:author="svcMRProcess" w:date="2020-02-19T21:14:00Z"/>
        </w:rPr>
      </w:pPr>
      <w:del w:id="2289" w:author="svcMRProcess" w:date="2020-02-19T21:14:00Z">
        <w:r>
          <w:tab/>
          <w:delText>(2)</w:delText>
        </w:r>
        <w:r>
          <w:tab/>
          <w:delText xml:space="preserve">In a proceeding for an offence against this Act, proof is not required as to any of the following matters, unless evidence is given to the contrary — </w:delText>
        </w:r>
      </w:del>
    </w:p>
    <w:p>
      <w:pPr>
        <w:pStyle w:val="nzIndenta"/>
        <w:rPr>
          <w:del w:id="2290" w:author="svcMRProcess" w:date="2020-02-19T21:14:00Z"/>
        </w:rPr>
      </w:pPr>
      <w:del w:id="2291" w:author="svcMRProcess" w:date="2020-02-19T21:14:00Z">
        <w:r>
          <w:tab/>
          <w:delText>(a)</w:delText>
        </w:r>
        <w:r>
          <w:tab/>
          <w:delText>a delegation under section 16 by the Minister of a power, function or duty;</w:delText>
        </w:r>
      </w:del>
    </w:p>
    <w:p>
      <w:pPr>
        <w:pStyle w:val="nzIndenta"/>
        <w:rPr>
          <w:del w:id="2292" w:author="svcMRProcess" w:date="2020-02-19T21:14:00Z"/>
        </w:rPr>
      </w:pPr>
      <w:del w:id="2293" w:author="svcMRProcess" w:date="2020-02-19T21:14:00Z">
        <w:r>
          <w:tab/>
          <w:delText>(b)</w:delText>
        </w:r>
        <w:r>
          <w:tab/>
          <w:delText>the authority of any person to institute a proceeding for an offence against this Act other than an offence against a listed OSH law;</w:delText>
        </w:r>
      </w:del>
    </w:p>
    <w:p>
      <w:pPr>
        <w:pStyle w:val="nzIndenta"/>
        <w:rPr>
          <w:del w:id="2294" w:author="svcMRProcess" w:date="2020-02-19T21:14:00Z"/>
        </w:rPr>
      </w:pPr>
      <w:del w:id="2295" w:author="svcMRProcess" w:date="2020-02-19T21:14:00Z">
        <w:r>
          <w:tab/>
          <w:delText>(c)</w:delText>
        </w:r>
        <w:r>
          <w:tab/>
          <w:delText>the authority of the Safety Authority or an inspector to institute a proceeding for an offence against a listed OSH law.</w:delText>
        </w:r>
      </w:del>
    </w:p>
    <w:p>
      <w:pPr>
        <w:pStyle w:val="nzSubsection"/>
        <w:rPr>
          <w:del w:id="2296" w:author="svcMRProcess" w:date="2020-02-19T21:14:00Z"/>
        </w:rPr>
      </w:pPr>
      <w:del w:id="2297" w:author="svcMRProcess" w:date="2020-02-19T21:14:00Z">
        <w:r>
          <w:tab/>
          <w:delText>(3)</w:delText>
        </w:r>
        <w:r>
          <w:tab/>
          <w:delText xml:space="preserve">In a proceeding for an offence against this Act, production of a copy of — </w:delText>
        </w:r>
      </w:del>
    </w:p>
    <w:p>
      <w:pPr>
        <w:pStyle w:val="nzIndenta"/>
        <w:rPr>
          <w:del w:id="2298" w:author="svcMRProcess" w:date="2020-02-19T21:14:00Z"/>
        </w:rPr>
      </w:pPr>
      <w:del w:id="2299" w:author="svcMRProcess" w:date="2020-02-19T21:14:00Z">
        <w:r>
          <w:tab/>
          <w:delText>(a)</w:delText>
        </w:r>
        <w:r>
          <w:tab/>
          <w:delText>a code of practice;</w:delText>
        </w:r>
      </w:del>
    </w:p>
    <w:p>
      <w:pPr>
        <w:pStyle w:val="nzIndenta"/>
        <w:rPr>
          <w:del w:id="2300" w:author="svcMRProcess" w:date="2020-02-19T21:14:00Z"/>
        </w:rPr>
      </w:pPr>
      <w:del w:id="2301" w:author="svcMRProcess" w:date="2020-02-19T21:14:00Z">
        <w:r>
          <w:tab/>
          <w:delText>(b)</w:delText>
        </w:r>
        <w:r>
          <w:tab/>
          <w:delText>an Australian Standard; or</w:delText>
        </w:r>
      </w:del>
    </w:p>
    <w:p>
      <w:pPr>
        <w:pStyle w:val="nzIndenta"/>
        <w:rPr>
          <w:del w:id="2302" w:author="svcMRProcess" w:date="2020-02-19T21:14:00Z"/>
        </w:rPr>
      </w:pPr>
      <w:del w:id="2303" w:author="svcMRProcess" w:date="2020-02-19T21:14:00Z">
        <w:r>
          <w:tab/>
          <w:delText>(c)</w:delText>
        </w:r>
        <w:r>
          <w:tab/>
          <w:delText>an Australian/New Zealand Standard,</w:delText>
        </w:r>
      </w:del>
    </w:p>
    <w:p>
      <w:pPr>
        <w:pStyle w:val="nzSubsection"/>
        <w:rPr>
          <w:del w:id="2304" w:author="svcMRProcess" w:date="2020-02-19T21:14:00Z"/>
        </w:rPr>
      </w:pPr>
      <w:del w:id="2305" w:author="svcMRProcess" w:date="2020-02-19T21:14:00Z">
        <w:r>
          <w:tab/>
        </w:r>
        <w:r>
          <w:tab/>
          <w:delText>purporting to be certified by the CEO to be a true copy as at any date or during any period is, without proof of the signature of the CEO, sufficient evidence of the contents of the code of practice or Standard as at that date or during that period.</w:delText>
        </w:r>
      </w:del>
    </w:p>
    <w:p>
      <w:pPr>
        <w:pStyle w:val="nzSubsection"/>
        <w:rPr>
          <w:del w:id="2306" w:author="svcMRProcess" w:date="2020-02-19T21:14:00Z"/>
        </w:rPr>
      </w:pPr>
      <w:del w:id="2307" w:author="svcMRProcess" w:date="2020-02-19T21:14:00Z">
        <w:r>
          <w:tab/>
          <w:delText>(4)</w:delText>
        </w:r>
        <w:r>
          <w:tab/>
          <w:delText xml:space="preserve">In subsection (3) — </w:delText>
        </w:r>
      </w:del>
    </w:p>
    <w:p>
      <w:pPr>
        <w:pStyle w:val="nzDefstart"/>
        <w:rPr>
          <w:del w:id="2308" w:author="svcMRProcess" w:date="2020-02-19T21:14:00Z"/>
        </w:rPr>
      </w:pPr>
      <w:del w:id="2309" w:author="svcMRProcess" w:date="2020-02-19T21:14:00Z">
        <w:r>
          <w:rPr>
            <w:b/>
          </w:rPr>
          <w:tab/>
          <w:delText>“</w:delText>
        </w:r>
        <w:r>
          <w:rPr>
            <w:rStyle w:val="CharDefText"/>
          </w:rPr>
          <w:delText>Australian Standard</w:delText>
        </w:r>
        <w:r>
          <w:rPr>
            <w:b/>
          </w:rPr>
          <w:delText>”</w:delText>
        </w:r>
        <w:r>
          <w:delText xml:space="preserve"> means a document having that title published by Standards Australia;</w:delText>
        </w:r>
      </w:del>
    </w:p>
    <w:p>
      <w:pPr>
        <w:pStyle w:val="nzDefstart"/>
        <w:rPr>
          <w:del w:id="2310" w:author="svcMRProcess" w:date="2020-02-19T21:14:00Z"/>
        </w:rPr>
      </w:pPr>
      <w:del w:id="2311" w:author="svcMRProcess" w:date="2020-02-19T21:14:00Z">
        <w:r>
          <w:rPr>
            <w:b/>
          </w:rPr>
          <w:tab/>
          <w:delText>“</w:delText>
        </w:r>
        <w:r>
          <w:rPr>
            <w:rStyle w:val="CharDefText"/>
          </w:rPr>
          <w:delText>Australian/New Zealand Standard</w:delText>
        </w:r>
        <w:r>
          <w:rPr>
            <w:b/>
          </w:rPr>
          <w:delText>”</w:delText>
        </w:r>
        <w:r>
          <w:delText xml:space="preserve"> means a document having that title jointly published by Standards Australia and the Standards Council of New Zealand;</w:delText>
        </w:r>
      </w:del>
    </w:p>
    <w:p>
      <w:pPr>
        <w:pStyle w:val="nzDefstart"/>
        <w:rPr>
          <w:del w:id="2312" w:author="svcMRProcess" w:date="2020-02-19T21:14:00Z"/>
        </w:rPr>
      </w:pPr>
      <w:del w:id="2313" w:author="svcMRProcess" w:date="2020-02-19T21:14:00Z">
        <w:r>
          <w:rPr>
            <w:b/>
          </w:rPr>
          <w:tab/>
          <w:delText>“</w:delText>
        </w:r>
        <w:r>
          <w:rPr>
            <w:rStyle w:val="CharDefText"/>
          </w:rPr>
          <w:delText>CEO</w:delText>
        </w:r>
        <w:r>
          <w:rPr>
            <w:b/>
          </w:rPr>
          <w:delText>”</w:delText>
        </w:r>
        <w:r>
          <w:delText xml:space="preserve"> means the chief executive officer of the department of the Public Service principally assisting in the administration of this Act.</w:delText>
        </w:r>
      </w:del>
    </w:p>
    <w:p>
      <w:pPr>
        <w:pStyle w:val="MiscClose"/>
        <w:ind w:right="575"/>
        <w:rPr>
          <w:del w:id="2314" w:author="svcMRProcess" w:date="2020-02-19T21:14:00Z"/>
        </w:rPr>
      </w:pPr>
      <w:del w:id="2315" w:author="svcMRProcess" w:date="2020-02-19T21:14:00Z">
        <w:r>
          <w:delText xml:space="preserve">    ”.</w:delText>
        </w:r>
      </w:del>
    </w:p>
    <w:p>
      <w:pPr>
        <w:pStyle w:val="nzHeading5"/>
        <w:rPr>
          <w:del w:id="2316" w:author="svcMRProcess" w:date="2020-02-19T21:14:00Z"/>
        </w:rPr>
      </w:pPr>
      <w:bookmarkStart w:id="2317" w:name="_Toc80428052"/>
      <w:bookmarkStart w:id="2318" w:name="_Toc99357132"/>
      <w:bookmarkStart w:id="2319" w:name="_Toc99769631"/>
      <w:bookmarkStart w:id="2320" w:name="_Toc112746522"/>
      <w:del w:id="2321" w:author="svcMRProcess" w:date="2020-02-19T21:14:00Z">
        <w:r>
          <w:rPr>
            <w:rStyle w:val="CharSectno"/>
          </w:rPr>
          <w:delText>44</w:delText>
        </w:r>
        <w:r>
          <w:delText>.</w:delText>
        </w:r>
        <w:r>
          <w:tab/>
          <w:delText>Part IIIA inserted</w:delText>
        </w:r>
        <w:bookmarkEnd w:id="2317"/>
        <w:bookmarkEnd w:id="2318"/>
        <w:bookmarkEnd w:id="2319"/>
        <w:bookmarkEnd w:id="2320"/>
      </w:del>
    </w:p>
    <w:p>
      <w:pPr>
        <w:pStyle w:val="nzSubsection"/>
        <w:rPr>
          <w:del w:id="2322" w:author="svcMRProcess" w:date="2020-02-19T21:14:00Z"/>
        </w:rPr>
      </w:pPr>
      <w:del w:id="2323" w:author="svcMRProcess" w:date="2020-02-19T21:14:00Z">
        <w:r>
          <w:tab/>
        </w:r>
        <w:r>
          <w:tab/>
          <w:delText xml:space="preserve">After section 151 the following Part is inserted — </w:delText>
        </w:r>
      </w:del>
    </w:p>
    <w:p>
      <w:pPr>
        <w:pStyle w:val="MiscOpen"/>
        <w:rPr>
          <w:del w:id="2324" w:author="svcMRProcess" w:date="2020-02-19T21:14:00Z"/>
        </w:rPr>
      </w:pPr>
      <w:del w:id="2325" w:author="svcMRProcess" w:date="2020-02-19T21:14:00Z">
        <w:r>
          <w:delText xml:space="preserve">“    </w:delText>
        </w:r>
      </w:del>
    </w:p>
    <w:p>
      <w:pPr>
        <w:pStyle w:val="nzHeading2"/>
        <w:rPr>
          <w:del w:id="2326" w:author="svcMRProcess" w:date="2020-02-19T21:14:00Z"/>
        </w:rPr>
      </w:pPr>
      <w:bookmarkStart w:id="2327" w:name="_Toc112746398"/>
      <w:bookmarkStart w:id="2328" w:name="_Toc112746523"/>
      <w:del w:id="2329" w:author="svcMRProcess" w:date="2020-02-19T21:14:00Z">
        <w:r>
          <w:delText>Part IIIA</w:delText>
        </w:r>
        <w:r>
          <w:rPr>
            <w:b w:val="0"/>
          </w:rPr>
          <w:delText> </w:delText>
        </w:r>
        <w:r>
          <w:delText>—</w:delText>
        </w:r>
        <w:r>
          <w:rPr>
            <w:b w:val="0"/>
          </w:rPr>
          <w:delText> </w:delText>
        </w:r>
        <w:r>
          <w:delText>Occupational safety and health</w:delText>
        </w:r>
        <w:bookmarkEnd w:id="2327"/>
        <w:bookmarkEnd w:id="2328"/>
      </w:del>
    </w:p>
    <w:p>
      <w:pPr>
        <w:pStyle w:val="nzHeading3"/>
        <w:rPr>
          <w:del w:id="2330" w:author="svcMRProcess" w:date="2020-02-19T21:14:00Z"/>
        </w:rPr>
      </w:pPr>
      <w:bookmarkStart w:id="2331" w:name="_Toc112746399"/>
      <w:bookmarkStart w:id="2332" w:name="_Toc112746524"/>
      <w:del w:id="2333" w:author="svcMRProcess" w:date="2020-02-19T21:14:00Z">
        <w:r>
          <w:delText>Division 1 — Introduction</w:delText>
        </w:r>
        <w:bookmarkEnd w:id="2331"/>
        <w:bookmarkEnd w:id="2332"/>
      </w:del>
    </w:p>
    <w:p>
      <w:pPr>
        <w:pStyle w:val="nzHeading5"/>
        <w:rPr>
          <w:del w:id="2334" w:author="svcMRProcess" w:date="2020-02-19T21:14:00Z"/>
        </w:rPr>
      </w:pPr>
      <w:del w:id="2335" w:author="svcMRProcess" w:date="2020-02-19T21:14:00Z">
        <w:r>
          <w:delText>151A.</w:delText>
        </w:r>
        <w:r>
          <w:tab/>
          <w:delText>Definitions</w:delText>
        </w:r>
      </w:del>
    </w:p>
    <w:p>
      <w:pPr>
        <w:pStyle w:val="nzSubsection"/>
        <w:rPr>
          <w:del w:id="2336" w:author="svcMRProcess" w:date="2020-02-19T21:14:00Z"/>
        </w:rPr>
      </w:pPr>
      <w:del w:id="2337" w:author="svcMRProcess" w:date="2020-02-19T21:14:00Z">
        <w:r>
          <w:tab/>
        </w:r>
        <w:r>
          <w:tab/>
          <w:delText xml:space="preserve">In this Part — </w:delText>
        </w:r>
      </w:del>
    </w:p>
    <w:p>
      <w:pPr>
        <w:pStyle w:val="nzDefstart"/>
        <w:rPr>
          <w:del w:id="2338" w:author="svcMRProcess" w:date="2020-02-19T21:14:00Z"/>
        </w:rPr>
      </w:pPr>
      <w:del w:id="2339" w:author="svcMRProcess" w:date="2020-02-19T21:14:00Z">
        <w:r>
          <w:tab/>
        </w:r>
        <w:r>
          <w:rPr>
            <w:b/>
          </w:rPr>
          <w:delText>“</w:delText>
        </w:r>
        <w:r>
          <w:rPr>
            <w:rStyle w:val="CharDefText"/>
          </w:rPr>
          <w:delText>Board</w:delText>
        </w:r>
        <w:r>
          <w:rPr>
            <w:b/>
          </w:rPr>
          <w:delText>”</w:delText>
        </w:r>
        <w:r>
          <w:delText xml:space="preserve"> means the National Offshore Petroleum Safety Authority Board under the Commonwealth Act;</w:delText>
        </w:r>
      </w:del>
    </w:p>
    <w:p>
      <w:pPr>
        <w:pStyle w:val="nzDefstart"/>
        <w:rPr>
          <w:del w:id="2340" w:author="svcMRProcess" w:date="2020-02-19T21:14:00Z"/>
        </w:rPr>
      </w:pPr>
      <w:del w:id="2341" w:author="svcMRProcess" w:date="2020-02-19T21:14:00Z">
        <w:r>
          <w:rPr>
            <w:b/>
          </w:rPr>
          <w:tab/>
          <w:delText>“</w:delText>
        </w:r>
        <w:r>
          <w:rPr>
            <w:rStyle w:val="CharDefText"/>
          </w:rPr>
          <w:delText>CEO</w:delText>
        </w:r>
        <w:r>
          <w:rPr>
            <w:b/>
          </w:rPr>
          <w:delText>”</w:delText>
        </w:r>
        <w:r>
          <w:delText xml:space="preserve"> means the Chief Executive Officer of the Safety Authority.</w:delText>
        </w:r>
      </w:del>
    </w:p>
    <w:p>
      <w:pPr>
        <w:pStyle w:val="nzHeading5"/>
        <w:rPr>
          <w:del w:id="2342" w:author="svcMRProcess" w:date="2020-02-19T21:14:00Z"/>
        </w:rPr>
      </w:pPr>
      <w:del w:id="2343" w:author="svcMRProcess" w:date="2020-02-19T21:14:00Z">
        <w:r>
          <w:delText>151B.</w:delText>
        </w:r>
        <w:r>
          <w:tab/>
          <w:delText>Occupational safety and health</w:delText>
        </w:r>
      </w:del>
    </w:p>
    <w:p>
      <w:pPr>
        <w:pStyle w:val="nzSubsection"/>
        <w:rPr>
          <w:del w:id="2344" w:author="svcMRProcess" w:date="2020-02-19T21:14:00Z"/>
        </w:rPr>
      </w:pPr>
      <w:del w:id="2345" w:author="svcMRProcess" w:date="2020-02-19T21:14:00Z">
        <w:r>
          <w:tab/>
        </w:r>
        <w:r>
          <w:tab/>
          <w:delText>Schedule 5 has effect.</w:delText>
        </w:r>
      </w:del>
    </w:p>
    <w:p>
      <w:pPr>
        <w:pStyle w:val="nzHeading5"/>
        <w:rPr>
          <w:del w:id="2346" w:author="svcMRProcess" w:date="2020-02-19T21:14:00Z"/>
        </w:rPr>
      </w:pPr>
      <w:del w:id="2347" w:author="svcMRProcess" w:date="2020-02-19T21:14:00Z">
        <w:r>
          <w:delText>151C.</w:delText>
        </w:r>
        <w:r>
          <w:tab/>
          <w:delText>Listed OSH laws</w:delText>
        </w:r>
      </w:del>
    </w:p>
    <w:p>
      <w:pPr>
        <w:pStyle w:val="nzSubsection"/>
        <w:rPr>
          <w:del w:id="2348" w:author="svcMRProcess" w:date="2020-02-19T21:14:00Z"/>
        </w:rPr>
      </w:pPr>
      <w:del w:id="2349" w:author="svcMRProcess" w:date="2020-02-19T21:14:00Z">
        <w:r>
          <w:tab/>
        </w:r>
        <w:r>
          <w:tab/>
          <w:delText xml:space="preserve">For the purposes of this Act — </w:delText>
        </w:r>
      </w:del>
    </w:p>
    <w:p>
      <w:pPr>
        <w:pStyle w:val="nzDefstart"/>
        <w:rPr>
          <w:del w:id="2350" w:author="svcMRProcess" w:date="2020-02-19T21:14:00Z"/>
        </w:rPr>
      </w:pPr>
      <w:del w:id="2351" w:author="svcMRProcess" w:date="2020-02-19T21:14:00Z">
        <w:r>
          <w:rPr>
            <w:b/>
          </w:rPr>
          <w:tab/>
          <w:delText>“</w:delText>
        </w:r>
        <w:r>
          <w:rPr>
            <w:rStyle w:val="CharDefText"/>
          </w:rPr>
          <w:delText>listed OSH law</w:delText>
        </w:r>
        <w:r>
          <w:rPr>
            <w:b/>
          </w:rPr>
          <w:delText>”</w:delText>
        </w:r>
        <w:r>
          <w:delText xml:space="preserve"> means — </w:delText>
        </w:r>
      </w:del>
    </w:p>
    <w:p>
      <w:pPr>
        <w:pStyle w:val="nzDefpara"/>
        <w:rPr>
          <w:del w:id="2352" w:author="svcMRProcess" w:date="2020-02-19T21:14:00Z"/>
        </w:rPr>
      </w:pPr>
      <w:del w:id="2353" w:author="svcMRProcess" w:date="2020-02-19T21:14:00Z">
        <w:r>
          <w:tab/>
          <w:delText>(a)</w:delText>
        </w:r>
        <w:r>
          <w:tab/>
          <w:delText xml:space="preserve">section 124B, to the extent to which that section relates to — </w:delText>
        </w:r>
      </w:del>
    </w:p>
    <w:p>
      <w:pPr>
        <w:pStyle w:val="nzDefsubpara"/>
        <w:rPr>
          <w:del w:id="2354" w:author="svcMRProcess" w:date="2020-02-19T21:14:00Z"/>
        </w:rPr>
      </w:pPr>
      <w:del w:id="2355" w:author="svcMRProcess" w:date="2020-02-19T21:14:00Z">
        <w:r>
          <w:tab/>
          <w:delText>(i)</w:delText>
        </w:r>
        <w:r>
          <w:tab/>
          <w:delText>damage to, or interference with, a facility; or</w:delText>
        </w:r>
      </w:del>
    </w:p>
    <w:p>
      <w:pPr>
        <w:pStyle w:val="nzDefsubpara"/>
        <w:rPr>
          <w:del w:id="2356" w:author="svcMRProcess" w:date="2020-02-19T21:14:00Z"/>
        </w:rPr>
      </w:pPr>
      <w:del w:id="2357" w:author="svcMRProcess" w:date="2020-02-19T21:14:00Z">
        <w:r>
          <w:tab/>
          <w:delText>(ii)</w:delText>
        </w:r>
        <w:r>
          <w:tab/>
          <w:delText>interference with any operation or activity being carried out, or any works being executed, on, by means of, or in connection with, a facility;</w:delText>
        </w:r>
      </w:del>
    </w:p>
    <w:p>
      <w:pPr>
        <w:pStyle w:val="nzDefpara"/>
        <w:rPr>
          <w:del w:id="2358" w:author="svcMRProcess" w:date="2020-02-19T21:14:00Z"/>
          <w:snapToGrid/>
        </w:rPr>
      </w:pPr>
      <w:del w:id="2359" w:author="svcMRProcess" w:date="2020-02-19T21:14:00Z">
        <w:r>
          <w:rPr>
            <w:snapToGrid/>
          </w:rPr>
          <w:tab/>
          <w:delText>(b)</w:delText>
        </w:r>
        <w:r>
          <w:rPr>
            <w:snapToGrid/>
          </w:rPr>
          <w:tab/>
          <w:delText>Schedule 5;</w:delText>
        </w:r>
      </w:del>
    </w:p>
    <w:p>
      <w:pPr>
        <w:pStyle w:val="nzDefpara"/>
        <w:rPr>
          <w:del w:id="2360" w:author="svcMRProcess" w:date="2020-02-19T21:14:00Z"/>
          <w:snapToGrid/>
        </w:rPr>
      </w:pPr>
      <w:del w:id="2361" w:author="svcMRProcess" w:date="2020-02-19T21:14:00Z">
        <w:r>
          <w:rPr>
            <w:snapToGrid/>
          </w:rPr>
          <w:tab/>
          <w:delText>(c)</w:delText>
        </w:r>
        <w:r>
          <w:rPr>
            <w:snapToGrid/>
          </w:rPr>
          <w:tab/>
          <w:delText>a regulation made for the purposes of Schedule 5;</w:delText>
        </w:r>
      </w:del>
    </w:p>
    <w:p>
      <w:pPr>
        <w:pStyle w:val="nzDefpara"/>
        <w:rPr>
          <w:del w:id="2362" w:author="svcMRProcess" w:date="2020-02-19T21:14:00Z"/>
          <w:snapToGrid/>
        </w:rPr>
      </w:pPr>
      <w:del w:id="2363" w:author="svcMRProcess" w:date="2020-02-19T21:14:00Z">
        <w:r>
          <w:rPr>
            <w:snapToGrid/>
          </w:rPr>
          <w:tab/>
          <w:delText>(d)</w:delText>
        </w:r>
        <w:r>
          <w:rPr>
            <w:snapToGrid/>
          </w:rPr>
          <w:tab/>
          <w:delText>a regulation made for the purposes of section 151D; or</w:delText>
        </w:r>
      </w:del>
    </w:p>
    <w:p>
      <w:pPr>
        <w:pStyle w:val="nzDefpara"/>
        <w:rPr>
          <w:del w:id="2364" w:author="svcMRProcess" w:date="2020-02-19T21:14:00Z"/>
          <w:snapToGrid/>
        </w:rPr>
      </w:pPr>
      <w:del w:id="2365" w:author="svcMRProcess" w:date="2020-02-19T21:14:00Z">
        <w:r>
          <w:rPr>
            <w:snapToGrid/>
          </w:rPr>
          <w:tab/>
          <w:delText>(e)</w:delText>
        </w:r>
        <w:r>
          <w:rPr>
            <w:snapToGrid/>
          </w:rPr>
          <w:tab/>
          <w:delText>any other written law relating to occupational safety and health matters that is prescribed for the purposes of this paragraph.</w:delText>
        </w:r>
      </w:del>
    </w:p>
    <w:p>
      <w:pPr>
        <w:pStyle w:val="nzHeading5"/>
        <w:rPr>
          <w:del w:id="2366" w:author="svcMRProcess" w:date="2020-02-19T21:14:00Z"/>
        </w:rPr>
      </w:pPr>
      <w:del w:id="2367" w:author="svcMRProcess" w:date="2020-02-19T21:14:00Z">
        <w:r>
          <w:delText>151D.</w:delText>
        </w:r>
        <w:r>
          <w:tab/>
          <w:delText>Regulations relating to occupational safety and health</w:delText>
        </w:r>
      </w:del>
    </w:p>
    <w:p>
      <w:pPr>
        <w:pStyle w:val="nzSubsection"/>
        <w:rPr>
          <w:del w:id="2368" w:author="svcMRProcess" w:date="2020-02-19T21:14:00Z"/>
        </w:rPr>
      </w:pPr>
      <w:del w:id="2369" w:author="svcMRProcess" w:date="2020-02-19T21:14:00Z">
        <w:r>
          <w:tab/>
          <w:delText>(1)</w:delText>
        </w:r>
        <w:r>
          <w:tab/>
          <w:delText>The regulations may make provision in relation to the occupational safety and health of persons at or near a facility who are under the control of a person who is carrying on an offshore petroleum operation.</w:delText>
        </w:r>
      </w:del>
    </w:p>
    <w:p>
      <w:pPr>
        <w:pStyle w:val="nzSubsection"/>
        <w:rPr>
          <w:del w:id="2370" w:author="svcMRProcess" w:date="2020-02-19T21:14:00Z"/>
        </w:rPr>
      </w:pPr>
      <w:del w:id="2371" w:author="svcMRProcess" w:date="2020-02-19T21:14:00Z">
        <w:r>
          <w:tab/>
          <w:delText>(2)</w:delText>
        </w:r>
        <w:r>
          <w:tab/>
          <w:delText xml:space="preserve">Without limiting subsection (1), regulations for the purpose of that subsection may — </w:delText>
        </w:r>
      </w:del>
    </w:p>
    <w:p>
      <w:pPr>
        <w:pStyle w:val="nzIndenta"/>
        <w:rPr>
          <w:del w:id="2372" w:author="svcMRProcess" w:date="2020-02-19T21:14:00Z"/>
        </w:rPr>
      </w:pPr>
      <w:del w:id="2373" w:author="svcMRProcess" w:date="2020-02-19T21:14:00Z">
        <w:r>
          <w:tab/>
          <w:delText>(a)</w:delText>
        </w:r>
        <w:r>
          <w:tab/>
          <w:delText>require a person who is carrying on an offshore petroleum operation to establish and maintain a system of management to secure the occupational safety and health of persons referred to in that subsection; and</w:delText>
        </w:r>
      </w:del>
    </w:p>
    <w:p>
      <w:pPr>
        <w:pStyle w:val="nzIndenta"/>
        <w:rPr>
          <w:del w:id="2374" w:author="svcMRProcess" w:date="2020-02-19T21:14:00Z"/>
        </w:rPr>
      </w:pPr>
      <w:del w:id="2375" w:author="svcMRProcess" w:date="2020-02-19T21:14:00Z">
        <w:r>
          <w:tab/>
          <w:delText>(b)</w:delText>
        </w:r>
        <w:r>
          <w:tab/>
          <w:delText>specify requirements with which the system must comply.</w:delText>
        </w:r>
      </w:del>
    </w:p>
    <w:p>
      <w:pPr>
        <w:pStyle w:val="nzHeading3"/>
        <w:rPr>
          <w:del w:id="2376" w:author="svcMRProcess" w:date="2020-02-19T21:14:00Z"/>
        </w:rPr>
      </w:pPr>
      <w:bookmarkStart w:id="2377" w:name="_Toc112746400"/>
      <w:bookmarkStart w:id="2378" w:name="_Toc112746525"/>
      <w:del w:id="2379" w:author="svcMRProcess" w:date="2020-02-19T21:14:00Z">
        <w:r>
          <w:delText>Division 2 — Functions and powers of the Safety Authority</w:delText>
        </w:r>
        <w:bookmarkEnd w:id="2377"/>
        <w:bookmarkEnd w:id="2378"/>
      </w:del>
    </w:p>
    <w:p>
      <w:pPr>
        <w:pStyle w:val="nzHeading5"/>
        <w:rPr>
          <w:del w:id="2380" w:author="svcMRProcess" w:date="2020-02-19T21:14:00Z"/>
        </w:rPr>
      </w:pPr>
      <w:del w:id="2381" w:author="svcMRProcess" w:date="2020-02-19T21:14:00Z">
        <w:r>
          <w:delText>151E.</w:delText>
        </w:r>
        <w:r>
          <w:tab/>
          <w:delText>Safety Authority’s functions</w:delText>
        </w:r>
      </w:del>
    </w:p>
    <w:p>
      <w:pPr>
        <w:pStyle w:val="nzSubsection"/>
        <w:rPr>
          <w:del w:id="2382" w:author="svcMRProcess" w:date="2020-02-19T21:14:00Z"/>
        </w:rPr>
      </w:pPr>
      <w:del w:id="2383" w:author="svcMRProcess" w:date="2020-02-19T21:14:00Z">
        <w:r>
          <w:tab/>
        </w:r>
        <w:r>
          <w:tab/>
          <w:delText xml:space="preserve">The Safety Authority has the following functions — </w:delText>
        </w:r>
      </w:del>
    </w:p>
    <w:p>
      <w:pPr>
        <w:pStyle w:val="nzIndenta"/>
        <w:rPr>
          <w:del w:id="2384" w:author="svcMRProcess" w:date="2020-02-19T21:14:00Z"/>
        </w:rPr>
      </w:pPr>
      <w:del w:id="2385" w:author="svcMRProcess" w:date="2020-02-19T21:14:00Z">
        <w:r>
          <w:tab/>
          <w:delText>(a)</w:delText>
        </w:r>
        <w:r>
          <w:tab/>
          <w:delText>the functions conferred on it under this Act in relation to offshore petroleum operations;</w:delText>
        </w:r>
      </w:del>
    </w:p>
    <w:p>
      <w:pPr>
        <w:pStyle w:val="nzIndenta"/>
        <w:rPr>
          <w:del w:id="2386" w:author="svcMRProcess" w:date="2020-02-19T21:14:00Z"/>
        </w:rPr>
      </w:pPr>
      <w:del w:id="2387" w:author="svcMRProcess" w:date="2020-02-19T21:14:00Z">
        <w:r>
          <w:tab/>
          <w:delText>(b)</w:delText>
        </w:r>
        <w:r>
          <w:tab/>
          <w:delText>to promote the occupational safety and health of persons engaged in offshore petroleum operations;</w:delText>
        </w:r>
      </w:del>
    </w:p>
    <w:p>
      <w:pPr>
        <w:pStyle w:val="nzIndenta"/>
        <w:rPr>
          <w:del w:id="2388" w:author="svcMRProcess" w:date="2020-02-19T21:14:00Z"/>
        </w:rPr>
      </w:pPr>
      <w:del w:id="2389" w:author="svcMRProcess" w:date="2020-02-19T21:14:00Z">
        <w:r>
          <w:tab/>
          <w:delText>(c)</w:delText>
        </w:r>
        <w:r>
          <w:tab/>
          <w:delText>to develop and implement effective monitoring and enforcement strategies to secure compliance by persons with their occupational safety and health obligations under this Act;</w:delText>
        </w:r>
      </w:del>
    </w:p>
    <w:p>
      <w:pPr>
        <w:pStyle w:val="nzIndenta"/>
        <w:rPr>
          <w:del w:id="2390" w:author="svcMRProcess" w:date="2020-02-19T21:14:00Z"/>
        </w:rPr>
      </w:pPr>
      <w:del w:id="2391" w:author="svcMRProcess" w:date="2020-02-19T21:14:00Z">
        <w:r>
          <w:tab/>
          <w:delText>(d)</w:delText>
        </w:r>
        <w:r>
          <w:tab/>
          <w:delText xml:space="preserve">to — </w:delText>
        </w:r>
      </w:del>
    </w:p>
    <w:p>
      <w:pPr>
        <w:pStyle w:val="nzIndenti"/>
        <w:rPr>
          <w:del w:id="2392" w:author="svcMRProcess" w:date="2020-02-19T21:14:00Z"/>
        </w:rPr>
      </w:pPr>
      <w:del w:id="2393" w:author="svcMRProcess" w:date="2020-02-19T21:14:00Z">
        <w:r>
          <w:tab/>
          <w:delText>(i)</w:delText>
        </w:r>
        <w:r>
          <w:tab/>
          <w:delText>investigate accidents, occurrences and circumstances that affect, or have the potential to affect, the occupational safety and health of persons engaged in offshore petroleum operations; and</w:delText>
        </w:r>
      </w:del>
    </w:p>
    <w:p>
      <w:pPr>
        <w:pStyle w:val="nzIndenti"/>
        <w:rPr>
          <w:del w:id="2394" w:author="svcMRProcess" w:date="2020-02-19T21:14:00Z"/>
        </w:rPr>
      </w:pPr>
      <w:del w:id="2395" w:author="svcMRProcess" w:date="2020-02-19T21:14:00Z">
        <w:r>
          <w:tab/>
          <w:delText>(ii)</w:delText>
        </w:r>
        <w:r>
          <w:tab/>
          <w:delText>to report, as appropriate, to the Minister, the Commonwealth Minister, and to any responsible interstate Minister, on those investigations;</w:delText>
        </w:r>
      </w:del>
    </w:p>
    <w:p>
      <w:pPr>
        <w:pStyle w:val="nzIndenta"/>
        <w:rPr>
          <w:del w:id="2396" w:author="svcMRProcess" w:date="2020-02-19T21:14:00Z"/>
        </w:rPr>
      </w:pPr>
      <w:del w:id="2397" w:author="svcMRProcess" w:date="2020-02-19T21:14:00Z">
        <w:r>
          <w:tab/>
          <w:delText>(e)</w:delText>
        </w:r>
        <w:r>
          <w:tab/>
          <w:delText>to advise persons, either on its own initiative or on request, on occupational safety and health matters relating to offshore petroleum operations;</w:delText>
        </w:r>
      </w:del>
    </w:p>
    <w:p>
      <w:pPr>
        <w:pStyle w:val="nzIndenta"/>
        <w:rPr>
          <w:del w:id="2398" w:author="svcMRProcess" w:date="2020-02-19T21:14:00Z"/>
        </w:rPr>
      </w:pPr>
      <w:del w:id="2399" w:author="svcMRProcess" w:date="2020-02-19T21:14:00Z">
        <w:r>
          <w:tab/>
          <w:delText>(f)</w:delText>
        </w:r>
        <w:r>
          <w:tab/>
          <w:delText xml:space="preserve">to make reports, including recommendations, to — </w:delText>
        </w:r>
      </w:del>
    </w:p>
    <w:p>
      <w:pPr>
        <w:pStyle w:val="nzIndenti"/>
        <w:rPr>
          <w:del w:id="2400" w:author="svcMRProcess" w:date="2020-02-19T21:14:00Z"/>
        </w:rPr>
      </w:pPr>
      <w:del w:id="2401" w:author="svcMRProcess" w:date="2020-02-19T21:14:00Z">
        <w:r>
          <w:tab/>
          <w:delText>(i)</w:delText>
        </w:r>
        <w:r>
          <w:tab/>
          <w:delText xml:space="preserve">the Minister; </w:delText>
        </w:r>
      </w:del>
    </w:p>
    <w:p>
      <w:pPr>
        <w:pStyle w:val="nzIndenti"/>
        <w:rPr>
          <w:del w:id="2402" w:author="svcMRProcess" w:date="2020-02-19T21:14:00Z"/>
        </w:rPr>
      </w:pPr>
      <w:del w:id="2403" w:author="svcMRProcess" w:date="2020-02-19T21:14:00Z">
        <w:r>
          <w:tab/>
          <w:delText>(ii)</w:delText>
        </w:r>
        <w:r>
          <w:tab/>
          <w:delText>the Commonwealth Minister; and</w:delText>
        </w:r>
      </w:del>
    </w:p>
    <w:p>
      <w:pPr>
        <w:pStyle w:val="nzIndenti"/>
        <w:rPr>
          <w:del w:id="2404" w:author="svcMRProcess" w:date="2020-02-19T21:14:00Z"/>
        </w:rPr>
      </w:pPr>
      <w:del w:id="2405" w:author="svcMRProcess" w:date="2020-02-19T21:14:00Z">
        <w:r>
          <w:tab/>
          <w:delText>(iii)</w:delText>
        </w:r>
        <w:r>
          <w:tab/>
          <w:delText>any responsible interstate Minister,</w:delText>
        </w:r>
      </w:del>
    </w:p>
    <w:p>
      <w:pPr>
        <w:pStyle w:val="nzIndenta"/>
        <w:rPr>
          <w:del w:id="2406" w:author="svcMRProcess" w:date="2020-02-19T21:14:00Z"/>
        </w:rPr>
      </w:pPr>
      <w:del w:id="2407" w:author="svcMRProcess" w:date="2020-02-19T21:14:00Z">
        <w:r>
          <w:tab/>
        </w:r>
        <w:r>
          <w:tab/>
          <w:delText>on issues relating to the occupational safety and health of persons engaged in offshore petroleum operations;</w:delText>
        </w:r>
      </w:del>
    </w:p>
    <w:p>
      <w:pPr>
        <w:pStyle w:val="nzIndenta"/>
        <w:rPr>
          <w:del w:id="2408" w:author="svcMRProcess" w:date="2020-02-19T21:14:00Z"/>
        </w:rPr>
      </w:pPr>
      <w:del w:id="2409" w:author="svcMRProcess" w:date="2020-02-19T21:14:00Z">
        <w:r>
          <w:tab/>
          <w:delText>(g)</w:delText>
        </w:r>
        <w:r>
          <w:tab/>
          <w:delText xml:space="preserve">to cooperate with — </w:delText>
        </w:r>
      </w:del>
    </w:p>
    <w:p>
      <w:pPr>
        <w:pStyle w:val="nzIndenti"/>
        <w:rPr>
          <w:del w:id="2410" w:author="svcMRProcess" w:date="2020-02-19T21:14:00Z"/>
        </w:rPr>
      </w:pPr>
      <w:del w:id="2411" w:author="svcMRProcess" w:date="2020-02-19T21:14:00Z">
        <w:r>
          <w:tab/>
          <w:delText>(i)</w:delText>
        </w:r>
        <w:r>
          <w:tab/>
          <w:delText xml:space="preserve">the Minister and other State agencies having functions relating to offshore petroleum operations; </w:delText>
        </w:r>
      </w:del>
    </w:p>
    <w:p>
      <w:pPr>
        <w:pStyle w:val="nzIndenti"/>
        <w:rPr>
          <w:del w:id="2412" w:author="svcMRProcess" w:date="2020-02-19T21:14:00Z"/>
        </w:rPr>
      </w:pPr>
      <w:del w:id="2413" w:author="svcMRProcess" w:date="2020-02-19T21:14:00Z">
        <w:r>
          <w:tab/>
          <w:delText>(ii)</w:delText>
        </w:r>
        <w:r>
          <w:tab/>
          <w:delText>Commonwealth agencies having functions relating to offshore petroleum operations; and</w:delText>
        </w:r>
      </w:del>
    </w:p>
    <w:p>
      <w:pPr>
        <w:pStyle w:val="nzIndenti"/>
        <w:rPr>
          <w:del w:id="2414" w:author="svcMRProcess" w:date="2020-02-19T21:14:00Z"/>
        </w:rPr>
      </w:pPr>
      <w:del w:id="2415" w:author="svcMRProcess" w:date="2020-02-19T21:14:00Z">
        <w:r>
          <w:tab/>
          <w:delText>(iii)</w:delText>
        </w:r>
        <w:r>
          <w:tab/>
          <w:delText xml:space="preserve">the </w:delText>
        </w:r>
        <w:r>
          <w:rPr>
            <w:snapToGrid w:val="0"/>
          </w:rPr>
          <w:delText>Designated Authorities under the Commonwealth Act in respect of States other than Western Australia and the Northern Territory.</w:delText>
        </w:r>
      </w:del>
    </w:p>
    <w:p>
      <w:pPr>
        <w:pStyle w:val="nzHeading5"/>
        <w:rPr>
          <w:del w:id="2416" w:author="svcMRProcess" w:date="2020-02-19T21:14:00Z"/>
        </w:rPr>
      </w:pPr>
      <w:del w:id="2417" w:author="svcMRProcess" w:date="2020-02-19T21:14:00Z">
        <w:r>
          <w:delText>151F.</w:delText>
        </w:r>
        <w:r>
          <w:tab/>
          <w:delText>Safety Authority’s ordinary powers</w:delText>
        </w:r>
      </w:del>
    </w:p>
    <w:p>
      <w:pPr>
        <w:pStyle w:val="nzSubsection"/>
        <w:rPr>
          <w:del w:id="2418" w:author="svcMRProcess" w:date="2020-02-19T21:14:00Z"/>
        </w:rPr>
      </w:pPr>
      <w:del w:id="2419" w:author="svcMRProcess" w:date="2020-02-19T21:14:00Z">
        <w:r>
          <w:tab/>
          <w:delText>(1)</w:delText>
        </w:r>
        <w:r>
          <w:tab/>
          <w:delText>The Safety Authority has power to do all things necessary or convenient to be done for or in connection with the performance of its functions.</w:delText>
        </w:r>
      </w:del>
    </w:p>
    <w:p>
      <w:pPr>
        <w:pStyle w:val="nzSubsection"/>
        <w:rPr>
          <w:del w:id="2420" w:author="svcMRProcess" w:date="2020-02-19T21:14:00Z"/>
        </w:rPr>
      </w:pPr>
      <w:del w:id="2421" w:author="svcMRProcess" w:date="2020-02-19T21:14:00Z">
        <w:r>
          <w:tab/>
          <w:delText>(2)</w:delText>
        </w:r>
        <w:r>
          <w:tab/>
          <w:delText xml:space="preserve">The Safety Authority’s powers include, but are not limited to, the following powers — </w:delText>
        </w:r>
      </w:del>
    </w:p>
    <w:p>
      <w:pPr>
        <w:pStyle w:val="nzIndenta"/>
        <w:rPr>
          <w:del w:id="2422" w:author="svcMRProcess" w:date="2020-02-19T21:14:00Z"/>
        </w:rPr>
      </w:pPr>
      <w:del w:id="2423" w:author="svcMRProcess" w:date="2020-02-19T21:14:00Z">
        <w:r>
          <w:tab/>
          <w:delText>(a)</w:delText>
        </w:r>
        <w:r>
          <w:tab/>
          <w:delText>the power to acquire, hold and dispose of real and personal property;</w:delText>
        </w:r>
      </w:del>
    </w:p>
    <w:p>
      <w:pPr>
        <w:pStyle w:val="nzIndenta"/>
        <w:rPr>
          <w:del w:id="2424" w:author="svcMRProcess" w:date="2020-02-19T21:14:00Z"/>
        </w:rPr>
      </w:pPr>
      <w:del w:id="2425" w:author="svcMRProcess" w:date="2020-02-19T21:14:00Z">
        <w:r>
          <w:tab/>
          <w:delText>(b)</w:delText>
        </w:r>
        <w:r>
          <w:tab/>
          <w:delText>the power to enter into contracts;</w:delText>
        </w:r>
      </w:del>
    </w:p>
    <w:p>
      <w:pPr>
        <w:pStyle w:val="nzIndenta"/>
        <w:rPr>
          <w:del w:id="2426" w:author="svcMRProcess" w:date="2020-02-19T21:14:00Z"/>
        </w:rPr>
      </w:pPr>
      <w:del w:id="2427" w:author="svcMRProcess" w:date="2020-02-19T21:14:00Z">
        <w:r>
          <w:tab/>
          <w:delText>(c)</w:delText>
        </w:r>
        <w:r>
          <w:tab/>
          <w:delText>the power to lease the whole or any part of any land or building for the purposes of the Safety Authority;</w:delText>
        </w:r>
      </w:del>
    </w:p>
    <w:p>
      <w:pPr>
        <w:pStyle w:val="nzIndenta"/>
        <w:rPr>
          <w:del w:id="2428" w:author="svcMRProcess" w:date="2020-02-19T21:14:00Z"/>
        </w:rPr>
      </w:pPr>
      <w:del w:id="2429" w:author="svcMRProcess" w:date="2020-02-19T21:14:00Z">
        <w:r>
          <w:tab/>
          <w:delText>(d)</w:delText>
        </w:r>
        <w:r>
          <w:tab/>
          <w:delText>the power to occupy, use and control any land or building owned or held under lease by the Commonwealth and made available for the purposes of the Safety Authority;</w:delText>
        </w:r>
      </w:del>
    </w:p>
    <w:p>
      <w:pPr>
        <w:pStyle w:val="nzIndenta"/>
        <w:rPr>
          <w:del w:id="2430" w:author="svcMRProcess" w:date="2020-02-19T21:14:00Z"/>
        </w:rPr>
      </w:pPr>
      <w:del w:id="2431" w:author="svcMRProcess" w:date="2020-02-19T21:14:00Z">
        <w:r>
          <w:tab/>
          <w:delText>(e)</w:delText>
        </w:r>
        <w:r>
          <w:tab/>
          <w:delText>the power to conduct research and development projects and to cooperate with others in such projects;</w:delText>
        </w:r>
      </w:del>
    </w:p>
    <w:p>
      <w:pPr>
        <w:pStyle w:val="nzIndenta"/>
        <w:rPr>
          <w:del w:id="2432" w:author="svcMRProcess" w:date="2020-02-19T21:14:00Z"/>
        </w:rPr>
      </w:pPr>
      <w:del w:id="2433" w:author="svcMRProcess" w:date="2020-02-19T21:14:00Z">
        <w:r>
          <w:tab/>
          <w:delText>(f)</w:delText>
        </w:r>
        <w:r>
          <w:tab/>
          <w:delText>the power to apply for and hold patents and exploit patents;</w:delText>
        </w:r>
      </w:del>
    </w:p>
    <w:p>
      <w:pPr>
        <w:pStyle w:val="nzIndenta"/>
        <w:rPr>
          <w:del w:id="2434" w:author="svcMRProcess" w:date="2020-02-19T21:14:00Z"/>
        </w:rPr>
      </w:pPr>
      <w:del w:id="2435" w:author="svcMRProcess" w:date="2020-02-19T21:14:00Z">
        <w:r>
          <w:tab/>
          <w:delText>(g)</w:delText>
        </w:r>
        <w:r>
          <w:tab/>
          <w:delText>the power to do anything incidental to any of its functions.</w:delText>
        </w:r>
      </w:del>
    </w:p>
    <w:p>
      <w:pPr>
        <w:pStyle w:val="nzHeading5"/>
        <w:rPr>
          <w:del w:id="2436" w:author="svcMRProcess" w:date="2020-02-19T21:14:00Z"/>
        </w:rPr>
      </w:pPr>
      <w:del w:id="2437" w:author="svcMRProcess" w:date="2020-02-19T21:14:00Z">
        <w:r>
          <w:delText>151G.</w:delText>
        </w:r>
        <w:r>
          <w:tab/>
          <w:delText>Judicial notice of seal</w:delText>
        </w:r>
      </w:del>
    </w:p>
    <w:p>
      <w:pPr>
        <w:pStyle w:val="nzSubsection"/>
        <w:rPr>
          <w:del w:id="2438" w:author="svcMRProcess" w:date="2020-02-19T21:14:00Z"/>
        </w:rPr>
      </w:pPr>
      <w:del w:id="2439" w:author="svcMRProcess" w:date="2020-02-19T21:14:00Z">
        <w:r>
          <w:tab/>
        </w:r>
        <w:r>
          <w:tab/>
          <w:delText xml:space="preserve">All courts, judges and persons acting judicially must — </w:delText>
        </w:r>
      </w:del>
    </w:p>
    <w:p>
      <w:pPr>
        <w:pStyle w:val="nzIndenta"/>
        <w:rPr>
          <w:del w:id="2440" w:author="svcMRProcess" w:date="2020-02-19T21:14:00Z"/>
        </w:rPr>
      </w:pPr>
      <w:del w:id="2441" w:author="svcMRProcess" w:date="2020-02-19T21:14:00Z">
        <w:r>
          <w:tab/>
          <w:delText>(a)</w:delText>
        </w:r>
        <w:r>
          <w:tab/>
          <w:delText>take judicial notice of the imprint of the seal of the Safety Authority appearing on a document; and</w:delText>
        </w:r>
      </w:del>
    </w:p>
    <w:p>
      <w:pPr>
        <w:pStyle w:val="nzIndenta"/>
        <w:rPr>
          <w:del w:id="2442" w:author="svcMRProcess" w:date="2020-02-19T21:14:00Z"/>
        </w:rPr>
      </w:pPr>
      <w:del w:id="2443" w:author="svcMRProcess" w:date="2020-02-19T21:14:00Z">
        <w:r>
          <w:tab/>
          <w:delText>(b)</w:delText>
        </w:r>
        <w:r>
          <w:tab/>
          <w:delText>presume that the document was duly sealed.</w:delText>
        </w:r>
      </w:del>
    </w:p>
    <w:p>
      <w:pPr>
        <w:pStyle w:val="nzHeading3"/>
        <w:rPr>
          <w:del w:id="2444" w:author="svcMRProcess" w:date="2020-02-19T21:14:00Z"/>
        </w:rPr>
      </w:pPr>
      <w:bookmarkStart w:id="2445" w:name="_Toc112746401"/>
      <w:bookmarkStart w:id="2446" w:name="_Toc112746526"/>
      <w:del w:id="2447" w:author="svcMRProcess" w:date="2020-02-19T21:14:00Z">
        <w:r>
          <w:delText>Division 3 — Safety Authority Board</w:delText>
        </w:r>
        <w:bookmarkEnd w:id="2445"/>
        <w:bookmarkEnd w:id="2446"/>
      </w:del>
    </w:p>
    <w:p>
      <w:pPr>
        <w:pStyle w:val="nzHeading5"/>
        <w:rPr>
          <w:del w:id="2448" w:author="svcMRProcess" w:date="2020-02-19T21:14:00Z"/>
        </w:rPr>
      </w:pPr>
      <w:del w:id="2449" w:author="svcMRProcess" w:date="2020-02-19T21:14:00Z">
        <w:r>
          <w:delText>151H.</w:delText>
        </w:r>
        <w:r>
          <w:tab/>
          <w:delText>Functions of the Board</w:delText>
        </w:r>
      </w:del>
    </w:p>
    <w:p>
      <w:pPr>
        <w:pStyle w:val="nzSubsection"/>
        <w:rPr>
          <w:del w:id="2450" w:author="svcMRProcess" w:date="2020-02-19T21:14:00Z"/>
        </w:rPr>
      </w:pPr>
      <w:del w:id="2451" w:author="svcMRProcess" w:date="2020-02-19T21:14:00Z">
        <w:r>
          <w:tab/>
          <w:delText>(1)</w:delText>
        </w:r>
        <w:r>
          <w:tab/>
          <w:delText xml:space="preserve">The Board has the following functions — </w:delText>
        </w:r>
      </w:del>
    </w:p>
    <w:p>
      <w:pPr>
        <w:pStyle w:val="nzIndenta"/>
        <w:rPr>
          <w:del w:id="2452" w:author="svcMRProcess" w:date="2020-02-19T21:14:00Z"/>
        </w:rPr>
      </w:pPr>
      <w:del w:id="2453" w:author="svcMRProcess" w:date="2020-02-19T21:14:00Z">
        <w:r>
          <w:tab/>
          <w:delText>(a)</w:delText>
        </w:r>
        <w:r>
          <w:tab/>
          <w:delText>to give advice, and make recommendations, to the CEO about the operational policies and strategies to be followed by the Safety Authority in the performance of its functions;</w:delText>
        </w:r>
      </w:del>
    </w:p>
    <w:p>
      <w:pPr>
        <w:pStyle w:val="nzIndenta"/>
        <w:rPr>
          <w:del w:id="2454" w:author="svcMRProcess" w:date="2020-02-19T21:14:00Z"/>
        </w:rPr>
      </w:pPr>
      <w:del w:id="2455" w:author="svcMRProcess" w:date="2020-02-19T21:14:00Z">
        <w:r>
          <w:tab/>
          <w:delText>(b)</w:delText>
        </w:r>
        <w:r>
          <w:tab/>
          <w:delText xml:space="preserve">to give advice, and make recommendations, to — </w:delText>
        </w:r>
      </w:del>
    </w:p>
    <w:p>
      <w:pPr>
        <w:pStyle w:val="nzIndenti"/>
        <w:rPr>
          <w:del w:id="2456" w:author="svcMRProcess" w:date="2020-02-19T21:14:00Z"/>
        </w:rPr>
      </w:pPr>
      <w:del w:id="2457" w:author="svcMRProcess" w:date="2020-02-19T21:14:00Z">
        <w:r>
          <w:tab/>
          <w:delText>(i)</w:delText>
        </w:r>
        <w:r>
          <w:tab/>
          <w:delText xml:space="preserve">the Minister; </w:delText>
        </w:r>
      </w:del>
    </w:p>
    <w:p>
      <w:pPr>
        <w:pStyle w:val="nzIndenti"/>
        <w:rPr>
          <w:del w:id="2458" w:author="svcMRProcess" w:date="2020-02-19T21:14:00Z"/>
        </w:rPr>
      </w:pPr>
      <w:del w:id="2459" w:author="svcMRProcess" w:date="2020-02-19T21:14:00Z">
        <w:r>
          <w:tab/>
          <w:delText>(ii)</w:delText>
        </w:r>
        <w:r>
          <w:tab/>
          <w:delText xml:space="preserve">the Commonwealth Minister; </w:delText>
        </w:r>
      </w:del>
    </w:p>
    <w:p>
      <w:pPr>
        <w:pStyle w:val="nzIndenti"/>
        <w:rPr>
          <w:del w:id="2460" w:author="svcMRProcess" w:date="2020-02-19T21:14:00Z"/>
        </w:rPr>
      </w:pPr>
      <w:del w:id="2461" w:author="svcMRProcess" w:date="2020-02-19T21:14:00Z">
        <w:r>
          <w:tab/>
          <w:delText>(iii)</w:delText>
        </w:r>
        <w:r>
          <w:tab/>
          <w:delText>interstate Ministers; and</w:delText>
        </w:r>
      </w:del>
    </w:p>
    <w:p>
      <w:pPr>
        <w:pStyle w:val="nzIndenti"/>
        <w:rPr>
          <w:del w:id="2462" w:author="svcMRProcess" w:date="2020-02-19T21:14:00Z"/>
        </w:rPr>
      </w:pPr>
      <w:del w:id="2463" w:author="svcMRProcess" w:date="2020-02-19T21:14:00Z">
        <w:r>
          <w:tab/>
          <w:delText>(iv)</w:delText>
        </w:r>
        <w:r>
          <w:tab/>
          <w:delText>the body known as the Ministerial Council on Mineral and Petroleum Resources,</w:delText>
        </w:r>
      </w:del>
    </w:p>
    <w:p>
      <w:pPr>
        <w:pStyle w:val="nzIndenta"/>
        <w:rPr>
          <w:del w:id="2464" w:author="svcMRProcess" w:date="2020-02-19T21:14:00Z"/>
        </w:rPr>
      </w:pPr>
      <w:del w:id="2465" w:author="svcMRProcess" w:date="2020-02-19T21:14:00Z">
        <w:r>
          <w:tab/>
        </w:r>
        <w:r>
          <w:tab/>
          <w:delText xml:space="preserve">about either or both of the following — </w:delText>
        </w:r>
      </w:del>
    </w:p>
    <w:p>
      <w:pPr>
        <w:pStyle w:val="nzIndenti"/>
        <w:rPr>
          <w:del w:id="2466" w:author="svcMRProcess" w:date="2020-02-19T21:14:00Z"/>
        </w:rPr>
      </w:pPr>
      <w:del w:id="2467" w:author="svcMRProcess" w:date="2020-02-19T21:14:00Z">
        <w:r>
          <w:tab/>
          <w:delText>(v)</w:delText>
        </w:r>
        <w:r>
          <w:tab/>
          <w:delText>policy or strategic matters relating to the occupational safety and health of persons engaged in offshore petroleum operations;</w:delText>
        </w:r>
      </w:del>
    </w:p>
    <w:p>
      <w:pPr>
        <w:pStyle w:val="nzIndenti"/>
        <w:rPr>
          <w:del w:id="2468" w:author="svcMRProcess" w:date="2020-02-19T21:14:00Z"/>
        </w:rPr>
      </w:pPr>
      <w:del w:id="2469" w:author="svcMRProcess" w:date="2020-02-19T21:14:00Z">
        <w:r>
          <w:tab/>
          <w:delText>(vi)</w:delText>
        </w:r>
        <w:r>
          <w:tab/>
          <w:delText>the performance by the Safety Authority of its functions;</w:delText>
        </w:r>
      </w:del>
    </w:p>
    <w:p>
      <w:pPr>
        <w:pStyle w:val="nzIndenta"/>
        <w:rPr>
          <w:del w:id="2470" w:author="svcMRProcess" w:date="2020-02-19T21:14:00Z"/>
        </w:rPr>
      </w:pPr>
      <w:del w:id="2471" w:author="svcMRProcess" w:date="2020-02-19T21:14:00Z">
        <w:r>
          <w:tab/>
          <w:delText>(c)</w:delText>
        </w:r>
        <w:r>
          <w:tab/>
          <w:delText>any other functions specified in a written notice given by the Commonwealth Minister to the Chair of the Board.</w:delText>
        </w:r>
      </w:del>
    </w:p>
    <w:p>
      <w:pPr>
        <w:pStyle w:val="nzSubsection"/>
        <w:rPr>
          <w:del w:id="2472" w:author="svcMRProcess" w:date="2020-02-19T21:14:00Z"/>
        </w:rPr>
      </w:pPr>
      <w:del w:id="2473" w:author="svcMRProcess" w:date="2020-02-19T21:14:00Z">
        <w:r>
          <w:tab/>
          <w:delText>(2)</w:delText>
        </w:r>
        <w:r>
          <w:tab/>
          <w:delText xml:space="preserve">As soon as practicable after the Board gives advice, or makes recommendations, under subsection (1)(b) to — </w:delText>
        </w:r>
      </w:del>
    </w:p>
    <w:p>
      <w:pPr>
        <w:pStyle w:val="nzIndenta"/>
        <w:rPr>
          <w:del w:id="2474" w:author="svcMRProcess" w:date="2020-02-19T21:14:00Z"/>
        </w:rPr>
      </w:pPr>
      <w:del w:id="2475" w:author="svcMRProcess" w:date="2020-02-19T21:14:00Z">
        <w:r>
          <w:tab/>
          <w:delText>(a)</w:delText>
        </w:r>
        <w:r>
          <w:tab/>
          <w:delText xml:space="preserve">the Minister; </w:delText>
        </w:r>
      </w:del>
    </w:p>
    <w:p>
      <w:pPr>
        <w:pStyle w:val="nzIndenta"/>
        <w:rPr>
          <w:del w:id="2476" w:author="svcMRProcess" w:date="2020-02-19T21:14:00Z"/>
        </w:rPr>
      </w:pPr>
      <w:del w:id="2477" w:author="svcMRProcess" w:date="2020-02-19T21:14:00Z">
        <w:r>
          <w:tab/>
          <w:delText>(b)</w:delText>
        </w:r>
        <w:r>
          <w:tab/>
          <w:delText>an interstate Minister; or</w:delText>
        </w:r>
      </w:del>
    </w:p>
    <w:p>
      <w:pPr>
        <w:pStyle w:val="nzIndenta"/>
        <w:rPr>
          <w:del w:id="2478" w:author="svcMRProcess" w:date="2020-02-19T21:14:00Z"/>
        </w:rPr>
      </w:pPr>
      <w:del w:id="2479" w:author="svcMRProcess" w:date="2020-02-19T21:14:00Z">
        <w:r>
          <w:tab/>
          <w:delText>(c)</w:delText>
        </w:r>
        <w:r>
          <w:tab/>
          <w:delText>the body known as the Ministerial Council on Mineral and Petroleum Resources,</w:delText>
        </w:r>
      </w:del>
    </w:p>
    <w:p>
      <w:pPr>
        <w:pStyle w:val="nzSubsection"/>
        <w:rPr>
          <w:del w:id="2480" w:author="svcMRProcess" w:date="2020-02-19T21:14:00Z"/>
        </w:rPr>
      </w:pPr>
      <w:del w:id="2481" w:author="svcMRProcess" w:date="2020-02-19T21:14:00Z">
        <w:r>
          <w:tab/>
        </w:r>
        <w:r>
          <w:tab/>
          <w:delText>the Board must give the Commonwealth Minister a written copy of that advice or those recommendations.</w:delText>
        </w:r>
      </w:del>
    </w:p>
    <w:p>
      <w:pPr>
        <w:pStyle w:val="nzHeading5"/>
        <w:rPr>
          <w:del w:id="2482" w:author="svcMRProcess" w:date="2020-02-19T21:14:00Z"/>
        </w:rPr>
      </w:pPr>
      <w:del w:id="2483" w:author="svcMRProcess" w:date="2020-02-19T21:14:00Z">
        <w:r>
          <w:delText>151I.</w:delText>
        </w:r>
        <w:r>
          <w:tab/>
          <w:delText>Powers of the Board</w:delText>
        </w:r>
      </w:del>
    </w:p>
    <w:p>
      <w:pPr>
        <w:pStyle w:val="nzSubsection"/>
        <w:rPr>
          <w:del w:id="2484" w:author="svcMRProcess" w:date="2020-02-19T21:14:00Z"/>
        </w:rPr>
      </w:pPr>
      <w:del w:id="2485" w:author="svcMRProcess" w:date="2020-02-19T21:14:00Z">
        <w:r>
          <w:tab/>
        </w:r>
        <w:r>
          <w:tab/>
          <w:delText>The Board has power to do all things necessary or convenient to be done for or in connection with the performance of its functions.</w:delText>
        </w:r>
      </w:del>
    </w:p>
    <w:p>
      <w:pPr>
        <w:pStyle w:val="nzHeading5"/>
        <w:rPr>
          <w:del w:id="2486" w:author="svcMRProcess" w:date="2020-02-19T21:14:00Z"/>
        </w:rPr>
      </w:pPr>
      <w:del w:id="2487" w:author="svcMRProcess" w:date="2020-02-19T21:14:00Z">
        <w:r>
          <w:delText>151J.</w:delText>
        </w:r>
        <w:r>
          <w:tab/>
          <w:delText>Validity of decisions</w:delText>
        </w:r>
      </w:del>
    </w:p>
    <w:p>
      <w:pPr>
        <w:pStyle w:val="nzSubsection"/>
        <w:rPr>
          <w:del w:id="2488" w:author="svcMRProcess" w:date="2020-02-19T21:14:00Z"/>
        </w:rPr>
      </w:pPr>
      <w:del w:id="2489" w:author="svcMRProcess" w:date="2020-02-19T21:14:00Z">
        <w:r>
          <w:tab/>
        </w:r>
        <w:r>
          <w:tab/>
          <w:delText>The performance of the functions, or the exercise of the powers, of the Board is not affected only because of there being a vacancy or vacancies in the membership of the Board.</w:delText>
        </w:r>
      </w:del>
    </w:p>
    <w:p>
      <w:pPr>
        <w:pStyle w:val="nzHeading3"/>
        <w:rPr>
          <w:del w:id="2490" w:author="svcMRProcess" w:date="2020-02-19T21:14:00Z"/>
        </w:rPr>
      </w:pPr>
      <w:bookmarkStart w:id="2491" w:name="_Toc112746402"/>
      <w:bookmarkStart w:id="2492" w:name="_Toc112746527"/>
      <w:del w:id="2493" w:author="svcMRProcess" w:date="2020-02-19T21:14:00Z">
        <w:r>
          <w:delText>Division 4 — Chief Executive Officer and staff of the Safety Authority</w:delText>
        </w:r>
        <w:bookmarkEnd w:id="2491"/>
        <w:bookmarkEnd w:id="2492"/>
      </w:del>
    </w:p>
    <w:p>
      <w:pPr>
        <w:pStyle w:val="nzHeading5"/>
        <w:rPr>
          <w:del w:id="2494" w:author="svcMRProcess" w:date="2020-02-19T21:14:00Z"/>
        </w:rPr>
      </w:pPr>
      <w:del w:id="2495" w:author="svcMRProcess" w:date="2020-02-19T21:14:00Z">
        <w:r>
          <w:delText>151K.</w:delText>
        </w:r>
        <w:r>
          <w:tab/>
          <w:delText>CEO acts for Safety Authority</w:delText>
        </w:r>
      </w:del>
    </w:p>
    <w:p>
      <w:pPr>
        <w:pStyle w:val="nzSubsection"/>
        <w:rPr>
          <w:del w:id="2496" w:author="svcMRProcess" w:date="2020-02-19T21:14:00Z"/>
        </w:rPr>
      </w:pPr>
      <w:del w:id="2497" w:author="svcMRProcess" w:date="2020-02-19T21:14:00Z">
        <w:r>
          <w:tab/>
        </w:r>
        <w:r>
          <w:tab/>
          <w:delText>Anything done by the CEO in the name of the Safety Authority or on the Safety Authority’s behalf is taken to have been done by the Safety Authority.</w:delText>
        </w:r>
      </w:del>
    </w:p>
    <w:p>
      <w:pPr>
        <w:pStyle w:val="nzHeading5"/>
        <w:rPr>
          <w:del w:id="2498" w:author="svcMRProcess" w:date="2020-02-19T21:14:00Z"/>
        </w:rPr>
      </w:pPr>
      <w:del w:id="2499" w:author="svcMRProcess" w:date="2020-02-19T21:14:00Z">
        <w:r>
          <w:delText>151L.</w:delText>
        </w:r>
        <w:r>
          <w:tab/>
          <w:delText>Working with the Board</w:delText>
        </w:r>
      </w:del>
    </w:p>
    <w:p>
      <w:pPr>
        <w:pStyle w:val="nzSubsection"/>
        <w:rPr>
          <w:del w:id="2500" w:author="svcMRProcess" w:date="2020-02-19T21:14:00Z"/>
        </w:rPr>
      </w:pPr>
      <w:del w:id="2501" w:author="svcMRProcess" w:date="2020-02-19T21:14:00Z">
        <w:r>
          <w:tab/>
          <w:delText>(1)</w:delText>
        </w:r>
        <w:r>
          <w:tab/>
          <w:delText>The CEO must request the Board’s advice on strategic matters relating to the performance of the Safety Authority’s functions.</w:delText>
        </w:r>
      </w:del>
    </w:p>
    <w:p>
      <w:pPr>
        <w:pStyle w:val="nzSubsection"/>
        <w:rPr>
          <w:del w:id="2502" w:author="svcMRProcess" w:date="2020-02-19T21:14:00Z"/>
        </w:rPr>
      </w:pPr>
      <w:del w:id="2503" w:author="svcMRProcess" w:date="2020-02-19T21:14:00Z">
        <w:r>
          <w:tab/>
          <w:delText>(2)</w:delText>
        </w:r>
        <w:r>
          <w:tab/>
          <w:delText>The CEO must have regard to the advice given to him or her by the Board (whether or not the advice was given in response to a request).</w:delText>
        </w:r>
      </w:del>
    </w:p>
    <w:p>
      <w:pPr>
        <w:pStyle w:val="nzSubsection"/>
        <w:rPr>
          <w:del w:id="2504" w:author="svcMRProcess" w:date="2020-02-19T21:14:00Z"/>
        </w:rPr>
      </w:pPr>
      <w:del w:id="2505" w:author="svcMRProcess" w:date="2020-02-19T21:14:00Z">
        <w:r>
          <w:tab/>
          <w:delText>(3)</w:delText>
        </w:r>
        <w:r>
          <w:tab/>
          <w:delText xml:space="preserve">The CEO must — </w:delText>
        </w:r>
      </w:del>
    </w:p>
    <w:p>
      <w:pPr>
        <w:pStyle w:val="nzIndenta"/>
        <w:rPr>
          <w:del w:id="2506" w:author="svcMRProcess" w:date="2020-02-19T21:14:00Z"/>
        </w:rPr>
      </w:pPr>
      <w:del w:id="2507" w:author="svcMRProcess" w:date="2020-02-19T21:14:00Z">
        <w:r>
          <w:tab/>
          <w:delText>(a)</w:delText>
        </w:r>
        <w:r>
          <w:tab/>
          <w:delText>keep the Board informed of the Safety Authority’s operations; and</w:delText>
        </w:r>
      </w:del>
    </w:p>
    <w:p>
      <w:pPr>
        <w:pStyle w:val="nzIndenta"/>
        <w:rPr>
          <w:del w:id="2508" w:author="svcMRProcess" w:date="2020-02-19T21:14:00Z"/>
        </w:rPr>
      </w:pPr>
      <w:del w:id="2509" w:author="svcMRProcess" w:date="2020-02-19T21:14:00Z">
        <w:r>
          <w:tab/>
          <w:delText>(b)</w:delText>
        </w:r>
        <w:r>
          <w:tab/>
          <w:delText>give the Board any reports, documents and information in relation to those operations that the Chair of the Board requires.</w:delText>
        </w:r>
      </w:del>
    </w:p>
    <w:p>
      <w:pPr>
        <w:pStyle w:val="nzHeading5"/>
        <w:rPr>
          <w:del w:id="2510" w:author="svcMRProcess" w:date="2020-02-19T21:14:00Z"/>
        </w:rPr>
      </w:pPr>
      <w:del w:id="2511" w:author="svcMRProcess" w:date="2020-02-19T21:14:00Z">
        <w:r>
          <w:delText>151M.</w:delText>
        </w:r>
        <w:r>
          <w:tab/>
          <w:delText>Delegation</w:delText>
        </w:r>
      </w:del>
    </w:p>
    <w:p>
      <w:pPr>
        <w:pStyle w:val="nzSubsection"/>
        <w:rPr>
          <w:del w:id="2512" w:author="svcMRProcess" w:date="2020-02-19T21:14:00Z"/>
        </w:rPr>
      </w:pPr>
      <w:del w:id="2513" w:author="svcMRProcess" w:date="2020-02-19T21:14:00Z">
        <w:r>
          <w:tab/>
          <w:delText>(1)</w:delText>
        </w:r>
        <w:r>
          <w:tab/>
          <w:delText>An employee of this State, or of an authority of this State, may perform any function and exercise any power delegated to him or her by the CEO under the Commonwealth Act.</w:delText>
        </w:r>
      </w:del>
    </w:p>
    <w:p>
      <w:pPr>
        <w:pStyle w:val="nzSubsection"/>
        <w:rPr>
          <w:del w:id="2514" w:author="svcMRProcess" w:date="2020-02-19T21:14:00Z"/>
        </w:rPr>
      </w:pPr>
      <w:del w:id="2515" w:author="svcMRProcess" w:date="2020-02-19T21:14:00Z">
        <w:r>
          <w:tab/>
          <w:delText>(2)</w:delText>
        </w:r>
        <w:r>
          <w:tab/>
          <w:delText>In performing a function or exercising a power under the delegation, the delegate must comply with any directions of the CEO.</w:delText>
        </w:r>
      </w:del>
    </w:p>
    <w:p>
      <w:pPr>
        <w:pStyle w:val="nzHeading5"/>
        <w:rPr>
          <w:del w:id="2516" w:author="svcMRProcess" w:date="2020-02-19T21:14:00Z"/>
        </w:rPr>
      </w:pPr>
      <w:del w:id="2517" w:author="svcMRProcess" w:date="2020-02-19T21:14:00Z">
        <w:r>
          <w:delText>151N.</w:delText>
        </w:r>
        <w:r>
          <w:tab/>
          <w:delText>Safety Authority may use State government staff</w:delText>
        </w:r>
      </w:del>
    </w:p>
    <w:p>
      <w:pPr>
        <w:pStyle w:val="nzSubsection"/>
        <w:rPr>
          <w:del w:id="2518" w:author="svcMRProcess" w:date="2020-02-19T21:14:00Z"/>
        </w:rPr>
      </w:pPr>
      <w:del w:id="2519" w:author="svcMRProcess" w:date="2020-02-19T21:14:00Z">
        <w:r>
          <w:tab/>
        </w:r>
        <w:r>
          <w:tab/>
          <w:delText xml:space="preserve">An officer or employee — </w:delText>
        </w:r>
      </w:del>
    </w:p>
    <w:p>
      <w:pPr>
        <w:pStyle w:val="nzIndenta"/>
        <w:rPr>
          <w:del w:id="2520" w:author="svcMRProcess" w:date="2020-02-19T21:14:00Z"/>
        </w:rPr>
      </w:pPr>
      <w:del w:id="2521" w:author="svcMRProcess" w:date="2020-02-19T21:14:00Z">
        <w:r>
          <w:tab/>
          <w:delText>(a)</w:delText>
        </w:r>
        <w:r>
          <w:tab/>
          <w:delText>in the Public Service;</w:delText>
        </w:r>
      </w:del>
    </w:p>
    <w:p>
      <w:pPr>
        <w:pStyle w:val="nzIndenta"/>
        <w:rPr>
          <w:del w:id="2522" w:author="svcMRProcess" w:date="2020-02-19T21:14:00Z"/>
        </w:rPr>
      </w:pPr>
      <w:del w:id="2523" w:author="svcMRProcess" w:date="2020-02-19T21:14:00Z">
        <w:r>
          <w:tab/>
          <w:delText>(b)</w:delText>
        </w:r>
        <w:r>
          <w:tab/>
          <w:delText>in a State agency or instrumentality; or</w:delText>
        </w:r>
      </w:del>
    </w:p>
    <w:p>
      <w:pPr>
        <w:pStyle w:val="nzIndenta"/>
        <w:rPr>
          <w:del w:id="2524" w:author="svcMRProcess" w:date="2020-02-19T21:14:00Z"/>
        </w:rPr>
      </w:pPr>
      <w:del w:id="2525" w:author="svcMRProcess" w:date="2020-02-19T21:14:00Z">
        <w:r>
          <w:tab/>
          <w:delText>(c)</w:delText>
        </w:r>
        <w:r>
          <w:tab/>
          <w:delText>otherwise in the service of the Crown in right of the State,</w:delText>
        </w:r>
      </w:del>
    </w:p>
    <w:p>
      <w:pPr>
        <w:pStyle w:val="nzSubsection"/>
        <w:rPr>
          <w:del w:id="2526" w:author="svcMRProcess" w:date="2020-02-19T21:14:00Z"/>
        </w:rPr>
      </w:pPr>
      <w:del w:id="2527" w:author="svcMRProcess" w:date="2020-02-19T21:14:00Z">
        <w:r>
          <w:tab/>
        </w:r>
        <w:r>
          <w:tab/>
          <w:delText>may assist the Safety Authority in connection with the performance of any of the Safety Authority’s functions or the exercise of any of the Safety Authority’s powers under this Act, the Commonwealth Act or a corresponding law.</w:delText>
        </w:r>
      </w:del>
    </w:p>
    <w:p>
      <w:pPr>
        <w:pStyle w:val="nzHeading3"/>
        <w:rPr>
          <w:del w:id="2528" w:author="svcMRProcess" w:date="2020-02-19T21:14:00Z"/>
        </w:rPr>
      </w:pPr>
      <w:bookmarkStart w:id="2529" w:name="_Toc112746403"/>
      <w:bookmarkStart w:id="2530" w:name="_Toc112746528"/>
      <w:del w:id="2531" w:author="svcMRProcess" w:date="2020-02-19T21:14:00Z">
        <w:r>
          <w:delText>Division 5 — Other Safety Authority provisions</w:delText>
        </w:r>
        <w:bookmarkEnd w:id="2529"/>
        <w:bookmarkEnd w:id="2530"/>
      </w:del>
    </w:p>
    <w:p>
      <w:pPr>
        <w:pStyle w:val="nzHeading5"/>
        <w:rPr>
          <w:del w:id="2532" w:author="svcMRProcess" w:date="2020-02-19T21:14:00Z"/>
        </w:rPr>
      </w:pPr>
      <w:del w:id="2533" w:author="svcMRProcess" w:date="2020-02-19T21:14:00Z">
        <w:r>
          <w:delText>151O.</w:delText>
        </w:r>
        <w:r>
          <w:tab/>
          <w:delText>Minister may require the Safety Authority to prepare reports or give information</w:delText>
        </w:r>
      </w:del>
    </w:p>
    <w:p>
      <w:pPr>
        <w:pStyle w:val="nzSubsection"/>
        <w:rPr>
          <w:del w:id="2534" w:author="svcMRProcess" w:date="2020-02-19T21:14:00Z"/>
        </w:rPr>
      </w:pPr>
      <w:del w:id="2535" w:author="svcMRProcess" w:date="2020-02-19T21:14:00Z">
        <w:r>
          <w:tab/>
          <w:delText>(1)</w:delText>
        </w:r>
        <w:r>
          <w:tab/>
          <w:delText xml:space="preserve">The Minister may, by written notice given to the Safety Authority, require the Safety Authority — </w:delText>
        </w:r>
      </w:del>
    </w:p>
    <w:p>
      <w:pPr>
        <w:pStyle w:val="nzIndenta"/>
        <w:rPr>
          <w:del w:id="2536" w:author="svcMRProcess" w:date="2020-02-19T21:14:00Z"/>
        </w:rPr>
      </w:pPr>
      <w:del w:id="2537" w:author="svcMRProcess" w:date="2020-02-19T21:14:00Z">
        <w:r>
          <w:tab/>
          <w:delText>(a)</w:delText>
        </w:r>
        <w:r>
          <w:tab/>
          <w:delText>to prepare a report about one or more specified matters relating to the performance of the Safety Authority’s functions or the exercise of the Safety Authority’s powers; and</w:delText>
        </w:r>
      </w:del>
    </w:p>
    <w:p>
      <w:pPr>
        <w:pStyle w:val="nzIndenta"/>
        <w:rPr>
          <w:del w:id="2538" w:author="svcMRProcess" w:date="2020-02-19T21:14:00Z"/>
        </w:rPr>
      </w:pPr>
      <w:del w:id="2539" w:author="svcMRProcess" w:date="2020-02-19T21:14:00Z">
        <w:r>
          <w:tab/>
          <w:delText>(b)</w:delText>
        </w:r>
        <w:r>
          <w:tab/>
          <w:delText xml:space="preserve">give a copy of the report to — </w:delText>
        </w:r>
      </w:del>
    </w:p>
    <w:p>
      <w:pPr>
        <w:pStyle w:val="nzIndenti"/>
        <w:rPr>
          <w:del w:id="2540" w:author="svcMRProcess" w:date="2020-02-19T21:14:00Z"/>
        </w:rPr>
      </w:pPr>
      <w:del w:id="2541" w:author="svcMRProcess" w:date="2020-02-19T21:14:00Z">
        <w:r>
          <w:tab/>
          <w:delText>(i)</w:delText>
        </w:r>
        <w:r>
          <w:tab/>
          <w:delText xml:space="preserve">the Minister; </w:delText>
        </w:r>
      </w:del>
    </w:p>
    <w:p>
      <w:pPr>
        <w:pStyle w:val="nzIndenti"/>
        <w:rPr>
          <w:del w:id="2542" w:author="svcMRProcess" w:date="2020-02-19T21:14:00Z"/>
        </w:rPr>
      </w:pPr>
      <w:del w:id="2543" w:author="svcMRProcess" w:date="2020-02-19T21:14:00Z">
        <w:r>
          <w:tab/>
          <w:delText>(ii)</w:delText>
        </w:r>
        <w:r>
          <w:tab/>
          <w:delText>each interstate Minister; and</w:delText>
        </w:r>
      </w:del>
    </w:p>
    <w:p>
      <w:pPr>
        <w:pStyle w:val="nzIndenti"/>
        <w:rPr>
          <w:del w:id="2544" w:author="svcMRProcess" w:date="2020-02-19T21:14:00Z"/>
        </w:rPr>
      </w:pPr>
      <w:del w:id="2545" w:author="svcMRProcess" w:date="2020-02-19T21:14:00Z">
        <w:r>
          <w:tab/>
          <w:delText>(iii)</w:delText>
        </w:r>
        <w:r>
          <w:tab/>
          <w:delText>the Commonwealth Minister,</w:delText>
        </w:r>
      </w:del>
    </w:p>
    <w:p>
      <w:pPr>
        <w:pStyle w:val="nzIndenta"/>
        <w:rPr>
          <w:del w:id="2546" w:author="svcMRProcess" w:date="2020-02-19T21:14:00Z"/>
        </w:rPr>
      </w:pPr>
      <w:del w:id="2547" w:author="svcMRProcess" w:date="2020-02-19T21:14:00Z">
        <w:r>
          <w:tab/>
        </w:r>
        <w:r>
          <w:tab/>
          <w:delText>within the period specified in the notice.</w:delText>
        </w:r>
      </w:del>
    </w:p>
    <w:p>
      <w:pPr>
        <w:pStyle w:val="nzSubsection"/>
        <w:rPr>
          <w:del w:id="2548" w:author="svcMRProcess" w:date="2020-02-19T21:14:00Z"/>
        </w:rPr>
      </w:pPr>
      <w:del w:id="2549" w:author="svcMRProcess" w:date="2020-02-19T21:14:00Z">
        <w:r>
          <w:tab/>
          <w:delText>(2)</w:delText>
        </w:r>
        <w:r>
          <w:tab/>
          <w:delText xml:space="preserve">The Minister may, by written notice given to the Safety Authority, require the Safety Authority to — </w:delText>
        </w:r>
      </w:del>
    </w:p>
    <w:p>
      <w:pPr>
        <w:pStyle w:val="nzIndenta"/>
        <w:rPr>
          <w:del w:id="2550" w:author="svcMRProcess" w:date="2020-02-19T21:14:00Z"/>
        </w:rPr>
      </w:pPr>
      <w:del w:id="2551" w:author="svcMRProcess" w:date="2020-02-19T21:14:00Z">
        <w:r>
          <w:tab/>
          <w:delText>(a)</w:delText>
        </w:r>
        <w:r>
          <w:tab/>
          <w:delText>prepare a document setting out specified information relating to the performance of the Safety Authority’s functions or the exercise of the Safety Authority’s powers; and</w:delText>
        </w:r>
      </w:del>
    </w:p>
    <w:p>
      <w:pPr>
        <w:pStyle w:val="nzIndenta"/>
        <w:rPr>
          <w:del w:id="2552" w:author="svcMRProcess" w:date="2020-02-19T21:14:00Z"/>
        </w:rPr>
      </w:pPr>
      <w:del w:id="2553" w:author="svcMRProcess" w:date="2020-02-19T21:14:00Z">
        <w:r>
          <w:tab/>
          <w:delText>(b)</w:delText>
        </w:r>
        <w:r>
          <w:tab/>
          <w:delText xml:space="preserve">give a copy of the report to — </w:delText>
        </w:r>
      </w:del>
    </w:p>
    <w:p>
      <w:pPr>
        <w:pStyle w:val="nzIndenti"/>
        <w:rPr>
          <w:del w:id="2554" w:author="svcMRProcess" w:date="2020-02-19T21:14:00Z"/>
        </w:rPr>
      </w:pPr>
      <w:del w:id="2555" w:author="svcMRProcess" w:date="2020-02-19T21:14:00Z">
        <w:r>
          <w:tab/>
          <w:delText>(i)</w:delText>
        </w:r>
        <w:r>
          <w:tab/>
          <w:delText>the Minister;</w:delText>
        </w:r>
      </w:del>
    </w:p>
    <w:p>
      <w:pPr>
        <w:pStyle w:val="nzIndenti"/>
        <w:rPr>
          <w:del w:id="2556" w:author="svcMRProcess" w:date="2020-02-19T21:14:00Z"/>
        </w:rPr>
      </w:pPr>
      <w:del w:id="2557" w:author="svcMRProcess" w:date="2020-02-19T21:14:00Z">
        <w:r>
          <w:tab/>
          <w:delText>(ii)</w:delText>
        </w:r>
        <w:r>
          <w:tab/>
          <w:delText>each interstate Minister; and</w:delText>
        </w:r>
      </w:del>
    </w:p>
    <w:p>
      <w:pPr>
        <w:pStyle w:val="nzIndenti"/>
        <w:rPr>
          <w:del w:id="2558" w:author="svcMRProcess" w:date="2020-02-19T21:14:00Z"/>
        </w:rPr>
      </w:pPr>
      <w:del w:id="2559" w:author="svcMRProcess" w:date="2020-02-19T21:14:00Z">
        <w:r>
          <w:tab/>
          <w:delText>(iii)</w:delText>
        </w:r>
        <w:r>
          <w:tab/>
          <w:delText>the Commonwealth Minister,</w:delText>
        </w:r>
      </w:del>
    </w:p>
    <w:p>
      <w:pPr>
        <w:pStyle w:val="nzSubsection"/>
        <w:rPr>
          <w:del w:id="2560" w:author="svcMRProcess" w:date="2020-02-19T21:14:00Z"/>
        </w:rPr>
      </w:pPr>
      <w:del w:id="2561" w:author="svcMRProcess" w:date="2020-02-19T21:14:00Z">
        <w:r>
          <w:tab/>
        </w:r>
        <w:r>
          <w:tab/>
          <w:delText>within the period specified in the notice.</w:delText>
        </w:r>
      </w:del>
    </w:p>
    <w:p>
      <w:pPr>
        <w:pStyle w:val="nzSubsection"/>
        <w:rPr>
          <w:del w:id="2562" w:author="svcMRProcess" w:date="2020-02-19T21:14:00Z"/>
        </w:rPr>
      </w:pPr>
      <w:del w:id="2563" w:author="svcMRProcess" w:date="2020-02-19T21:14:00Z">
        <w:r>
          <w:tab/>
          <w:delText>(3)</w:delText>
        </w:r>
        <w:r>
          <w:tab/>
          <w:delText>The Safety Authority must comply with a requirement under subsection (1) or (2).</w:delText>
        </w:r>
      </w:del>
    </w:p>
    <w:p>
      <w:pPr>
        <w:pStyle w:val="nzHeading5"/>
        <w:rPr>
          <w:del w:id="2564" w:author="svcMRProcess" w:date="2020-02-19T21:14:00Z"/>
        </w:rPr>
      </w:pPr>
      <w:del w:id="2565" w:author="svcMRProcess" w:date="2020-02-19T21:14:00Z">
        <w:r>
          <w:delText>151P.</w:delText>
        </w:r>
        <w:r>
          <w:tab/>
          <w:delText>Directions to the Safety Authority</w:delText>
        </w:r>
      </w:del>
    </w:p>
    <w:p>
      <w:pPr>
        <w:pStyle w:val="nzSubsection"/>
        <w:rPr>
          <w:del w:id="2566" w:author="svcMRProcess" w:date="2020-02-19T21:14:00Z"/>
        </w:rPr>
      </w:pPr>
      <w:del w:id="2567" w:author="svcMRProcess" w:date="2020-02-19T21:14:00Z">
        <w:r>
          <w:tab/>
          <w:delText>(1)</w:delText>
        </w:r>
        <w:r>
          <w:tab/>
          <w:delText>The Minister may request the Commonwealth Minister to give a direction to the Safety Authority that relates wholly or principally to the Safety Authority’s operations in the adjacent area.</w:delText>
        </w:r>
      </w:del>
    </w:p>
    <w:p>
      <w:pPr>
        <w:pStyle w:val="nzSubsection"/>
        <w:rPr>
          <w:del w:id="2568" w:author="svcMRProcess" w:date="2020-02-19T21:14:00Z"/>
        </w:rPr>
      </w:pPr>
      <w:del w:id="2569" w:author="svcMRProcess" w:date="2020-02-19T21:14:00Z">
        <w:r>
          <w:tab/>
          <w:delText>(2)</w:delText>
        </w:r>
        <w:r>
          <w:tab/>
          <w:delText>The Commonwealth Minister must use his or her best endeavours to make a decision on the request within 30 days after receiving the request.</w:delText>
        </w:r>
      </w:del>
    </w:p>
    <w:p>
      <w:pPr>
        <w:pStyle w:val="nzSubsection"/>
        <w:rPr>
          <w:del w:id="2570" w:author="svcMRProcess" w:date="2020-02-19T21:14:00Z"/>
        </w:rPr>
      </w:pPr>
      <w:del w:id="2571" w:author="svcMRProcess" w:date="2020-02-19T21:14:00Z">
        <w:r>
          <w:tab/>
          <w:delText>(3)</w:delText>
        </w:r>
        <w:r>
          <w:tab/>
          <w:delText>If the Commonwealth Minister refuses the request, the Commonwealth Minister must give the Minister a written statement setting out the reasons for the refusal.</w:delText>
        </w:r>
      </w:del>
    </w:p>
    <w:p>
      <w:pPr>
        <w:pStyle w:val="nzSubsection"/>
        <w:rPr>
          <w:del w:id="2572" w:author="svcMRProcess" w:date="2020-02-19T21:14:00Z"/>
        </w:rPr>
      </w:pPr>
      <w:del w:id="2573" w:author="svcMRProcess" w:date="2020-02-19T21:14:00Z">
        <w:r>
          <w:tab/>
          <w:delText>(4)</w:delText>
        </w:r>
        <w:r>
          <w:tab/>
          <w:delText>The Safety Authority must comply with any direction given by the Commonwealth Minister under this section.</w:delText>
        </w:r>
      </w:del>
    </w:p>
    <w:p>
      <w:pPr>
        <w:pStyle w:val="nzHeading5"/>
        <w:rPr>
          <w:del w:id="2574" w:author="svcMRProcess" w:date="2020-02-19T21:14:00Z"/>
        </w:rPr>
      </w:pPr>
      <w:del w:id="2575" w:author="svcMRProcess" w:date="2020-02-19T21:14:00Z">
        <w:r>
          <w:delText>151Q.</w:delText>
        </w:r>
        <w:r>
          <w:tab/>
          <w:delText>Reviews of operations of Safety Authority</w:delText>
        </w:r>
      </w:del>
    </w:p>
    <w:p>
      <w:pPr>
        <w:pStyle w:val="nzSubsection"/>
        <w:rPr>
          <w:del w:id="2576" w:author="svcMRProcess" w:date="2020-02-19T21:14:00Z"/>
        </w:rPr>
      </w:pPr>
      <w:del w:id="2577" w:author="svcMRProcess" w:date="2020-02-19T21:14:00Z">
        <w:r>
          <w:tab/>
          <w:delText>(1)</w:delText>
        </w:r>
        <w:r>
          <w:tab/>
          <w:delText>The Minister must cause reviews to be conducted of the operations of the Safety Authority in relation to the adjacent area.</w:delText>
        </w:r>
      </w:del>
    </w:p>
    <w:p>
      <w:pPr>
        <w:pStyle w:val="nzSubsection"/>
        <w:rPr>
          <w:del w:id="2578" w:author="svcMRProcess" w:date="2020-02-19T21:14:00Z"/>
        </w:rPr>
      </w:pPr>
      <w:del w:id="2579" w:author="svcMRProcess" w:date="2020-02-19T21:14:00Z">
        <w:r>
          <w:tab/>
          <w:delText>(2)</w:delText>
        </w:r>
        <w:r>
          <w:tab/>
          <w:delText>The Minister must cause to be prepared a report of a review under subsection (1).</w:delText>
        </w:r>
      </w:del>
    </w:p>
    <w:p>
      <w:pPr>
        <w:pStyle w:val="nzSubsection"/>
        <w:rPr>
          <w:del w:id="2580" w:author="svcMRProcess" w:date="2020-02-19T21:14:00Z"/>
        </w:rPr>
      </w:pPr>
      <w:del w:id="2581" w:author="svcMRProcess" w:date="2020-02-19T21:14:00Z">
        <w:r>
          <w:tab/>
          <w:delText>(3)</w:delText>
        </w:r>
        <w:r>
          <w:tab/>
          <w:delText>The first review is to relate to the 3 year period beginning on 1 January 2005, and is to be completed within 6 months, or the longer period that the Minister allows, after the end of that 3 year period.</w:delText>
        </w:r>
      </w:del>
    </w:p>
    <w:p>
      <w:pPr>
        <w:pStyle w:val="nzSubsection"/>
        <w:rPr>
          <w:del w:id="2582" w:author="svcMRProcess" w:date="2020-02-19T21:14:00Z"/>
        </w:rPr>
      </w:pPr>
      <w:del w:id="2583" w:author="svcMRProcess" w:date="2020-02-19T21:14:00Z">
        <w:r>
          <w:tab/>
          <w:delText>(4)</w:delText>
        </w:r>
        <w:r>
          <w:tab/>
          <w:delText>Subsequent reviews are to relate to successive 3 year periods, and must be completed within 6 months, or the longer period that the Minister allows, after the end of the 3 year period to which the review relates.</w:delText>
        </w:r>
      </w:del>
    </w:p>
    <w:p>
      <w:pPr>
        <w:pStyle w:val="nzSubsection"/>
        <w:rPr>
          <w:del w:id="2584" w:author="svcMRProcess" w:date="2020-02-19T21:14:00Z"/>
        </w:rPr>
      </w:pPr>
      <w:del w:id="2585" w:author="svcMRProcess" w:date="2020-02-19T21:14:00Z">
        <w:r>
          <w:tab/>
          <w:delText>(5)</w:delText>
        </w:r>
        <w:r>
          <w:tab/>
          <w:delText>A review under this section may be conducted in conjunction with a review under the Commonwealth Act or a corresponding law (or both).</w:delText>
        </w:r>
      </w:del>
    </w:p>
    <w:p>
      <w:pPr>
        <w:pStyle w:val="nzSubsection"/>
        <w:rPr>
          <w:del w:id="2586" w:author="svcMRProcess" w:date="2020-02-19T21:14:00Z"/>
        </w:rPr>
      </w:pPr>
      <w:del w:id="2587" w:author="svcMRProcess" w:date="2020-02-19T21:14:00Z">
        <w:r>
          <w:tab/>
          <w:delText>(6)</w:delText>
        </w:r>
        <w:r>
          <w:tab/>
          <w:delText>Without limiting the matters to be covered by a review under subsection (1), the review must include an assessment of the effectiveness of the Safety Authority in bringing about improvements in the occupational safety and health of persons engaged in offshore petroleum operations.</w:delText>
        </w:r>
      </w:del>
    </w:p>
    <w:p>
      <w:pPr>
        <w:pStyle w:val="nzSubsection"/>
        <w:rPr>
          <w:del w:id="2588" w:author="svcMRProcess" w:date="2020-02-19T21:14:00Z"/>
        </w:rPr>
      </w:pPr>
      <w:del w:id="2589" w:author="svcMRProcess" w:date="2020-02-19T21:14:00Z">
        <w:r>
          <w:tab/>
          <w:delText>(7)</w:delText>
        </w:r>
        <w:r>
          <w:tab/>
          <w:delText>The Minister must cause a copy of the report of a review under subsection (1) to be tabled in each House of Parliament within 15 sitting days of that House after the report of the review is completed.</w:delText>
        </w:r>
      </w:del>
    </w:p>
    <w:p>
      <w:pPr>
        <w:pStyle w:val="nzSubsection"/>
        <w:rPr>
          <w:del w:id="2590" w:author="svcMRProcess" w:date="2020-02-19T21:14:00Z"/>
        </w:rPr>
      </w:pPr>
      <w:del w:id="2591" w:author="svcMRProcess" w:date="2020-02-19T21:14:00Z">
        <w:r>
          <w:tab/>
          <w:delText>(8)</w:delText>
        </w:r>
        <w:r>
          <w:tab/>
          <w:delText>For the purposes of this section, a review is completed when the report of the review is made available to the Minister.</w:delText>
        </w:r>
      </w:del>
    </w:p>
    <w:p>
      <w:pPr>
        <w:pStyle w:val="MiscClose"/>
        <w:ind w:right="575"/>
        <w:rPr>
          <w:del w:id="2592" w:author="svcMRProcess" w:date="2020-02-19T21:14:00Z"/>
        </w:rPr>
      </w:pPr>
      <w:del w:id="2593" w:author="svcMRProcess" w:date="2020-02-19T21:14:00Z">
        <w:r>
          <w:delText xml:space="preserve">    ”.</w:delText>
        </w:r>
      </w:del>
    </w:p>
    <w:p>
      <w:pPr>
        <w:pStyle w:val="nzHeading5"/>
        <w:rPr>
          <w:del w:id="2594" w:author="svcMRProcess" w:date="2020-02-19T21:14:00Z"/>
        </w:rPr>
      </w:pPr>
      <w:bookmarkStart w:id="2595" w:name="_Toc80428053"/>
      <w:bookmarkStart w:id="2596" w:name="_Toc99357133"/>
      <w:bookmarkStart w:id="2597" w:name="_Toc99769632"/>
      <w:bookmarkStart w:id="2598" w:name="_Toc112746529"/>
      <w:del w:id="2599" w:author="svcMRProcess" w:date="2020-02-19T21:14:00Z">
        <w:r>
          <w:rPr>
            <w:rStyle w:val="CharSectno"/>
          </w:rPr>
          <w:delText>45</w:delText>
        </w:r>
        <w:r>
          <w:delText>.</w:delText>
        </w:r>
        <w:r>
          <w:tab/>
          <w:delText>Section 152 amended</w:delText>
        </w:r>
        <w:bookmarkEnd w:id="2595"/>
        <w:bookmarkEnd w:id="2596"/>
        <w:bookmarkEnd w:id="2597"/>
        <w:bookmarkEnd w:id="2598"/>
      </w:del>
    </w:p>
    <w:p>
      <w:pPr>
        <w:pStyle w:val="nzSubsection"/>
        <w:rPr>
          <w:del w:id="2600" w:author="svcMRProcess" w:date="2020-02-19T21:14:00Z"/>
        </w:rPr>
      </w:pPr>
      <w:del w:id="2601" w:author="svcMRProcess" w:date="2020-02-19T21:14:00Z">
        <w:r>
          <w:tab/>
          <w:delText>(1)</w:delText>
        </w:r>
        <w:r>
          <w:tab/>
          <w:delText>Section 152(2) is amended as follows:</w:delText>
        </w:r>
      </w:del>
    </w:p>
    <w:p>
      <w:pPr>
        <w:pStyle w:val="nzIndenta"/>
        <w:rPr>
          <w:del w:id="2602" w:author="svcMRProcess" w:date="2020-02-19T21:14:00Z"/>
        </w:rPr>
      </w:pPr>
      <w:del w:id="2603" w:author="svcMRProcess" w:date="2020-02-19T21:14:00Z">
        <w:r>
          <w:tab/>
          <w:delText>(a)</w:delText>
        </w:r>
        <w:r>
          <w:tab/>
          <w:delText>after paragraph (l) by deleting “and”;</w:delText>
        </w:r>
      </w:del>
    </w:p>
    <w:p>
      <w:pPr>
        <w:pStyle w:val="nzIndenta"/>
        <w:rPr>
          <w:del w:id="2604" w:author="svcMRProcess" w:date="2020-02-19T21:14:00Z"/>
        </w:rPr>
      </w:pPr>
      <w:del w:id="2605" w:author="svcMRProcess" w:date="2020-02-19T21:14:00Z">
        <w:r>
          <w:tab/>
          <w:delText>(b)</w:delText>
        </w:r>
        <w:r>
          <w:tab/>
          <w:delText xml:space="preserve">in paragraph (m) by deleting “area.” and inserting instead — </w:delText>
        </w:r>
      </w:del>
    </w:p>
    <w:p>
      <w:pPr>
        <w:pStyle w:val="MiscOpen"/>
        <w:ind w:left="1340"/>
        <w:rPr>
          <w:del w:id="2606" w:author="svcMRProcess" w:date="2020-02-19T21:14:00Z"/>
        </w:rPr>
      </w:pPr>
      <w:del w:id="2607" w:author="svcMRProcess" w:date="2020-02-19T21:14:00Z">
        <w:r>
          <w:delText xml:space="preserve">“    </w:delText>
        </w:r>
      </w:del>
    </w:p>
    <w:p>
      <w:pPr>
        <w:pStyle w:val="nzIndenta"/>
        <w:rPr>
          <w:del w:id="2608" w:author="svcMRProcess" w:date="2020-02-19T21:14:00Z"/>
        </w:rPr>
      </w:pPr>
      <w:del w:id="2609" w:author="svcMRProcess" w:date="2020-02-19T21:14:00Z">
        <w:r>
          <w:tab/>
        </w:r>
        <w:r>
          <w:tab/>
          <w:delText>area;</w:delText>
        </w:r>
      </w:del>
    </w:p>
    <w:p>
      <w:pPr>
        <w:pStyle w:val="nzIndenta"/>
        <w:rPr>
          <w:del w:id="2610" w:author="svcMRProcess" w:date="2020-02-19T21:14:00Z"/>
        </w:rPr>
      </w:pPr>
      <w:del w:id="2611" w:author="svcMRProcess" w:date="2020-02-19T21:14:00Z">
        <w:r>
          <w:tab/>
          <w:delText>(n)</w:delText>
        </w:r>
        <w:r>
          <w:tab/>
          <w:delText>fees in relation to offshore petroleum operations, safety audits or other services provided by the Minister;</w:delText>
        </w:r>
      </w:del>
    </w:p>
    <w:p>
      <w:pPr>
        <w:pStyle w:val="nzIndenta"/>
        <w:rPr>
          <w:del w:id="2612" w:author="svcMRProcess" w:date="2020-02-19T21:14:00Z"/>
        </w:rPr>
      </w:pPr>
      <w:del w:id="2613" w:author="svcMRProcess" w:date="2020-02-19T21:14:00Z">
        <w:r>
          <w:tab/>
          <w:delText>(o)</w:delText>
        </w:r>
        <w:r>
          <w:tab/>
          <w:delText xml:space="preserve">any transitional matter arising out of the amendments made to this Act by the </w:delText>
        </w:r>
        <w:r>
          <w:rPr>
            <w:i/>
          </w:rPr>
          <w:delText>Petroleum Legislation Amendment and Repeal Act 2005.</w:delText>
        </w:r>
      </w:del>
    </w:p>
    <w:p>
      <w:pPr>
        <w:pStyle w:val="MiscClose"/>
        <w:rPr>
          <w:del w:id="2614" w:author="svcMRProcess" w:date="2020-02-19T21:14:00Z"/>
        </w:rPr>
      </w:pPr>
      <w:del w:id="2615" w:author="svcMRProcess" w:date="2020-02-19T21:14:00Z">
        <w:r>
          <w:delText xml:space="preserve">    ”.</w:delText>
        </w:r>
      </w:del>
    </w:p>
    <w:p>
      <w:pPr>
        <w:pStyle w:val="nzSubsection"/>
        <w:rPr>
          <w:del w:id="2616" w:author="svcMRProcess" w:date="2020-02-19T21:14:00Z"/>
        </w:rPr>
      </w:pPr>
      <w:del w:id="2617" w:author="svcMRProcess" w:date="2020-02-19T21:14:00Z">
        <w:r>
          <w:tab/>
          <w:delText>(2)</w:delText>
        </w:r>
        <w:r>
          <w:tab/>
          <w:delText xml:space="preserve">After section 152(2b) the following subsection is inserted — </w:delText>
        </w:r>
      </w:del>
    </w:p>
    <w:p>
      <w:pPr>
        <w:pStyle w:val="MiscOpen"/>
        <w:ind w:left="600"/>
        <w:rPr>
          <w:del w:id="2618" w:author="svcMRProcess" w:date="2020-02-19T21:14:00Z"/>
        </w:rPr>
      </w:pPr>
      <w:del w:id="2619" w:author="svcMRProcess" w:date="2020-02-19T21:14:00Z">
        <w:r>
          <w:delText xml:space="preserve">“    </w:delText>
        </w:r>
      </w:del>
    </w:p>
    <w:p>
      <w:pPr>
        <w:pStyle w:val="nzSubsection"/>
        <w:rPr>
          <w:del w:id="2620" w:author="svcMRProcess" w:date="2020-02-19T21:14:00Z"/>
        </w:rPr>
      </w:pPr>
      <w:del w:id="2621" w:author="svcMRProcess" w:date="2020-02-19T21:14:00Z">
        <w:r>
          <w:tab/>
          <w:delText>(2c)</w:delText>
        </w:r>
        <w:r>
          <w:tab/>
          <w:delText xml:space="preserve">Regulations under this section may adopt or apply, with or without modification, any regulation made under the Commonwealth Act, the </w:delText>
        </w:r>
        <w:r>
          <w:rPr>
            <w:i/>
          </w:rPr>
          <w:delText>Petroleum Act 1967</w:delText>
        </w:r>
        <w:r>
          <w:delText xml:space="preserve"> or the </w:delText>
        </w:r>
        <w:r>
          <w:rPr>
            <w:i/>
          </w:rPr>
          <w:delText>Petroleum Pipelines Act 1969</w:delText>
        </w:r>
        <w:r>
          <w:delText>,</w:delText>
        </w:r>
        <w:r>
          <w:rPr>
            <w:i/>
          </w:rPr>
          <w:delText xml:space="preserve"> </w:delText>
        </w:r>
        <w:r>
          <w:delText>that is in force or existing at the time when the regulations under this section take effect or as in force or existing from time to time.</w:delText>
        </w:r>
      </w:del>
    </w:p>
    <w:p>
      <w:pPr>
        <w:pStyle w:val="MiscClose"/>
        <w:rPr>
          <w:del w:id="2622" w:author="svcMRProcess" w:date="2020-02-19T21:14:00Z"/>
          <w:b/>
          <w:i/>
        </w:rPr>
      </w:pPr>
      <w:del w:id="2623" w:author="svcMRProcess" w:date="2020-02-19T21:14:00Z">
        <w:r>
          <w:delText xml:space="preserve">    ”.</w:delText>
        </w:r>
      </w:del>
    </w:p>
    <w:p>
      <w:pPr>
        <w:pStyle w:val="nzHeading5"/>
        <w:rPr>
          <w:del w:id="2624" w:author="svcMRProcess" w:date="2020-02-19T21:14:00Z"/>
        </w:rPr>
      </w:pPr>
      <w:bookmarkStart w:id="2625" w:name="_Toc80428054"/>
      <w:bookmarkStart w:id="2626" w:name="_Toc99357134"/>
      <w:bookmarkStart w:id="2627" w:name="_Toc99769633"/>
      <w:bookmarkStart w:id="2628" w:name="_Toc112746530"/>
      <w:del w:id="2629" w:author="svcMRProcess" w:date="2020-02-19T21:14:00Z">
        <w:r>
          <w:rPr>
            <w:rStyle w:val="CharSectno"/>
          </w:rPr>
          <w:delText>46</w:delText>
        </w:r>
        <w:r>
          <w:delText>.</w:delText>
        </w:r>
        <w:r>
          <w:tab/>
          <w:delText>Various sections amended to delete “the regulations” (</w:delText>
        </w:r>
        <w:r>
          <w:rPr>
            <w:i/>
          </w:rPr>
          <w:delText>Interpretation Act 1984</w:delText>
        </w:r>
        <w:r>
          <w:delText xml:space="preserve"> s. 46)</w:delText>
        </w:r>
        <w:bookmarkEnd w:id="2625"/>
        <w:bookmarkEnd w:id="2626"/>
        <w:bookmarkEnd w:id="2627"/>
        <w:bookmarkEnd w:id="2628"/>
      </w:del>
    </w:p>
    <w:p>
      <w:pPr>
        <w:pStyle w:val="nzSubsection"/>
        <w:rPr>
          <w:del w:id="2630" w:author="svcMRProcess" w:date="2020-02-19T21:14:00Z"/>
        </w:rPr>
      </w:pPr>
      <w:del w:id="2631" w:author="svcMRProcess" w:date="2020-02-19T21:14:00Z">
        <w:r>
          <w:tab/>
          <w:delText>(1)</w:delText>
        </w:r>
        <w:r>
          <w:tab/>
          <w:delText>The provisions set out in the Table to this section are amended by deleting “and the regulations” in each case.</w:delText>
        </w:r>
      </w:del>
    </w:p>
    <w:p>
      <w:pPr>
        <w:pStyle w:val="nzMiscellaneousHeading"/>
        <w:rPr>
          <w:del w:id="2632" w:author="svcMRProcess" w:date="2020-02-19T21:14:00Z"/>
        </w:rPr>
      </w:pPr>
      <w:del w:id="2633" w:author="svcMRProcess" w:date="2020-02-19T21:14:00Z">
        <w:r>
          <w:rPr>
            <w:b/>
          </w:rPr>
          <w:delText>Table</w:delText>
        </w:r>
      </w:del>
    </w:p>
    <w:tbl>
      <w:tblPr>
        <w:tblW w:w="0" w:type="auto"/>
        <w:tblInd w:w="1951" w:type="dxa"/>
        <w:tblLayout w:type="fixed"/>
        <w:tblLook w:val="0000" w:firstRow="0" w:lastRow="0" w:firstColumn="0" w:lastColumn="0" w:noHBand="0" w:noVBand="0"/>
      </w:tblPr>
      <w:tblGrid>
        <w:gridCol w:w="1700"/>
        <w:gridCol w:w="3261"/>
      </w:tblGrid>
      <w:tr>
        <w:trPr>
          <w:del w:id="2634" w:author="svcMRProcess" w:date="2020-02-19T21:14:00Z"/>
        </w:trPr>
        <w:tc>
          <w:tcPr>
            <w:tcW w:w="1700" w:type="dxa"/>
          </w:tcPr>
          <w:p>
            <w:pPr>
              <w:pStyle w:val="nzTable"/>
              <w:rPr>
                <w:del w:id="2635" w:author="svcMRProcess" w:date="2020-02-19T21:14:00Z"/>
              </w:rPr>
            </w:pPr>
            <w:del w:id="2636" w:author="svcMRProcess" w:date="2020-02-19T21:14:00Z">
              <w:r>
                <w:delText>s. 7</w:delText>
              </w:r>
            </w:del>
          </w:p>
        </w:tc>
        <w:tc>
          <w:tcPr>
            <w:tcW w:w="3261" w:type="dxa"/>
          </w:tcPr>
          <w:p>
            <w:pPr>
              <w:pStyle w:val="nzTable"/>
              <w:rPr>
                <w:del w:id="2637" w:author="svcMRProcess" w:date="2020-02-19T21:14:00Z"/>
              </w:rPr>
            </w:pPr>
            <w:del w:id="2638" w:author="svcMRProcess" w:date="2020-02-19T21:14:00Z">
              <w:r>
                <w:delText>s. 66</w:delText>
              </w:r>
            </w:del>
          </w:p>
        </w:tc>
      </w:tr>
      <w:tr>
        <w:trPr>
          <w:del w:id="2639" w:author="svcMRProcess" w:date="2020-02-19T21:14:00Z"/>
        </w:trPr>
        <w:tc>
          <w:tcPr>
            <w:tcW w:w="1700" w:type="dxa"/>
          </w:tcPr>
          <w:p>
            <w:pPr>
              <w:pStyle w:val="nzTable"/>
              <w:rPr>
                <w:del w:id="2640" w:author="svcMRProcess" w:date="2020-02-19T21:14:00Z"/>
              </w:rPr>
            </w:pPr>
            <w:del w:id="2641" w:author="svcMRProcess" w:date="2020-02-19T21:14:00Z">
              <w:r>
                <w:delText>s. 28</w:delText>
              </w:r>
            </w:del>
          </w:p>
        </w:tc>
        <w:tc>
          <w:tcPr>
            <w:tcW w:w="3261" w:type="dxa"/>
          </w:tcPr>
          <w:p>
            <w:pPr>
              <w:pStyle w:val="nzTable"/>
              <w:rPr>
                <w:del w:id="2642" w:author="svcMRProcess" w:date="2020-02-19T21:14:00Z"/>
              </w:rPr>
            </w:pPr>
            <w:del w:id="2643" w:author="svcMRProcess" w:date="2020-02-19T21:14:00Z">
              <w:r>
                <w:delText>s. 111(4)</w:delText>
              </w:r>
            </w:del>
          </w:p>
        </w:tc>
      </w:tr>
      <w:tr>
        <w:trPr>
          <w:del w:id="2644" w:author="svcMRProcess" w:date="2020-02-19T21:14:00Z"/>
        </w:trPr>
        <w:tc>
          <w:tcPr>
            <w:tcW w:w="1700" w:type="dxa"/>
          </w:tcPr>
          <w:p>
            <w:pPr>
              <w:pStyle w:val="nzTable"/>
              <w:rPr>
                <w:del w:id="2645" w:author="svcMRProcess" w:date="2020-02-19T21:14:00Z"/>
              </w:rPr>
            </w:pPr>
            <w:del w:id="2646" w:author="svcMRProcess" w:date="2020-02-19T21:14:00Z">
              <w:r>
                <w:delText>s. 38C</w:delText>
              </w:r>
            </w:del>
          </w:p>
        </w:tc>
        <w:tc>
          <w:tcPr>
            <w:tcW w:w="3261" w:type="dxa"/>
          </w:tcPr>
          <w:p>
            <w:pPr>
              <w:pStyle w:val="nzTable"/>
              <w:rPr>
                <w:del w:id="2647" w:author="svcMRProcess" w:date="2020-02-19T21:14:00Z"/>
              </w:rPr>
            </w:pPr>
            <w:del w:id="2648" w:author="svcMRProcess" w:date="2020-02-19T21:14:00Z">
              <w:r>
                <w:delText>s. 112(5)</w:delText>
              </w:r>
            </w:del>
          </w:p>
        </w:tc>
      </w:tr>
      <w:tr>
        <w:trPr>
          <w:del w:id="2649" w:author="svcMRProcess" w:date="2020-02-19T21:14:00Z"/>
        </w:trPr>
        <w:tc>
          <w:tcPr>
            <w:tcW w:w="1700" w:type="dxa"/>
          </w:tcPr>
          <w:p>
            <w:pPr>
              <w:pStyle w:val="nzTable"/>
              <w:rPr>
                <w:del w:id="2650" w:author="svcMRProcess" w:date="2020-02-19T21:14:00Z"/>
              </w:rPr>
            </w:pPr>
            <w:del w:id="2651" w:author="svcMRProcess" w:date="2020-02-19T21:14:00Z">
              <w:r>
                <w:delText>s. 52</w:delText>
              </w:r>
            </w:del>
          </w:p>
        </w:tc>
        <w:tc>
          <w:tcPr>
            <w:tcW w:w="3261" w:type="dxa"/>
          </w:tcPr>
          <w:p>
            <w:pPr>
              <w:pStyle w:val="nzTable"/>
              <w:rPr>
                <w:del w:id="2652" w:author="svcMRProcess" w:date="2020-02-19T21:14:00Z"/>
              </w:rPr>
            </w:pPr>
          </w:p>
        </w:tc>
      </w:tr>
    </w:tbl>
    <w:p>
      <w:pPr>
        <w:pStyle w:val="nzSubsection"/>
        <w:rPr>
          <w:del w:id="2653" w:author="svcMRProcess" w:date="2020-02-19T21:14:00Z"/>
        </w:rPr>
      </w:pPr>
      <w:del w:id="2654" w:author="svcMRProcess" w:date="2020-02-19T21:14:00Z">
        <w:r>
          <w:tab/>
          <w:delText>(2)</w:delText>
        </w:r>
        <w:r>
          <w:tab/>
          <w:delText>The provisions set out in the Table to this section are amended by deleting “or the regulations” in each case.</w:delText>
        </w:r>
      </w:del>
    </w:p>
    <w:p>
      <w:pPr>
        <w:pStyle w:val="nzMiscellaneousHeading"/>
        <w:rPr>
          <w:del w:id="2655" w:author="svcMRProcess" w:date="2020-02-19T21:14:00Z"/>
        </w:rPr>
      </w:pPr>
      <w:del w:id="2656" w:author="svcMRProcess" w:date="2020-02-19T21:14:00Z">
        <w:r>
          <w:rPr>
            <w:b/>
          </w:rPr>
          <w:delText>Table</w:delText>
        </w:r>
      </w:del>
    </w:p>
    <w:tbl>
      <w:tblPr>
        <w:tblW w:w="0" w:type="auto"/>
        <w:tblInd w:w="1951" w:type="dxa"/>
        <w:tblLayout w:type="fixed"/>
        <w:tblLook w:val="0000" w:firstRow="0" w:lastRow="0" w:firstColumn="0" w:lastColumn="0" w:noHBand="0" w:noVBand="0"/>
      </w:tblPr>
      <w:tblGrid>
        <w:gridCol w:w="1700"/>
        <w:gridCol w:w="3261"/>
      </w:tblGrid>
      <w:tr>
        <w:trPr>
          <w:del w:id="2657" w:author="svcMRProcess" w:date="2020-02-19T21:14:00Z"/>
        </w:trPr>
        <w:tc>
          <w:tcPr>
            <w:tcW w:w="1700" w:type="dxa"/>
          </w:tcPr>
          <w:p>
            <w:pPr>
              <w:pStyle w:val="nzTable"/>
              <w:rPr>
                <w:del w:id="2658" w:author="svcMRProcess" w:date="2020-02-19T21:14:00Z"/>
              </w:rPr>
            </w:pPr>
            <w:del w:id="2659" w:author="svcMRProcess" w:date="2020-02-19T21:14:00Z">
              <w:r>
                <w:delText>s. 10(1) (twice)</w:delText>
              </w:r>
            </w:del>
          </w:p>
        </w:tc>
        <w:tc>
          <w:tcPr>
            <w:tcW w:w="3261" w:type="dxa"/>
          </w:tcPr>
          <w:p>
            <w:pPr>
              <w:pStyle w:val="nzTable"/>
              <w:rPr>
                <w:del w:id="2660" w:author="svcMRProcess" w:date="2020-02-19T21:14:00Z"/>
              </w:rPr>
            </w:pPr>
            <w:del w:id="2661" w:author="svcMRProcess" w:date="2020-02-19T21:14:00Z">
              <w:r>
                <w:delText>s. 131(1), (2)</w:delText>
              </w:r>
            </w:del>
          </w:p>
        </w:tc>
      </w:tr>
      <w:tr>
        <w:trPr>
          <w:del w:id="2662" w:author="svcMRProcess" w:date="2020-02-19T21:14:00Z"/>
        </w:trPr>
        <w:tc>
          <w:tcPr>
            <w:tcW w:w="1700" w:type="dxa"/>
          </w:tcPr>
          <w:p>
            <w:pPr>
              <w:pStyle w:val="nzTable"/>
              <w:rPr>
                <w:del w:id="2663" w:author="svcMRProcess" w:date="2020-02-19T21:14:00Z"/>
              </w:rPr>
            </w:pPr>
            <w:del w:id="2664" w:author="svcMRProcess" w:date="2020-02-19T21:14:00Z">
              <w:r>
                <w:delText>s. 16(1) and (2)</w:delText>
              </w:r>
            </w:del>
          </w:p>
        </w:tc>
        <w:tc>
          <w:tcPr>
            <w:tcW w:w="3261" w:type="dxa"/>
          </w:tcPr>
          <w:p>
            <w:pPr>
              <w:pStyle w:val="nzTable"/>
              <w:rPr>
                <w:del w:id="2665" w:author="svcMRProcess" w:date="2020-02-19T21:14:00Z"/>
              </w:rPr>
            </w:pPr>
            <w:del w:id="2666" w:author="svcMRProcess" w:date="2020-02-19T21:14:00Z">
              <w:r>
                <w:delText>s. 132</w:delText>
              </w:r>
            </w:del>
          </w:p>
        </w:tc>
      </w:tr>
      <w:tr>
        <w:trPr>
          <w:del w:id="2667" w:author="svcMRProcess" w:date="2020-02-19T21:14:00Z"/>
        </w:trPr>
        <w:tc>
          <w:tcPr>
            <w:tcW w:w="1700" w:type="dxa"/>
          </w:tcPr>
          <w:p>
            <w:pPr>
              <w:pStyle w:val="nzTable"/>
              <w:rPr>
                <w:del w:id="2668" w:author="svcMRProcess" w:date="2020-02-19T21:14:00Z"/>
              </w:rPr>
            </w:pPr>
            <w:del w:id="2669" w:author="svcMRProcess" w:date="2020-02-19T21:14:00Z">
              <w:r>
                <w:delText>s. 61(b)</w:delText>
              </w:r>
            </w:del>
          </w:p>
        </w:tc>
        <w:tc>
          <w:tcPr>
            <w:tcW w:w="3261" w:type="dxa"/>
          </w:tcPr>
          <w:p>
            <w:pPr>
              <w:pStyle w:val="nzTable"/>
              <w:rPr>
                <w:del w:id="2670" w:author="svcMRProcess" w:date="2020-02-19T21:14:00Z"/>
              </w:rPr>
            </w:pPr>
            <w:del w:id="2671" w:author="svcMRProcess" w:date="2020-02-19T21:14:00Z">
              <w:r>
                <w:delText>s. 136</w:delText>
              </w:r>
            </w:del>
          </w:p>
        </w:tc>
      </w:tr>
    </w:tbl>
    <w:p>
      <w:pPr>
        <w:pStyle w:val="nzHeading5"/>
        <w:rPr>
          <w:del w:id="2672" w:author="svcMRProcess" w:date="2020-02-19T21:14:00Z"/>
        </w:rPr>
      </w:pPr>
      <w:bookmarkStart w:id="2673" w:name="_Toc80428055"/>
      <w:bookmarkStart w:id="2674" w:name="_Toc99357135"/>
      <w:bookmarkStart w:id="2675" w:name="_Toc99769634"/>
      <w:bookmarkStart w:id="2676" w:name="_Toc112746531"/>
      <w:del w:id="2677" w:author="svcMRProcess" w:date="2020-02-19T21:14:00Z">
        <w:r>
          <w:rPr>
            <w:rStyle w:val="CharSectno"/>
          </w:rPr>
          <w:delText>47</w:delText>
        </w:r>
        <w:r>
          <w:delText>.</w:delText>
        </w:r>
        <w:r>
          <w:tab/>
          <w:delText>Schedule 5 inserted</w:delText>
        </w:r>
        <w:bookmarkEnd w:id="2673"/>
        <w:bookmarkEnd w:id="2674"/>
        <w:bookmarkEnd w:id="2675"/>
        <w:bookmarkEnd w:id="2676"/>
      </w:del>
    </w:p>
    <w:p>
      <w:pPr>
        <w:pStyle w:val="nzSubsection"/>
        <w:rPr>
          <w:del w:id="2678" w:author="svcMRProcess" w:date="2020-02-19T21:14:00Z"/>
        </w:rPr>
      </w:pPr>
      <w:del w:id="2679" w:author="svcMRProcess" w:date="2020-02-19T21:14:00Z">
        <w:r>
          <w:tab/>
        </w:r>
        <w:r>
          <w:tab/>
          <w:delText xml:space="preserve">After Schedule 4 the following Schedule is inserted — </w:delText>
        </w:r>
      </w:del>
    </w:p>
    <w:p>
      <w:pPr>
        <w:pStyle w:val="MiscOpen"/>
        <w:rPr>
          <w:del w:id="2680" w:author="svcMRProcess" w:date="2020-02-19T21:14:00Z"/>
        </w:rPr>
      </w:pPr>
      <w:del w:id="2681" w:author="svcMRProcess" w:date="2020-02-19T21:14:00Z">
        <w:r>
          <w:delText xml:space="preserve">“    </w:delText>
        </w:r>
      </w:del>
    </w:p>
    <w:p>
      <w:pPr>
        <w:pStyle w:val="yScheduleHeading"/>
      </w:pPr>
      <w:bookmarkStart w:id="2682" w:name="_Toc112746407"/>
      <w:bookmarkStart w:id="2683" w:name="_Toc112746532"/>
      <w:r>
        <w:rPr>
          <w:rStyle w:val="CharSchNo"/>
        </w:rPr>
        <w:t>Schedule 5</w:t>
      </w:r>
      <w:r>
        <w:t> — </w:t>
      </w:r>
      <w:r>
        <w:rPr>
          <w:rStyle w:val="CharSchText"/>
        </w:rPr>
        <w:t>Occupational safety and health</w:t>
      </w:r>
      <w:bookmarkEnd w:id="1422"/>
      <w:bookmarkEnd w:id="1424"/>
      <w:bookmarkEnd w:id="1425"/>
      <w:bookmarkEnd w:id="2682"/>
      <w:bookmarkEnd w:id="2683"/>
    </w:p>
    <w:p>
      <w:pPr>
        <w:pStyle w:val="yShoulderClause"/>
      </w:pPr>
      <w:r>
        <w:t>[s. 151B]</w:t>
      </w:r>
    </w:p>
    <w:p>
      <w:pPr>
        <w:pStyle w:val="yFootnoteheading"/>
        <w:rPr>
          <w:ins w:id="2684" w:author="svcMRProcess" w:date="2020-02-19T21:14:00Z"/>
        </w:rPr>
      </w:pPr>
      <w:ins w:id="2685" w:author="svcMRProcess" w:date="2020-02-19T21:14:00Z">
        <w:r>
          <w:tab/>
          <w:t>[Heading inserted by No. 13 of 2005 s. 47.]</w:t>
        </w:r>
      </w:ins>
    </w:p>
    <w:p>
      <w:pPr>
        <w:pStyle w:val="yHeading3"/>
      </w:pPr>
      <w:bookmarkStart w:id="2686" w:name="_Toc131393924"/>
      <w:bookmarkStart w:id="2687" w:name="_Toc162761356"/>
      <w:bookmarkStart w:id="2688" w:name="_Toc170190747"/>
      <w:bookmarkStart w:id="2689" w:name="_Toc112746408"/>
      <w:bookmarkStart w:id="2690" w:name="_Toc112746533"/>
      <w:r>
        <w:rPr>
          <w:rStyle w:val="CharSDivNo"/>
        </w:rPr>
        <w:t>Division 1</w:t>
      </w:r>
      <w:r>
        <w:rPr>
          <w:b w:val="0"/>
        </w:rPr>
        <w:t> — </w:t>
      </w:r>
      <w:r>
        <w:rPr>
          <w:rStyle w:val="CharSDivText"/>
        </w:rPr>
        <w:t>Introduction</w:t>
      </w:r>
      <w:bookmarkEnd w:id="2686"/>
      <w:bookmarkEnd w:id="2687"/>
      <w:bookmarkEnd w:id="2688"/>
      <w:bookmarkEnd w:id="2689"/>
      <w:bookmarkEnd w:id="2690"/>
    </w:p>
    <w:p>
      <w:pPr>
        <w:pStyle w:val="yFootnoteheading"/>
        <w:rPr>
          <w:ins w:id="2691" w:author="svcMRProcess" w:date="2020-02-19T21:14:00Z"/>
        </w:rPr>
      </w:pPr>
      <w:ins w:id="2692" w:author="svcMRProcess" w:date="2020-02-19T21:14:00Z">
        <w:r>
          <w:tab/>
          <w:t>[Heading inserted by No. 13 of 2005 s. 47.]</w:t>
        </w:r>
      </w:ins>
    </w:p>
    <w:p>
      <w:pPr>
        <w:pStyle w:val="yHeading5"/>
      </w:pPr>
      <w:bookmarkStart w:id="2693" w:name="_Toc170190748"/>
      <w:r>
        <w:rPr>
          <w:rStyle w:val="CharSClsNo"/>
        </w:rPr>
        <w:t>1</w:t>
      </w:r>
      <w:r>
        <w:t>.</w:t>
      </w:r>
      <w:r>
        <w:rPr>
          <w:b w:val="0"/>
        </w:rPr>
        <w:tab/>
      </w:r>
      <w:r>
        <w:t>Objects</w:t>
      </w:r>
      <w:bookmarkEnd w:id="2693"/>
    </w:p>
    <w:p>
      <w:pPr>
        <w:pStyle w:val="ySubsection"/>
      </w:pPr>
      <w:r>
        <w:tab/>
      </w:r>
      <w:r>
        <w:tab/>
        <w:t xml:space="preserve">The objects of this Schedule are, in relation to facilities located in the adjacent area — </w:t>
      </w:r>
    </w:p>
    <w:p>
      <w:pPr>
        <w:pStyle w:val="yIndenta"/>
      </w:pPr>
      <w:r>
        <w:tab/>
        <w:t>(a)</w:t>
      </w:r>
      <w:r>
        <w:tab/>
        <w:t xml:space="preserve">to secure the occupational safety and health of persons at or near those facilities; </w:t>
      </w:r>
    </w:p>
    <w:p>
      <w:pPr>
        <w:pStyle w:val="yIndenta"/>
      </w:pPr>
      <w:r>
        <w:tab/>
        <w:t>(b)</w:t>
      </w:r>
      <w:r>
        <w:tab/>
        <w:t xml:space="preserve">to protect persons at or near those facilities from risks to occupational safety and health arising out of activities being conducted at those facilities; </w:t>
      </w:r>
    </w:p>
    <w:p>
      <w:pPr>
        <w:pStyle w:val="yIndenta"/>
      </w:pPr>
      <w:r>
        <w:tab/>
        <w:t>(c)</w:t>
      </w:r>
      <w:r>
        <w:tab/>
        <w:t xml:space="preserve">to ensure that expert advice is available on occupational safety and health matters in relation to those facilities; </w:t>
      </w:r>
    </w:p>
    <w:p>
      <w:pPr>
        <w:pStyle w:val="yIndenta"/>
      </w:pPr>
      <w:r>
        <w:tab/>
        <w:t>(d)</w:t>
      </w:r>
      <w:r>
        <w:tab/>
        <w:t>to promote an occupational environment for members of the workforce at those facilities that is adapted to their needs relating to safety and health; and</w:t>
      </w:r>
    </w:p>
    <w:p>
      <w:pPr>
        <w:pStyle w:val="yIndenta"/>
      </w:pPr>
      <w:r>
        <w:tab/>
        <w:t>(e)</w:t>
      </w:r>
      <w:r>
        <w:tab/>
        <w:t>to foster a consultative relationship between all relevant persons concerning the safety and health of members of the workforce at those facilities.</w:t>
      </w:r>
    </w:p>
    <w:p>
      <w:pPr>
        <w:pStyle w:val="yFootnotesection"/>
        <w:rPr>
          <w:ins w:id="2694" w:author="svcMRProcess" w:date="2020-02-19T21:14:00Z"/>
        </w:rPr>
      </w:pPr>
      <w:ins w:id="2695" w:author="svcMRProcess" w:date="2020-02-19T21:14:00Z">
        <w:r>
          <w:tab/>
          <w:t>[Clause 1 inserted by No. 13 of 2005 s. 47.]</w:t>
        </w:r>
      </w:ins>
    </w:p>
    <w:p>
      <w:pPr>
        <w:pStyle w:val="yHeading5"/>
      </w:pPr>
      <w:bookmarkStart w:id="2696" w:name="_Toc170190749"/>
      <w:r>
        <w:rPr>
          <w:rStyle w:val="CharSClsNo"/>
        </w:rPr>
        <w:t>2</w:t>
      </w:r>
      <w:r>
        <w:t>.</w:t>
      </w:r>
      <w:r>
        <w:rPr>
          <w:b w:val="0"/>
        </w:rPr>
        <w:tab/>
      </w:r>
      <w:r>
        <w:t>Simplified outline</w:t>
      </w:r>
      <w:bookmarkEnd w:id="2696"/>
    </w:p>
    <w:p>
      <w:pPr>
        <w:pStyle w:val="ySubsection"/>
      </w:pPr>
      <w:r>
        <w:tab/>
      </w:r>
      <w:r>
        <w:tab/>
        <w:t xml:space="preserve">The following is a simplified outline of this Schedule — </w:t>
      </w:r>
    </w:p>
    <w:p>
      <w:pPr>
        <w:pStyle w:val="ySubsection"/>
        <w:numPr>
          <w:ilvl w:val="0"/>
          <w:numId w:val="4"/>
        </w:numPr>
        <w:tabs>
          <w:tab w:val="clear" w:pos="595"/>
          <w:tab w:val="clear" w:pos="720"/>
          <w:tab w:val="clear" w:pos="879"/>
          <w:tab w:val="right" w:pos="1134"/>
          <w:tab w:val="left" w:pos="1418"/>
          <w:tab w:val="num" w:pos="1560"/>
        </w:tabs>
        <w:ind w:left="1134" w:hanging="283"/>
      </w:pPr>
      <w:r>
        <w:t>This Schedule sets up a scheme to regulate occupational safety and health matters at or near facilities.</w:t>
      </w:r>
    </w:p>
    <w:p>
      <w:pPr>
        <w:pStyle w:val="ySubsection"/>
        <w:numPr>
          <w:ilvl w:val="0"/>
          <w:numId w:val="4"/>
        </w:numPr>
        <w:tabs>
          <w:tab w:val="clear" w:pos="595"/>
          <w:tab w:val="clear" w:pos="720"/>
          <w:tab w:val="clear" w:pos="879"/>
          <w:tab w:val="right" w:pos="1134"/>
          <w:tab w:val="left" w:pos="1418"/>
          <w:tab w:val="num" w:pos="1560"/>
        </w:tabs>
        <w:ind w:left="1134" w:hanging="283"/>
      </w:pPr>
      <w:r>
        <w:t xml:space="preserve">Occupational safety and health duties are imposed on the following — </w:t>
      </w:r>
    </w:p>
    <w:p>
      <w:pPr>
        <w:pStyle w:val="yIndenta"/>
      </w:pPr>
      <w:r>
        <w:tab/>
        <w:t>(a)</w:t>
      </w:r>
      <w:r>
        <w:tab/>
        <w:t>the operator of a facility;</w:t>
      </w:r>
    </w:p>
    <w:p>
      <w:pPr>
        <w:pStyle w:val="yIndenta"/>
      </w:pPr>
      <w:r>
        <w:tab/>
        <w:t>(b)</w:t>
      </w:r>
      <w:r>
        <w:tab/>
        <w:t>a person in control of a part of a facility, or of any work carried out at a facility;</w:t>
      </w:r>
    </w:p>
    <w:p>
      <w:pPr>
        <w:pStyle w:val="yIndenta"/>
      </w:pPr>
      <w:r>
        <w:tab/>
        <w:t>(c)</w:t>
      </w:r>
      <w:r>
        <w:tab/>
        <w:t>an employer;</w:t>
      </w:r>
    </w:p>
    <w:p>
      <w:pPr>
        <w:pStyle w:val="yIndenta"/>
      </w:pPr>
      <w:r>
        <w:tab/>
        <w:t>(d)</w:t>
      </w:r>
      <w:r>
        <w:tab/>
        <w:t>a manufacturer of plant, or a substance, for use at a facility;</w:t>
      </w:r>
    </w:p>
    <w:p>
      <w:pPr>
        <w:pStyle w:val="yIndenta"/>
      </w:pPr>
      <w:r>
        <w:tab/>
        <w:t>(e)</w:t>
      </w:r>
      <w:r>
        <w:tab/>
        <w:t>a supplier of a facility, or of any plant or substance for use at a facility;</w:t>
      </w:r>
    </w:p>
    <w:p>
      <w:pPr>
        <w:pStyle w:val="yIndenta"/>
      </w:pPr>
      <w:r>
        <w:tab/>
        <w:t>(f)</w:t>
      </w:r>
      <w:r>
        <w:tab/>
        <w:t>a person who erects or installs a facility, or any plant at a facility;</w:t>
      </w:r>
    </w:p>
    <w:p>
      <w:pPr>
        <w:pStyle w:val="yIndenta"/>
      </w:pPr>
      <w:r>
        <w:tab/>
        <w:t>(g)</w:t>
      </w:r>
      <w:r>
        <w:tab/>
        <w:t>a person at a facility.</w:t>
      </w:r>
    </w:p>
    <w:p>
      <w:pPr>
        <w:pStyle w:val="ySubsection"/>
        <w:numPr>
          <w:ilvl w:val="0"/>
          <w:numId w:val="4"/>
        </w:numPr>
        <w:tabs>
          <w:tab w:val="clear" w:pos="595"/>
          <w:tab w:val="clear" w:pos="720"/>
          <w:tab w:val="clear" w:pos="879"/>
          <w:tab w:val="right" w:pos="1134"/>
          <w:tab w:val="left" w:pos="1418"/>
          <w:tab w:val="num" w:pos="1560"/>
        </w:tabs>
        <w:ind w:left="1134" w:hanging="283"/>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ind w:left="1134" w:hanging="283"/>
      </w:pPr>
      <w:r>
        <w:t xml:space="preserve">An OHS inspector may conduct an inspection — </w:t>
      </w:r>
    </w:p>
    <w:p>
      <w:pPr>
        <w:pStyle w:val="yIndenta"/>
      </w:pPr>
      <w:r>
        <w:tab/>
        <w:t>(a)</w:t>
      </w:r>
      <w:r>
        <w:tab/>
        <w:t xml:space="preserve">to ascertain whether a listed OSH law is being complied with; </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ind w:left="1134" w:hanging="283"/>
      </w:pPr>
      <w:r>
        <w:t>The operator of a facility must report accidents and dangerous occurrences to the Safety Authority.</w:t>
      </w:r>
    </w:p>
    <w:p>
      <w:pPr>
        <w:pStyle w:val="yFootnotesection"/>
        <w:rPr>
          <w:ins w:id="2697" w:author="svcMRProcess" w:date="2020-02-19T21:14:00Z"/>
        </w:rPr>
      </w:pPr>
      <w:ins w:id="2698" w:author="svcMRProcess" w:date="2020-02-19T21:14:00Z">
        <w:r>
          <w:tab/>
          <w:t>[Clause 2 inserted by No. 13 of 2005 s. 47.]</w:t>
        </w:r>
      </w:ins>
    </w:p>
    <w:p>
      <w:pPr>
        <w:pStyle w:val="yHeading5"/>
      </w:pPr>
      <w:bookmarkStart w:id="2699" w:name="_Toc170190750"/>
      <w:r>
        <w:rPr>
          <w:rStyle w:val="CharSClsNo"/>
        </w:rPr>
        <w:t>3</w:t>
      </w:r>
      <w:r>
        <w:t>.</w:t>
      </w:r>
      <w:r>
        <w:rPr>
          <w:b w:val="0"/>
        </w:rPr>
        <w:tab/>
      </w:r>
      <w:r>
        <w:t>Definitions</w:t>
      </w:r>
      <w:bookmarkEnd w:id="2699"/>
    </w:p>
    <w:p>
      <w:pPr>
        <w:pStyle w:val="ySubsection"/>
      </w:pPr>
      <w:r>
        <w:tab/>
      </w:r>
      <w:r>
        <w:tab/>
        <w:t xml:space="preserve">In this Schedule — </w:t>
      </w:r>
    </w:p>
    <w:p>
      <w:pPr>
        <w:pStyle w:val="yDefstart"/>
      </w:pPr>
      <w:r>
        <w:tab/>
      </w:r>
      <w:r>
        <w:rPr>
          <w:b/>
        </w:rPr>
        <w:t>“</w:t>
      </w:r>
      <w:r>
        <w:rPr>
          <w:rStyle w:val="CharDefText"/>
        </w:rPr>
        <w:t>accident</w:t>
      </w:r>
      <w:r>
        <w:rPr>
          <w:b/>
        </w:rPr>
        <w:t>”</w:t>
      </w:r>
      <w:r>
        <w:t xml:space="preserve"> </w:t>
      </w:r>
      <w:r>
        <w:rPr>
          <w:bCs/>
        </w:rPr>
        <w:t>includes</w:t>
      </w:r>
      <w:r>
        <w:t xml:space="preserve"> the contraction of a disease;</w:t>
      </w:r>
    </w:p>
    <w:p>
      <w:pPr>
        <w:pStyle w:val="yDefstart"/>
      </w:pPr>
      <w:r>
        <w:tab/>
      </w:r>
      <w:r>
        <w:rPr>
          <w:b/>
          <w:bCs/>
        </w:rPr>
        <w:t>“</w:t>
      </w:r>
      <w:r>
        <w:rPr>
          <w:rStyle w:val="CharDefText"/>
        </w:rPr>
        <w:t>associated offshore place</w:t>
      </w:r>
      <w:r>
        <w:rPr>
          <w:b/>
          <w:bCs/>
        </w:rPr>
        <w:t>”</w:t>
      </w:r>
      <w:r>
        <w:t xml:space="preserve">, in relation to a facility, means any offshore place near the facility where activities (including diving activities) relating to the construction, installation, operation, maintenance or decommissioning of the facility take place, but does not include — </w:t>
      </w:r>
    </w:p>
    <w:p>
      <w:pPr>
        <w:pStyle w:val="yDefpara"/>
      </w:pPr>
      <w:r>
        <w:tab/>
        <w:t>(a)</w:t>
      </w:r>
      <w:r>
        <w:tab/>
        <w:t xml:space="preserve">another facility; </w:t>
      </w:r>
    </w:p>
    <w:p>
      <w:pPr>
        <w:pStyle w:val="yDefpara"/>
      </w:pPr>
      <w:r>
        <w:tab/>
        <w:t>(b)</w:t>
      </w:r>
      <w:r>
        <w:tab/>
        <w:t>a supply vessel, offtake tanker, anchor handler or tugboat; or</w:t>
      </w:r>
    </w:p>
    <w:p>
      <w:pPr>
        <w:pStyle w:val="yDefpara"/>
      </w:pPr>
      <w:r>
        <w:tab/>
        <w:t>(c)</w:t>
      </w:r>
      <w:r>
        <w:tab/>
        <w:t>a vessel, or structure, that is declared by the regulations not to be an associated offshore place;</w:t>
      </w:r>
    </w:p>
    <w:p>
      <w:pPr>
        <w:pStyle w:val="yDefstart"/>
      </w:pPr>
      <w:r>
        <w:tab/>
      </w:r>
      <w:r>
        <w:rPr>
          <w:b/>
          <w:bCs/>
        </w:rPr>
        <w:t>“</w:t>
      </w:r>
      <w:r>
        <w:rPr>
          <w:rStyle w:val="CharDefText"/>
        </w:rPr>
        <w:t>contract</w:t>
      </w:r>
      <w:r>
        <w:rPr>
          <w:b/>
          <w:bCs/>
        </w:rPr>
        <w:t>”</w:t>
      </w:r>
      <w:r>
        <w:t xml:space="preserve"> includes an arrangement or understanding;</w:t>
      </w:r>
    </w:p>
    <w:p>
      <w:pPr>
        <w:pStyle w:val="yDefstart"/>
      </w:pPr>
      <w:r>
        <w:tab/>
      </w:r>
      <w:r>
        <w:rPr>
          <w:b/>
          <w:bCs/>
        </w:rPr>
        <w:t>“</w:t>
      </w:r>
      <w:r>
        <w:rPr>
          <w:rStyle w:val="CharDefText"/>
        </w:rPr>
        <w:t>contractor</w:t>
      </w:r>
      <w:r>
        <w:rPr>
          <w:b/>
          <w:bCs/>
        </w:rPr>
        <w:t>”</w:t>
      </w:r>
      <w:r>
        <w:t xml:space="preserve"> has the meaning given by clause 7;</w:t>
      </w:r>
    </w:p>
    <w:p>
      <w:pPr>
        <w:pStyle w:val="yDefstart"/>
      </w:pPr>
      <w:r>
        <w:tab/>
      </w:r>
      <w:r>
        <w:rPr>
          <w:b/>
        </w:rPr>
        <w:t>“</w:t>
      </w:r>
      <w:r>
        <w:rPr>
          <w:rStyle w:val="CharDefText"/>
        </w:rPr>
        <w:t>dangerous occurrence</w:t>
      </w:r>
      <w:r>
        <w:rPr>
          <w:b/>
        </w:rPr>
        <w:t>”</w:t>
      </w:r>
      <w:r>
        <w:t xml:space="preserve"> means an occurrence declared by the regulations to be a dangerous occurrence for the purposes of this definition;</w:t>
      </w:r>
    </w:p>
    <w:p>
      <w:pPr>
        <w:pStyle w:val="yDefstart"/>
      </w:pPr>
      <w:r>
        <w:tab/>
      </w:r>
      <w:r>
        <w:rPr>
          <w:b/>
        </w:rPr>
        <w:t>“</w:t>
      </w:r>
      <w:r>
        <w:rPr>
          <w:rStyle w:val="CharDefText"/>
        </w:rPr>
        <w:t>designated work group</w:t>
      </w:r>
      <w:r>
        <w:rPr>
          <w:b/>
        </w:rPr>
        <w:t>”</w:t>
      </w:r>
      <w:r>
        <w:t xml:space="preserve"> means — </w:t>
      </w:r>
    </w:p>
    <w:p>
      <w:pPr>
        <w:pStyle w:val="yDefpara"/>
      </w:pPr>
      <w:r>
        <w:tab/>
        <w:t>(a)</w:t>
      </w:r>
      <w:r>
        <w:tab/>
        <w:t>a group of members of the workforce at a facility that is established as a designated work group under clause 18 or 19; or</w:t>
      </w:r>
    </w:p>
    <w:p>
      <w:pPr>
        <w:pStyle w:val="yDefpara"/>
      </w:pPr>
      <w:r>
        <w:tab/>
        <w:t>(b)</w:t>
      </w:r>
      <w:r>
        <w:tab/>
        <w:t>that group as varied in accordance with clause 20 or 21;</w:t>
      </w:r>
    </w:p>
    <w:p>
      <w:pPr>
        <w:pStyle w:val="yDefstart"/>
      </w:pPr>
      <w:r>
        <w:tab/>
      </w:r>
      <w:r>
        <w:rPr>
          <w:b/>
        </w:rPr>
        <w:t>“</w:t>
      </w:r>
      <w:r>
        <w:rPr>
          <w:rStyle w:val="CharDefText"/>
        </w:rPr>
        <w:t>employee</w:t>
      </w:r>
      <w:r>
        <w:rPr>
          <w:b/>
        </w:rPr>
        <w:t>”</w:t>
      </w:r>
      <w:r>
        <w:t>, in relation to an employer, means an employee of that employer;</w:t>
      </w:r>
    </w:p>
    <w:p>
      <w:pPr>
        <w:pStyle w:val="yDefstart"/>
      </w:pPr>
      <w:r>
        <w:tab/>
      </w:r>
      <w:r>
        <w:rPr>
          <w:b/>
        </w:rPr>
        <w:t>“</w:t>
      </w:r>
      <w:r>
        <w:rPr>
          <w:rStyle w:val="CharDefText"/>
        </w:rPr>
        <w:t>employer</w:t>
      </w:r>
      <w:r>
        <w:rPr>
          <w:b/>
        </w:rPr>
        <w:t>”</w:t>
      </w:r>
      <w:r>
        <w:t xml:space="preserve"> means an employer who carries on an activity at a facility;</w:t>
      </w:r>
    </w:p>
    <w:p>
      <w:pPr>
        <w:pStyle w:val="yDefstart"/>
      </w:pPr>
      <w:r>
        <w:tab/>
      </w:r>
      <w:r>
        <w:rPr>
          <w:b/>
        </w:rPr>
        <w:t>“</w:t>
      </w:r>
      <w:r>
        <w:rPr>
          <w:rStyle w:val="CharDefText"/>
        </w:rPr>
        <w:t>facility</w:t>
      </w:r>
      <w:r>
        <w:rPr>
          <w:b/>
        </w:rPr>
        <w:t>”</w:t>
      </w:r>
      <w:r>
        <w:t xml:space="preserve"> means a facility as defined by clause 4, and — </w:t>
      </w:r>
    </w:p>
    <w:p>
      <w:pPr>
        <w:pStyle w:val="yDefpara"/>
      </w:pPr>
      <w:r>
        <w:tab/>
        <w:t>(a)</w:t>
      </w:r>
      <w:r>
        <w:tab/>
        <w:t>includes a facility (as defined by clause 4) that is being constructed or installed; and</w:t>
      </w:r>
    </w:p>
    <w:p>
      <w:pPr>
        <w:pStyle w:val="yDefpara"/>
      </w:pPr>
      <w:r>
        <w:tab/>
        <w:t>(b)</w:t>
      </w:r>
      <w:r>
        <w:tab/>
        <w:t>except in the definition of “associated offshore place”, includes an associated offshore place in relation to a facility (as defined by clause 4);</w:t>
      </w:r>
    </w:p>
    <w:p>
      <w:pPr>
        <w:pStyle w:val="yDefstart"/>
      </w:pPr>
      <w:r>
        <w:tab/>
      </w:r>
      <w:r>
        <w:rPr>
          <w:b/>
        </w:rPr>
        <w:t>“</w:t>
      </w:r>
      <w:r>
        <w:rPr>
          <w:rStyle w:val="CharDefText"/>
        </w:rPr>
        <w:t>group member</w:t>
      </w:r>
      <w:r>
        <w:rPr>
          <w:b/>
        </w:rPr>
        <w:t>”</w:t>
      </w:r>
      <w:r>
        <w:t xml:space="preserve">, in relation to a designated work group at a facility, means a person who is — </w:t>
      </w:r>
    </w:p>
    <w:p>
      <w:pPr>
        <w:pStyle w:val="yDefpara"/>
      </w:pPr>
      <w:r>
        <w:tab/>
        <w:t>(a)</w:t>
      </w:r>
      <w:r>
        <w:tab/>
        <w:t>a member of the workforce at that facility; and</w:t>
      </w:r>
    </w:p>
    <w:p>
      <w:pPr>
        <w:pStyle w:val="yDefpara"/>
      </w:pPr>
      <w:r>
        <w:tab/>
        <w:t>(b)</w:t>
      </w:r>
      <w:r>
        <w:tab/>
        <w:t>included in that designated work group;</w:t>
      </w:r>
    </w:p>
    <w:p>
      <w:pPr>
        <w:pStyle w:val="yDefstart"/>
      </w:pPr>
      <w:r>
        <w:tab/>
      </w:r>
      <w:r>
        <w:rPr>
          <w:b/>
        </w:rPr>
        <w:t>“</w:t>
      </w:r>
      <w:r>
        <w:rPr>
          <w:rStyle w:val="CharDefText"/>
        </w:rPr>
        <w:t>improvement notice</w:t>
      </w:r>
      <w:r>
        <w:rPr>
          <w:b/>
        </w:rPr>
        <w:t>”</w:t>
      </w:r>
      <w:r>
        <w:t xml:space="preserve"> means an improvement notice issued under clause 61(1);</w:t>
      </w:r>
    </w:p>
    <w:p>
      <w:pPr>
        <w:pStyle w:val="yDefstart"/>
        <w:rPr>
          <w:b/>
          <w:i/>
        </w:rPr>
      </w:pPr>
      <w:r>
        <w:tab/>
      </w:r>
      <w:r>
        <w:rPr>
          <w:b/>
        </w:rPr>
        <w:t>“</w:t>
      </w:r>
      <w:r>
        <w:rPr>
          <w:rStyle w:val="CharDefText"/>
        </w:rPr>
        <w:t>inspection</w:t>
      </w:r>
      <w:r>
        <w:rPr>
          <w:b/>
        </w:rPr>
        <w:t>”</w:t>
      </w:r>
      <w:r>
        <w:t xml:space="preserve"> means an inspection conducted under Division 4 and includes an investigation or inquiry;</w:t>
      </w:r>
    </w:p>
    <w:p>
      <w:pPr>
        <w:pStyle w:val="yDefstart"/>
      </w:pPr>
      <w:r>
        <w:tab/>
      </w:r>
      <w:r>
        <w:rPr>
          <w:b/>
        </w:rPr>
        <w:t>“</w:t>
      </w:r>
      <w:r>
        <w:rPr>
          <w:rStyle w:val="CharDefText"/>
        </w:rPr>
        <w:t>member of the workforce</w:t>
      </w:r>
      <w:r>
        <w:rPr>
          <w:b/>
        </w:rPr>
        <w:t>”</w:t>
      </w:r>
      <w:r>
        <w:t xml:space="preserve">, in relation to a facility, means a natural person who does work at the facility, whether — </w:t>
      </w:r>
    </w:p>
    <w:p>
      <w:pPr>
        <w:pStyle w:val="yDefpara"/>
      </w:pPr>
      <w:r>
        <w:tab/>
        <w:t>(a)</w:t>
      </w:r>
      <w:r>
        <w:tab/>
        <w:t>as an employee of the operator of the facility or of another person; or</w:t>
      </w:r>
    </w:p>
    <w:p>
      <w:pPr>
        <w:pStyle w:val="yDefpara"/>
      </w:pPr>
      <w:r>
        <w:tab/>
        <w:t>(b)</w:t>
      </w:r>
      <w:r>
        <w:tab/>
        <w:t>as a contractor of the operator or of another person;</w:t>
      </w:r>
    </w:p>
    <w:p>
      <w:pPr>
        <w:pStyle w:val="yDefstart"/>
      </w:pPr>
      <w:r>
        <w:tab/>
      </w:r>
      <w:r>
        <w:rPr>
          <w:b/>
        </w:rPr>
        <w:t>“</w:t>
      </w:r>
      <w:r>
        <w:rPr>
          <w:rStyle w:val="CharDefText"/>
        </w:rPr>
        <w:t>operator</w:t>
      </w:r>
      <w:r>
        <w:rPr>
          <w:b/>
        </w:rPr>
        <w:t>”</w:t>
      </w:r>
      <w:r>
        <w:t>, in relation to a facility or proposed facility, means the person who, under the regulations, is taken to be the operator of that facility or proposed facility;</w:t>
      </w:r>
    </w:p>
    <w:p>
      <w:pPr>
        <w:pStyle w:val="yDefstart"/>
      </w:pPr>
      <w:r>
        <w:tab/>
      </w:r>
      <w:r>
        <w:rPr>
          <w:b/>
        </w:rPr>
        <w:t>“</w:t>
      </w:r>
      <w:r>
        <w:rPr>
          <w:rStyle w:val="CharDefText"/>
        </w:rPr>
        <w:t>operator’s representative</w:t>
      </w:r>
      <w:r>
        <w:rPr>
          <w:b/>
        </w:rPr>
        <w:t>”</w:t>
      </w:r>
      <w:r>
        <w:t xml:space="preserve"> means a person present at a facility in compliance with the obligations imposed on the operator by clause 5;</w:t>
      </w:r>
    </w:p>
    <w:p>
      <w:pPr>
        <w:pStyle w:val="yDefstart"/>
      </w:pPr>
      <w:r>
        <w:tab/>
      </w:r>
      <w:r>
        <w:rPr>
          <w:b/>
        </w:rPr>
        <w:t>“</w:t>
      </w:r>
      <w:r>
        <w:rPr>
          <w:rStyle w:val="CharDefText"/>
        </w:rPr>
        <w:t>own</w:t>
      </w:r>
      <w:r>
        <w:rPr>
          <w:b/>
        </w:rPr>
        <w:t>”</w:t>
      </w:r>
      <w:r>
        <w:t xml:space="preserve"> includes own jointly and own in part;</w:t>
      </w:r>
    </w:p>
    <w:p>
      <w:pPr>
        <w:pStyle w:val="yDefstart"/>
      </w:pPr>
      <w:r>
        <w:tab/>
      </w:r>
      <w:r>
        <w:rPr>
          <w:b/>
        </w:rPr>
        <w:t>“</w:t>
      </w:r>
      <w:r>
        <w:rPr>
          <w:rStyle w:val="CharDefText"/>
        </w:rPr>
        <w:t>plant</w:t>
      </w:r>
      <w:r>
        <w:rPr>
          <w:b/>
        </w:rPr>
        <w:t>”</w:t>
      </w:r>
      <w:r>
        <w:t xml:space="preserve"> includes any machinery, equipment or tool, or any component;</w:t>
      </w:r>
    </w:p>
    <w:p>
      <w:pPr>
        <w:pStyle w:val="yDefstart"/>
      </w:pPr>
      <w:r>
        <w:tab/>
      </w:r>
      <w:r>
        <w:rPr>
          <w:b/>
        </w:rPr>
        <w:t>“</w:t>
      </w:r>
      <w:r>
        <w:rPr>
          <w:rStyle w:val="CharDefText"/>
        </w:rPr>
        <w:t>premises</w:t>
      </w:r>
      <w:r>
        <w:rPr>
          <w:b/>
        </w:rPr>
        <w:t>”</w:t>
      </w:r>
      <w:r>
        <w:t xml:space="preserve"> includes the following — </w:t>
      </w:r>
    </w:p>
    <w:p>
      <w:pPr>
        <w:pStyle w:val="yDefpara"/>
      </w:pPr>
      <w:r>
        <w:tab/>
        <w:t>(a)</w:t>
      </w:r>
      <w:r>
        <w:tab/>
        <w:t>a structure or building;</w:t>
      </w:r>
    </w:p>
    <w:p>
      <w:pPr>
        <w:pStyle w:val="yDefpara"/>
      </w:pPr>
      <w:r>
        <w:tab/>
        <w:t>(b)</w:t>
      </w:r>
      <w:r>
        <w:tab/>
        <w:t>a place (whether or not enclosed or built on);</w:t>
      </w:r>
    </w:p>
    <w:p>
      <w:pPr>
        <w:pStyle w:val="yDefpara"/>
      </w:pPr>
      <w:r>
        <w:tab/>
        <w:t>(c)</w:t>
      </w:r>
      <w:r>
        <w:tab/>
        <w:t>a part of a thing referred to in paragraph (a) or (b);</w:t>
      </w:r>
    </w:p>
    <w:p>
      <w:pPr>
        <w:pStyle w:val="yDefstart"/>
      </w:pPr>
      <w:r>
        <w:tab/>
      </w:r>
      <w:r>
        <w:rPr>
          <w:b/>
        </w:rPr>
        <w:t>“</w:t>
      </w:r>
      <w:r>
        <w:rPr>
          <w:rStyle w:val="CharDefText"/>
        </w:rPr>
        <w:t>prohibition notice</w:t>
      </w:r>
      <w:r>
        <w:rPr>
          <w:b/>
        </w:rPr>
        <w:t>”</w:t>
      </w:r>
      <w:r>
        <w:t xml:space="preserve"> means a prohibition notice issued under clause 59(1);</w:t>
      </w:r>
    </w:p>
    <w:p>
      <w:pPr>
        <w:pStyle w:val="yDefstart"/>
      </w:pPr>
      <w:r>
        <w:tab/>
      </w:r>
      <w:r>
        <w:rPr>
          <w:b/>
        </w:rPr>
        <w:t>“</w:t>
      </w:r>
      <w:r>
        <w:rPr>
          <w:rStyle w:val="CharDefText"/>
        </w:rPr>
        <w:t>proposed facility</w:t>
      </w:r>
      <w:r>
        <w:rPr>
          <w:b/>
        </w:rPr>
        <w:t>”</w:t>
      </w:r>
      <w:r>
        <w:t xml:space="preserve"> means a facility proposed to be constructed, installed or operated;</w:t>
      </w:r>
    </w:p>
    <w:p>
      <w:pPr>
        <w:pStyle w:val="yDefstart"/>
      </w:pPr>
      <w:r>
        <w:tab/>
      </w:r>
      <w:r>
        <w:rPr>
          <w:b/>
        </w:rPr>
        <w:t>“</w:t>
      </w:r>
      <w:r>
        <w:rPr>
          <w:rStyle w:val="CharDefText"/>
        </w:rPr>
        <w:t>recovery</w:t>
      </w:r>
      <w:r>
        <w:rPr>
          <w:b/>
        </w:rPr>
        <w:t>”</w:t>
      </w:r>
      <w:r>
        <w:t>, in relation to petroleum, includes all processes directly or indirectly associated with its recovery;</w:t>
      </w:r>
    </w:p>
    <w:p>
      <w:pPr>
        <w:pStyle w:val="yDefstart"/>
      </w:pPr>
      <w:r>
        <w:tab/>
      </w:r>
      <w:r>
        <w:rPr>
          <w:b/>
        </w:rPr>
        <w:t>“</w:t>
      </w:r>
      <w:r>
        <w:rPr>
          <w:rStyle w:val="CharDefText"/>
        </w:rPr>
        <w:t>registered organisation</w:t>
      </w:r>
      <w:r>
        <w:rPr>
          <w:b/>
        </w:rPr>
        <w:t>”</w:t>
      </w:r>
      <w:r>
        <w:t xml:space="preserve"> means an organisation — </w:t>
      </w:r>
    </w:p>
    <w:p>
      <w:pPr>
        <w:pStyle w:val="yDefpara"/>
      </w:pPr>
      <w:r>
        <w:tab/>
        <w:t>(a)</w:t>
      </w:r>
      <w:r>
        <w:tab/>
        <w:t xml:space="preserve">within the meaning of the </w:t>
      </w:r>
      <w:r>
        <w:rPr>
          <w:i/>
          <w:iCs/>
        </w:rPr>
        <w:t xml:space="preserve">Workplace Relations Act 1996 </w:t>
      </w:r>
      <w:r>
        <w:t>of the Commonwealth; or</w:t>
      </w:r>
    </w:p>
    <w:p>
      <w:pPr>
        <w:pStyle w:val="yDefpara"/>
      </w:pPr>
      <w:r>
        <w:tab/>
        <w:t>(b)</w:t>
      </w:r>
      <w:r>
        <w:tab/>
        <w:t xml:space="preserve">as defined in section 7(1) of the </w:t>
      </w:r>
      <w:r>
        <w:rPr>
          <w:i/>
        </w:rPr>
        <w:t>Industrial Relations Act 1979</w:t>
      </w:r>
      <w:r>
        <w:t>;</w:t>
      </w:r>
    </w:p>
    <w:p>
      <w:pPr>
        <w:pStyle w:val="yDefstart"/>
      </w:pPr>
      <w:r>
        <w:tab/>
      </w:r>
      <w:r>
        <w:rPr>
          <w:b/>
        </w:rPr>
        <w:t>“</w:t>
      </w:r>
      <w:r>
        <w:rPr>
          <w:rStyle w:val="CharDefText"/>
        </w:rPr>
        <w:t>regulated business premises</w:t>
      </w:r>
      <w:r>
        <w:rPr>
          <w:b/>
        </w:rPr>
        <w:t>”</w:t>
      </w:r>
      <w:r>
        <w:t xml:space="preserve"> means — </w:t>
      </w:r>
    </w:p>
    <w:p>
      <w:pPr>
        <w:pStyle w:val="yDefpara"/>
      </w:pPr>
      <w:r>
        <w:tab/>
        <w:t>(a)</w:t>
      </w:r>
      <w:r>
        <w:tab/>
        <w:t>a facility; or</w:t>
      </w:r>
    </w:p>
    <w:p>
      <w:pPr>
        <w:pStyle w:val="yDefpara"/>
      </w:pPr>
      <w:r>
        <w:tab/>
        <w:t>(b)</w:t>
      </w:r>
      <w:r>
        <w:tab/>
        <w:t xml:space="preserve">premises that are — </w:t>
      </w:r>
    </w:p>
    <w:p>
      <w:pPr>
        <w:pStyle w:val="yDefsubpara"/>
      </w:pPr>
      <w:r>
        <w:tab/>
        <w:t>(i)</w:t>
      </w:r>
      <w:r>
        <w:tab/>
        <w:t>occupied by a person who is the operator of a facility; and</w:t>
      </w:r>
    </w:p>
    <w:p>
      <w:pPr>
        <w:pStyle w:val="yDefsubpara"/>
      </w:pPr>
      <w:r>
        <w:tab/>
        <w:t>(ii)</w:t>
      </w:r>
      <w:r>
        <w:tab/>
        <w:t>used, or proposed to be used, wholly or principally in connection with an offshore petroleum operation;</w:t>
      </w:r>
    </w:p>
    <w:p>
      <w:pPr>
        <w:pStyle w:val="yDefstart"/>
      </w:pPr>
      <w:r>
        <w:tab/>
      </w:r>
      <w:r>
        <w:rPr>
          <w:b/>
        </w:rPr>
        <w:t>“</w:t>
      </w:r>
      <w:r>
        <w:rPr>
          <w:rStyle w:val="CharDefText"/>
        </w:rPr>
        <w:t>regulations</w:t>
      </w:r>
      <w:r>
        <w:rPr>
          <w:b/>
        </w:rPr>
        <w:t>”</w:t>
      </w:r>
      <w:r>
        <w:t xml:space="preserve"> means regulations made for the purposes of this Schedule;</w:t>
      </w:r>
    </w:p>
    <w:p>
      <w:pPr>
        <w:pStyle w:val="yDefstart"/>
        <w:rPr>
          <w:b/>
          <w:i/>
        </w:rPr>
      </w:pPr>
      <w:r>
        <w:tab/>
      </w:r>
      <w:r>
        <w:rPr>
          <w:b/>
        </w:rPr>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yDefstart"/>
      </w:pPr>
      <w:r>
        <w:tab/>
      </w:r>
      <w:r>
        <w:rPr>
          <w:b/>
        </w:rPr>
        <w:t>“</w:t>
      </w:r>
      <w:r>
        <w:rPr>
          <w:rStyle w:val="CharDefText"/>
        </w:rPr>
        <w:t>work</w:t>
      </w:r>
      <w:r>
        <w:rPr>
          <w:b/>
        </w:rPr>
        <w:t>”</w:t>
      </w:r>
      <w:r>
        <w:t xml:space="preserve"> means work offshore that is directly or indirectly related to the construction, installation, operation, maintenance or decommissioning of a facility;</w:t>
      </w:r>
    </w:p>
    <w:p>
      <w:pPr>
        <w:pStyle w:val="yDefstart"/>
      </w:pPr>
      <w:r>
        <w:tab/>
      </w:r>
      <w:r>
        <w:rPr>
          <w:b/>
        </w:rPr>
        <w:t>“</w:t>
      </w:r>
      <w:r>
        <w:rPr>
          <w:rStyle w:val="CharDefText"/>
        </w:rPr>
        <w:t>workforce representative</w:t>
      </w:r>
      <w:r>
        <w:rPr>
          <w:b/>
        </w:rPr>
        <w:t>”</w:t>
      </w:r>
      <w:r>
        <w:t xml:space="preserve"> means — </w:t>
      </w:r>
    </w:p>
    <w:p>
      <w:pPr>
        <w:pStyle w:val="yDefpara"/>
      </w:pPr>
      <w:r>
        <w:tab/>
        <w:t>(a)</w:t>
      </w:r>
      <w:r>
        <w:tab/>
        <w:t>in relation to a person who is a member of the workforce at a facility — a registered organisation of which that person is a member, if the person is qualified to be a member of that organisation because of the work the person performs at the facility; or</w:t>
      </w:r>
    </w:p>
    <w:p>
      <w:pPr>
        <w:pStyle w:val="y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at a facility as a member of the group;</w:t>
      </w:r>
    </w:p>
    <w:p>
      <w:pPr>
        <w:pStyle w:val="yDefstart"/>
      </w:pPr>
      <w:r>
        <w:tab/>
      </w:r>
      <w:r>
        <w:rPr>
          <w:b/>
        </w:rPr>
        <w:t>“</w:t>
      </w:r>
      <w:r>
        <w:rPr>
          <w:rStyle w:val="CharDefText"/>
        </w:rPr>
        <w:t>work group employer</w:t>
      </w:r>
      <w:r>
        <w:rPr>
          <w:b/>
        </w:rPr>
        <w:t>”</w:t>
      </w:r>
      <w:r>
        <w:t>, in relation to a designated work group at a facility, means an employer of one or more group members, but does not include the operator of the facility;</w:t>
      </w:r>
    </w:p>
    <w:p>
      <w:pPr>
        <w:pStyle w:val="yDefstart"/>
      </w:pPr>
      <w:r>
        <w:tab/>
      </w:r>
      <w:r>
        <w:rPr>
          <w:b/>
        </w:rPr>
        <w:t>“</w:t>
      </w:r>
      <w:r>
        <w:rPr>
          <w:rStyle w:val="CharDefText"/>
        </w:rPr>
        <w:t>workplace</w:t>
      </w:r>
      <w:r>
        <w:rPr>
          <w:b/>
        </w:rPr>
        <w:t>”</w:t>
      </w:r>
      <w:r>
        <w:t>, in relation to a facility, means the whole facility or any part of the facility.</w:t>
      </w:r>
    </w:p>
    <w:p>
      <w:pPr>
        <w:pStyle w:val="yFootnotesection"/>
        <w:rPr>
          <w:ins w:id="2700" w:author="svcMRProcess" w:date="2020-02-19T21:14:00Z"/>
        </w:rPr>
      </w:pPr>
      <w:ins w:id="2701" w:author="svcMRProcess" w:date="2020-02-19T21:14:00Z">
        <w:r>
          <w:tab/>
          <w:t>[Clause 3 inserted by No. 13 of 2005 s. 47.]</w:t>
        </w:r>
      </w:ins>
    </w:p>
    <w:p>
      <w:pPr>
        <w:pStyle w:val="yHeading5"/>
      </w:pPr>
      <w:bookmarkStart w:id="2702" w:name="_Toc170190751"/>
      <w:r>
        <w:rPr>
          <w:rStyle w:val="CharSClsNo"/>
        </w:rPr>
        <w:t>4</w:t>
      </w:r>
      <w:r>
        <w:t>.</w:t>
      </w:r>
      <w:r>
        <w:rPr>
          <w:b w:val="0"/>
        </w:rPr>
        <w:tab/>
      </w:r>
      <w:r>
        <w:t>Facilities</w:t>
      </w:r>
      <w:bookmarkEnd w:id="2702"/>
    </w:p>
    <w:p>
      <w:pPr>
        <w:pStyle w:val="ySubsection"/>
      </w:pPr>
      <w:r>
        <w:tab/>
        <w:t>(1)</w:t>
      </w:r>
      <w:r>
        <w:tab/>
        <w:t xml:space="preserve">A vessel or structure is taken to be a facility for the purposes of this Schedule while that vessel or structure — </w:t>
      </w:r>
    </w:p>
    <w:p>
      <w:pPr>
        <w:pStyle w:val="yIndenta"/>
      </w:pPr>
      <w:r>
        <w:tab/>
        <w:t>(a)</w:t>
      </w:r>
      <w:r>
        <w:tab/>
        <w:t>is located at a site in the adjacent area; and</w:t>
      </w:r>
    </w:p>
    <w:p>
      <w:pPr>
        <w:pStyle w:val="yIndenta"/>
      </w:pPr>
      <w:r>
        <w:tab/>
        <w:t>(b)</w:t>
      </w:r>
      <w:r>
        <w:tab/>
        <w:t xml:space="preserve">is being used, or prepared for use, at that site — </w:t>
      </w:r>
    </w:p>
    <w:p>
      <w:pPr>
        <w:pStyle w:val="yIndenti0"/>
      </w:pPr>
      <w:r>
        <w:tab/>
        <w:t>(i)</w:t>
      </w:r>
      <w:r>
        <w:tab/>
        <w:t>for the recovery of petroleum, for the processing of petroleum, or for the storage and offloading of petroleum, or for any combination of those activities;</w:t>
      </w:r>
    </w:p>
    <w:p>
      <w:pPr>
        <w:pStyle w:val="yIndenti0"/>
      </w:pPr>
      <w:r>
        <w:tab/>
        <w:t>(ii)</w:t>
      </w:r>
      <w:r>
        <w:tab/>
        <w:t xml:space="preserve">for the provision of accommodation for persons working on another facility, whether connected by a walkway to that other facility or not; </w:t>
      </w:r>
    </w:p>
    <w:p>
      <w:pPr>
        <w:pStyle w:val="yIndenti0"/>
      </w:pPr>
      <w:r>
        <w:tab/>
        <w:t>(iii)</w:t>
      </w:r>
      <w:r>
        <w:tab/>
        <w:t xml:space="preserve">for drilling or servicing a well for petroleum or doing work associated with the drilling or servicing process; </w:t>
      </w:r>
    </w:p>
    <w:p>
      <w:pPr>
        <w:pStyle w:val="yIndenti0"/>
      </w:pPr>
      <w:r>
        <w:tab/>
        <w:t>(iv)</w:t>
      </w:r>
      <w:r>
        <w:tab/>
        <w:t xml:space="preserve">for laying pipes for petroleum, including any manufacturing of such pipes, or for doing work on an existing pipe; </w:t>
      </w:r>
    </w:p>
    <w:p>
      <w:pPr>
        <w:pStyle w:val="yIndenti0"/>
      </w:pPr>
      <w:r>
        <w:tab/>
        <w:t>(v)</w:t>
      </w:r>
      <w:r>
        <w:tab/>
        <w:t>for the erection, dismantling or decommissioning of a vessel or structure referred to in subparagraph (i), (ii), (iii) or (iv); or</w:t>
      </w:r>
    </w:p>
    <w:p>
      <w:pPr>
        <w:pStyle w:val="yIndenti0"/>
      </w:pPr>
      <w:r>
        <w:tab/>
        <w:t>(vi)</w:t>
      </w:r>
      <w:r>
        <w:tab/>
        <w:t>for any other purpose related to an offshore petroleum operation that is prescribed for the purposes of this subparagraph.</w:t>
      </w:r>
    </w:p>
    <w:p>
      <w:pPr>
        <w:pStyle w:val="ySubsection"/>
      </w:pPr>
      <w:r>
        <w:tab/>
        <w:t>(2)</w:t>
      </w:r>
      <w:r>
        <w:tab/>
        <w:t xml:space="preserve">Subclause (1) applies to a vessel or structure — </w:t>
      </w:r>
    </w:p>
    <w:p>
      <w:pPr>
        <w:pStyle w:val="yIndenta"/>
      </w:pPr>
      <w:r>
        <w:tab/>
        <w:t>(a)</w:t>
      </w:r>
      <w:r>
        <w:tab/>
        <w:t>whether it is floating or fixed; and</w:t>
      </w:r>
    </w:p>
    <w:p>
      <w:pPr>
        <w:pStyle w:val="yIndenta"/>
      </w:pPr>
      <w:r>
        <w:tab/>
        <w:t>(b)</w:t>
      </w:r>
      <w:r>
        <w:tab/>
        <w:t>whether or not it is capable of independent navigation.</w:t>
      </w:r>
    </w:p>
    <w:p>
      <w:pPr>
        <w:pStyle w:val="ySubsection"/>
      </w:pPr>
      <w:r>
        <w:tab/>
        <w:t>(3)</w:t>
      </w:r>
      <w:r>
        <w:tab/>
        <w:t>Subclause (1) has effect subject to subclauses (6) and (7).</w:t>
      </w:r>
    </w:p>
    <w:p>
      <w:pPr>
        <w:pStyle w:val="ySubsection"/>
      </w:pPr>
      <w:r>
        <w:tab/>
        <w:t>(4)</w:t>
      </w:r>
      <w:r>
        <w:tab/>
        <w:t xml:space="preserve">A vessel or structure used for a purpose referred to in subclause (1)(b)(i) includes — </w:t>
      </w:r>
    </w:p>
    <w:p>
      <w:pPr>
        <w:pStyle w:val="yIndenta"/>
      </w:pPr>
      <w:r>
        <w:tab/>
        <w:t>(a)</w:t>
      </w:r>
      <w:r>
        <w:tab/>
        <w:t xml:space="preserve">any wells and associated plant and equipment by means of which petroleum processed or stored at the vessel or structure is recovered; </w:t>
      </w:r>
    </w:p>
    <w:p>
      <w:pPr>
        <w:pStyle w:val="yIndenta"/>
      </w:pPr>
      <w:r>
        <w:tab/>
        <w:t>(b)</w:t>
      </w:r>
      <w:r>
        <w:tab/>
        <w:t>any pipe or system of pipes through which petroleum is conveyed from a well to the vessel or structure; and</w:t>
      </w:r>
    </w:p>
    <w:p>
      <w:pPr>
        <w:pStyle w:val="yIndenta"/>
      </w:pPr>
      <w:r>
        <w:tab/>
        <w:t>(c)</w:t>
      </w:r>
      <w:r>
        <w:tab/>
        <w:t>any secondary line associated with the vessel or structure.</w:t>
      </w:r>
    </w:p>
    <w:p>
      <w:pPr>
        <w:pStyle w:val="ySubsection"/>
      </w:pPr>
      <w:r>
        <w:tab/>
        <w:t>(5)</w:t>
      </w:r>
      <w:r>
        <w:tab/>
        <w:t>For the purposes of subclause (1), a vessel or structure that is located offshore for the purpose of laying pipes as described in subclause (1)(b)(iv) is taken to be located at a site, despite the fact that the vessel or structure moves as the pipe laying process proceeds.</w:t>
      </w:r>
    </w:p>
    <w:p>
      <w:pPr>
        <w:pStyle w:val="ySubsection"/>
      </w:pPr>
      <w:r>
        <w:tab/>
        <w:t>(6)</w:t>
      </w:r>
      <w:r>
        <w:tab/>
        <w:t xml:space="preserve">Despite subclause (1), a vessel or structure is taken not to be a facility for the purposes of this Schedule if the vessel or structure is — </w:t>
      </w:r>
    </w:p>
    <w:p>
      <w:pPr>
        <w:pStyle w:val="yIndenta"/>
      </w:pPr>
      <w:r>
        <w:tab/>
        <w:t>(a)</w:t>
      </w:r>
      <w:r>
        <w:tab/>
        <w:t xml:space="preserve">an offtake tanker; </w:t>
      </w:r>
    </w:p>
    <w:p>
      <w:pPr>
        <w:pStyle w:val="yIndenta"/>
      </w:pPr>
      <w:r>
        <w:tab/>
        <w:t>(b)</w:t>
      </w:r>
      <w:r>
        <w:tab/>
        <w:t xml:space="preserve">a tug or an anchor handler; </w:t>
      </w:r>
    </w:p>
    <w:p>
      <w:pPr>
        <w:pStyle w:val="yIndenta"/>
      </w:pPr>
      <w:r>
        <w:tab/>
        <w:t>(c)</w:t>
      </w:r>
      <w:r>
        <w:tab/>
        <w:t>a vessel or structure used for supplying a facility or otherwise travelling between a facility and the shore; or</w:t>
      </w:r>
    </w:p>
    <w:p>
      <w:pPr>
        <w:pStyle w:val="yIndenta"/>
      </w:pPr>
      <w:r>
        <w:tab/>
        <w:t>(d)</w:t>
      </w:r>
      <w:r>
        <w:tab/>
        <w:t>a vessel or structure used for any purpose such that it is declared by the regulations not to be a facility.</w:t>
      </w:r>
    </w:p>
    <w:p>
      <w:pPr>
        <w:pStyle w:val="ySubsection"/>
      </w:pPr>
      <w:r>
        <w:tab/>
        <w:t>(7)</w:t>
      </w:r>
      <w:r>
        <w:tab/>
        <w:t xml:space="preserve">In determining when a vessel or structure that has the potential to be used for one or more of the purposes referred to in subclause (1)(b) is in fact being so used, the vessel or structure is taken — </w:t>
      </w:r>
    </w:p>
    <w:p>
      <w:pPr>
        <w:pStyle w:val="yIndenta"/>
      </w:pPr>
      <w:r>
        <w:tab/>
        <w:t>(a)</w:t>
      </w:r>
      <w:r>
        <w:tab/>
        <w:t>to commence to be so used only at the time when it arrives at the site where it is to be so used and any activities necessary to make it operational at that site are begun; and</w:t>
      </w:r>
    </w:p>
    <w:p>
      <w:pPr>
        <w:pStyle w:val="yIndenta"/>
      </w:pPr>
      <w:r>
        <w:tab/>
        <w:t>(b)</w:t>
      </w:r>
      <w:r>
        <w:tab/>
        <w:t>to cease to be so used when operations cease, and the vessel or structure has been returned either to a navigable form or to a form in which it can be towed to another place.</w:t>
      </w:r>
    </w:p>
    <w:p>
      <w:pPr>
        <w:pStyle w:val="ySubsection"/>
      </w:pPr>
      <w:r>
        <w:tab/>
        <w:t>(8)</w:t>
      </w:r>
      <w:r>
        <w:tab/>
        <w:t xml:space="preserve">Each of the following is taken to be a facility for the purposes of this Schedule — </w:t>
      </w:r>
    </w:p>
    <w:p>
      <w:pPr>
        <w:pStyle w:val="yIndenta"/>
      </w:pPr>
      <w:r>
        <w:tab/>
        <w:t>(a)</w:t>
      </w:r>
      <w:r>
        <w:tab/>
        <w:t>a pipeline subject to a pipeline licence;</w:t>
      </w:r>
    </w:p>
    <w:p>
      <w:pPr>
        <w:pStyle w:val="yIndenta"/>
      </w:pPr>
      <w:r>
        <w:tab/>
        <w:t>(b)</w:t>
      </w:r>
      <w:r>
        <w:tab/>
        <w:t xml:space="preserve">if a pipeline subject to a pipeline licence conveys petroleum recovered from a well without the petroleum having passed through another facility — that pipeline, together with — </w:t>
      </w:r>
    </w:p>
    <w:p>
      <w:pPr>
        <w:pStyle w:val="yIndenti0"/>
      </w:pPr>
      <w:r>
        <w:tab/>
        <w:t>(i)</w:t>
      </w:r>
      <w:r>
        <w:tab/>
        <w:t>that well and associated plant and equipment; and</w:t>
      </w:r>
    </w:p>
    <w:p>
      <w:pPr>
        <w:pStyle w:val="yIndenti0"/>
      </w:pPr>
      <w:r>
        <w:tab/>
        <w:t>(ii)</w:t>
      </w:r>
      <w:r>
        <w:tab/>
        <w:t>any pipe or system of pipes through which petroleum is conveyed from that well to that pipeline.</w:t>
      </w:r>
    </w:p>
    <w:p>
      <w:pPr>
        <w:pStyle w:val="ySubsection"/>
      </w:pPr>
      <w:r>
        <w:tab/>
        <w:t>(9)</w:t>
      </w:r>
      <w:r>
        <w:tab/>
        <w:t xml:space="preserve">In subclause (8)(b) — </w:t>
      </w:r>
    </w:p>
    <w:p>
      <w:pPr>
        <w:pStyle w:val="yDefstart"/>
      </w:pPr>
      <w:r>
        <w:tab/>
      </w:r>
      <w:r>
        <w:rPr>
          <w:b/>
        </w:rPr>
        <w:t>“</w:t>
      </w:r>
      <w:r>
        <w:rPr>
          <w:rStyle w:val="CharDefText"/>
        </w:rPr>
        <w:t>facility</w:t>
      </w:r>
      <w:r>
        <w:rPr>
          <w:b/>
        </w:rPr>
        <w:t>”</w:t>
      </w:r>
      <w:r>
        <w:t xml:space="preserve"> does not include a pipeline.</w:t>
      </w:r>
    </w:p>
    <w:p>
      <w:pPr>
        <w:pStyle w:val="yFootnotesection"/>
        <w:rPr>
          <w:ins w:id="2703" w:author="svcMRProcess" w:date="2020-02-19T21:14:00Z"/>
        </w:rPr>
      </w:pPr>
      <w:ins w:id="2704" w:author="svcMRProcess" w:date="2020-02-19T21:14:00Z">
        <w:r>
          <w:tab/>
          <w:t>[Clause 4 inserted by No. 13 of 2005 s. 47.]</w:t>
        </w:r>
      </w:ins>
    </w:p>
    <w:p>
      <w:pPr>
        <w:pStyle w:val="yHeading5"/>
      </w:pPr>
      <w:bookmarkStart w:id="2705" w:name="_Toc170190752"/>
      <w:r>
        <w:rPr>
          <w:rStyle w:val="CharSClsNo"/>
        </w:rPr>
        <w:t>5</w:t>
      </w:r>
      <w:r>
        <w:t>.</w:t>
      </w:r>
      <w:r>
        <w:rPr>
          <w:b w:val="0"/>
        </w:rPr>
        <w:tab/>
      </w:r>
      <w:r>
        <w:t>Operator must ensure presence of operator’s representative</w:t>
      </w:r>
      <w:bookmarkEnd w:id="2705"/>
    </w:p>
    <w:p>
      <w:pPr>
        <w:pStyle w:val="ySubsection"/>
      </w:pPr>
      <w:r>
        <w:tab/>
        <w:t>(1)</w:t>
      </w:r>
      <w:r>
        <w:tab/>
        <w:t xml:space="preserve">The operator of a facility must ensure that, at all times when one or more natural persons are present at a facility, there is also present a natural person (the </w:t>
      </w:r>
      <w:r>
        <w:rPr>
          <w:b/>
        </w:rPr>
        <w:t>“</w:t>
      </w:r>
      <w:r>
        <w:rPr>
          <w:rStyle w:val="CharDefText"/>
        </w:rPr>
        <w:t>operator’s representative</w:t>
      </w:r>
      <w:r>
        <w:rPr>
          <w:b/>
        </w:rPr>
        <w:t>”</w:t>
      </w:r>
      <w:r>
        <w:t>) who has day to day management and control of operations at the facility.</w:t>
      </w:r>
    </w:p>
    <w:p>
      <w:pPr>
        <w:pStyle w:val="yPenstart"/>
      </w:pPr>
      <w:r>
        <w:tab/>
        <w:t>Penalty:</w:t>
      </w:r>
      <w:del w:id="2706" w:author="svcMRProcess" w:date="2020-02-19T21:14:00Z">
        <w:r>
          <w:tab/>
        </w:r>
      </w:del>
      <w:ins w:id="2707" w:author="svcMRProcess" w:date="2020-02-19T21:14:00Z">
        <w:r>
          <w:t xml:space="preserve"> </w:t>
        </w:r>
      </w:ins>
      <w:r>
        <w:t>$5 500.</w:t>
      </w:r>
    </w:p>
    <w:p>
      <w:pPr>
        <w:pStyle w:val="ySubsection"/>
      </w:pPr>
      <w:r>
        <w:tab/>
        <w:t>(2)</w:t>
      </w:r>
      <w:r>
        <w:tab/>
        <w:t>The operator of a facility must ensure that the name of the operator’s representative at the facility is displayed in a prominent place at the facility.</w:t>
      </w:r>
    </w:p>
    <w:p>
      <w:pPr>
        <w:pStyle w:val="yPenstart"/>
      </w:pPr>
      <w:r>
        <w:tab/>
        <w:t>Penalty:</w:t>
      </w:r>
      <w:del w:id="2708" w:author="svcMRProcess" w:date="2020-02-19T21:14:00Z">
        <w:r>
          <w:tab/>
        </w:r>
      </w:del>
      <w:ins w:id="2709" w:author="svcMRProcess" w:date="2020-02-19T21:14:00Z">
        <w:r>
          <w:t xml:space="preserve"> </w:t>
        </w:r>
      </w:ins>
      <w:r>
        <w:t>$5 500.</w:t>
      </w:r>
    </w:p>
    <w:p>
      <w:pPr>
        <w:pStyle w:val="ySubsection"/>
      </w:pPr>
      <w:r>
        <w:tab/>
        <w:t>(3)</w:t>
      </w:r>
      <w:r>
        <w:tab/>
        <w:t>Subclause (1) does not imply that, if the operator is a natural person, the operator’s representative at the facility may not be, from time to time, the operator.</w:t>
      </w:r>
    </w:p>
    <w:p>
      <w:pPr>
        <w:pStyle w:val="yFootnotesection"/>
        <w:rPr>
          <w:ins w:id="2710" w:author="svcMRProcess" w:date="2020-02-19T21:14:00Z"/>
        </w:rPr>
      </w:pPr>
      <w:ins w:id="2711" w:author="svcMRProcess" w:date="2020-02-19T21:14:00Z">
        <w:r>
          <w:tab/>
          <w:t>[Clause 5 inserted by No. 13 of 2005 s. 47.]</w:t>
        </w:r>
      </w:ins>
    </w:p>
    <w:p>
      <w:pPr>
        <w:pStyle w:val="yHeading5"/>
      </w:pPr>
      <w:bookmarkStart w:id="2712" w:name="_Toc170190753"/>
      <w:r>
        <w:rPr>
          <w:rStyle w:val="CharSClsNo"/>
        </w:rPr>
        <w:t>6</w:t>
      </w:r>
      <w:r>
        <w:t>.</w:t>
      </w:r>
      <w:r>
        <w:rPr>
          <w:b w:val="0"/>
        </w:rPr>
        <w:tab/>
      </w:r>
      <w:r>
        <w:t>Safety and health of persons using an accommodation amenity</w:t>
      </w:r>
      <w:bookmarkEnd w:id="2712"/>
    </w:p>
    <w:p>
      <w:pPr>
        <w:pStyle w:val="ySubsection"/>
      </w:pPr>
      <w:r>
        <w:tab/>
      </w:r>
      <w:r>
        <w:tab/>
        <w:t>For the avoidance of doubt, a reference in this Schedule to the occupational safety and health of a person includes a reference to the safety and health of a person using an accommodation amenity provided for the accommodation of persons working on another facility.</w:t>
      </w:r>
    </w:p>
    <w:p>
      <w:pPr>
        <w:pStyle w:val="yFootnotesection"/>
        <w:rPr>
          <w:ins w:id="2713" w:author="svcMRProcess" w:date="2020-02-19T21:14:00Z"/>
        </w:rPr>
      </w:pPr>
      <w:ins w:id="2714" w:author="svcMRProcess" w:date="2020-02-19T21:14:00Z">
        <w:r>
          <w:tab/>
          <w:t>[Clause 6 inserted by No. 13 of 2005 s. 47.]</w:t>
        </w:r>
      </w:ins>
    </w:p>
    <w:p>
      <w:pPr>
        <w:pStyle w:val="yHeading5"/>
      </w:pPr>
      <w:bookmarkStart w:id="2715" w:name="_Toc170190754"/>
      <w:r>
        <w:rPr>
          <w:rStyle w:val="CharSClsNo"/>
        </w:rPr>
        <w:t>7</w:t>
      </w:r>
      <w:r>
        <w:t>.</w:t>
      </w:r>
      <w:r>
        <w:rPr>
          <w:b w:val="0"/>
        </w:rPr>
        <w:tab/>
      </w:r>
      <w:r>
        <w:t>Contractor</w:t>
      </w:r>
      <w:bookmarkEnd w:id="2715"/>
    </w:p>
    <w:p>
      <w:pPr>
        <w:pStyle w:val="ySubsection"/>
      </w:pPr>
      <w:r>
        <w:tab/>
      </w:r>
      <w:r>
        <w:tab/>
        <w:t xml:space="preserve">For the purposes of this Schedule, a natural person is taken to be a “contractor” of another person (the </w:t>
      </w:r>
      <w:r>
        <w:rPr>
          <w:b/>
          <w:bCs/>
        </w:rPr>
        <w:t>“</w:t>
      </w:r>
      <w:r>
        <w:rPr>
          <w:rStyle w:val="CharDefText"/>
        </w:rPr>
        <w:t>relevant person</w:t>
      </w:r>
      <w:r>
        <w:rPr>
          <w:b/>
          <w:bCs/>
        </w:rPr>
        <w:t>”</w:t>
      </w:r>
      <w:r>
        <w:t xml:space="preserve">) if the natural person does work at a facility under a contract for services between — </w:t>
      </w:r>
    </w:p>
    <w:p>
      <w:pPr>
        <w:pStyle w:val="yIndenta"/>
      </w:pPr>
      <w:r>
        <w:tab/>
        <w:t>(a)</w:t>
      </w:r>
      <w:r>
        <w:tab/>
        <w:t>the relevant person; and</w:t>
      </w:r>
    </w:p>
    <w:p>
      <w:pPr>
        <w:pStyle w:val="yIndenta"/>
      </w:pPr>
      <w:r>
        <w:tab/>
        <w:t>(b)</w:t>
      </w:r>
      <w:r>
        <w:tab/>
        <w:t xml:space="preserve">either — </w:t>
      </w:r>
    </w:p>
    <w:p>
      <w:pPr>
        <w:pStyle w:val="yIndenti0"/>
      </w:pPr>
      <w:r>
        <w:tab/>
        <w:t>(i)</w:t>
      </w:r>
      <w:r>
        <w:tab/>
        <w:t>the natural person; or</w:t>
      </w:r>
    </w:p>
    <w:p>
      <w:pPr>
        <w:pStyle w:val="yIndenti0"/>
      </w:pPr>
      <w:r>
        <w:tab/>
        <w:t>(ii)</w:t>
      </w:r>
      <w:r>
        <w:tab/>
        <w:t>the employer of the natural person.</w:t>
      </w:r>
    </w:p>
    <w:p>
      <w:pPr>
        <w:pStyle w:val="yFootnotesection"/>
        <w:rPr>
          <w:ins w:id="2716" w:author="svcMRProcess" w:date="2020-02-19T21:14:00Z"/>
        </w:rPr>
      </w:pPr>
      <w:bookmarkStart w:id="2717" w:name="_Toc131393925"/>
      <w:ins w:id="2718" w:author="svcMRProcess" w:date="2020-02-19T21:14:00Z">
        <w:r>
          <w:tab/>
          <w:t>[Clause 7 inserted by No. 13 of 2005 s. 47.]</w:t>
        </w:r>
      </w:ins>
    </w:p>
    <w:p>
      <w:pPr>
        <w:pStyle w:val="yHeading3"/>
      </w:pPr>
      <w:bookmarkStart w:id="2719" w:name="_Toc162761364"/>
      <w:bookmarkStart w:id="2720" w:name="_Toc170190755"/>
      <w:bookmarkStart w:id="2721" w:name="_Toc112746409"/>
      <w:bookmarkStart w:id="2722" w:name="_Toc112746534"/>
      <w:r>
        <w:rPr>
          <w:rStyle w:val="CharSDivNo"/>
        </w:rPr>
        <w:t>Division 2</w:t>
      </w:r>
      <w:r>
        <w:rPr>
          <w:b w:val="0"/>
        </w:rPr>
        <w:t> — </w:t>
      </w:r>
      <w:r>
        <w:rPr>
          <w:rStyle w:val="CharSDivText"/>
        </w:rPr>
        <w:t>Occupational safety and health</w:t>
      </w:r>
      <w:bookmarkEnd w:id="2717"/>
      <w:bookmarkEnd w:id="2719"/>
      <w:bookmarkEnd w:id="2720"/>
      <w:bookmarkEnd w:id="2721"/>
      <w:bookmarkEnd w:id="2722"/>
    </w:p>
    <w:p>
      <w:pPr>
        <w:pStyle w:val="yFootnoteheading"/>
        <w:rPr>
          <w:ins w:id="2723" w:author="svcMRProcess" w:date="2020-02-19T21:14:00Z"/>
        </w:rPr>
      </w:pPr>
      <w:ins w:id="2724" w:author="svcMRProcess" w:date="2020-02-19T21:14:00Z">
        <w:r>
          <w:tab/>
          <w:t>[Heading inserted by No. 13 of 2005 s. 47.]</w:t>
        </w:r>
      </w:ins>
    </w:p>
    <w:p>
      <w:pPr>
        <w:pStyle w:val="yHeading4"/>
      </w:pPr>
      <w:bookmarkStart w:id="2725" w:name="_Toc131393926"/>
      <w:bookmarkStart w:id="2726" w:name="_Toc162761365"/>
      <w:bookmarkStart w:id="2727" w:name="_Toc170190756"/>
      <w:bookmarkStart w:id="2728" w:name="_Toc112746410"/>
      <w:bookmarkStart w:id="2729" w:name="_Toc112746535"/>
      <w:r>
        <w:t>Subdivision </w:t>
      </w:r>
      <w:r>
        <w:rPr>
          <w:bCs/>
        </w:rPr>
        <w:t>1</w:t>
      </w:r>
      <w:r>
        <w:rPr>
          <w:b w:val="0"/>
        </w:rPr>
        <w:t> — </w:t>
      </w:r>
      <w:r>
        <w:rPr>
          <w:bCs/>
        </w:rPr>
        <w:t xml:space="preserve">Duties </w:t>
      </w:r>
      <w:r>
        <w:t>relating to occupational safety and health</w:t>
      </w:r>
      <w:bookmarkEnd w:id="2725"/>
      <w:bookmarkEnd w:id="2726"/>
      <w:bookmarkEnd w:id="2727"/>
      <w:bookmarkEnd w:id="2728"/>
      <w:bookmarkEnd w:id="2729"/>
    </w:p>
    <w:p>
      <w:pPr>
        <w:pStyle w:val="yFootnoteheading"/>
        <w:rPr>
          <w:ins w:id="2730" w:author="svcMRProcess" w:date="2020-02-19T21:14:00Z"/>
        </w:rPr>
      </w:pPr>
      <w:ins w:id="2731" w:author="svcMRProcess" w:date="2020-02-19T21:14:00Z">
        <w:r>
          <w:tab/>
          <w:t>[Heading inserted by No. 13 of 2005 s. 47.]</w:t>
        </w:r>
      </w:ins>
    </w:p>
    <w:p>
      <w:pPr>
        <w:pStyle w:val="yHeading5"/>
      </w:pPr>
      <w:bookmarkStart w:id="2732" w:name="_Toc170190757"/>
      <w:r>
        <w:rPr>
          <w:rStyle w:val="CharSClsNo"/>
        </w:rPr>
        <w:t>8</w:t>
      </w:r>
      <w:r>
        <w:t>.</w:t>
      </w:r>
      <w:r>
        <w:rPr>
          <w:b w:val="0"/>
        </w:rPr>
        <w:tab/>
      </w:r>
      <w:r>
        <w:t>Duties of operator</w:t>
      </w:r>
      <w:bookmarkEnd w:id="2732"/>
    </w:p>
    <w:p>
      <w:pPr>
        <w:pStyle w:val="ySubsection"/>
      </w:pPr>
      <w:r>
        <w:tab/>
        <w:t>(1)</w:t>
      </w:r>
      <w:r>
        <w:tab/>
        <w:t xml:space="preserve">The operator of a facility must take all reasonably practicable steps to ensure that — </w:t>
      </w:r>
    </w:p>
    <w:p>
      <w:pPr>
        <w:pStyle w:val="yIndenta"/>
      </w:pPr>
      <w:r>
        <w:tab/>
        <w:t>(a)</w:t>
      </w:r>
      <w:r>
        <w:tab/>
        <w:t>the facility is safe and without risk to the health of any person at or near the facility; and</w:t>
      </w:r>
    </w:p>
    <w:p>
      <w:pPr>
        <w:pStyle w:val="yIndenta"/>
      </w:pPr>
      <w:r>
        <w:tab/>
        <w:t>(b)</w:t>
      </w:r>
      <w:r>
        <w:tab/>
        <w:t>all work and other activities carried out on the facility are carried out in a manner that is safe and without risk to the health of any person at or near the facility.</w:t>
      </w:r>
    </w:p>
    <w:p>
      <w:pPr>
        <w:pStyle w:val="yPenstart"/>
      </w:pPr>
      <w:r>
        <w:tab/>
        <w:t>Penalty:</w:t>
      </w:r>
      <w:del w:id="2733" w:author="svcMRProcess" w:date="2020-02-19T21:14:00Z">
        <w:r>
          <w:tab/>
        </w:r>
      </w:del>
      <w:ins w:id="2734" w:author="svcMRProcess" w:date="2020-02-19T21:14:00Z">
        <w:r>
          <w:t xml:space="preserve"> </w:t>
        </w:r>
      </w:ins>
      <w:r>
        <w:t>$110 000.</w:t>
      </w:r>
    </w:p>
    <w:p>
      <w:pPr>
        <w:pStyle w:val="ySubsection"/>
      </w:pPr>
      <w:r>
        <w:tab/>
        <w:t>(2)</w:t>
      </w:r>
      <w:r>
        <w:tab/>
        <w:t xml:space="preserve">Without limiting the generality of subclause (1), the operator of a facility must — </w:t>
      </w:r>
    </w:p>
    <w:p>
      <w:pPr>
        <w:pStyle w:val="yIndenta"/>
      </w:pPr>
      <w:r>
        <w:tab/>
        <w:t>(a)</w:t>
      </w:r>
      <w:r>
        <w:tab/>
        <w:t xml:space="preserve">provide and maintain a physical environment at the facility that is safe and without risk to health; </w:t>
      </w:r>
    </w:p>
    <w:p>
      <w:pPr>
        <w:pStyle w:val="yIndenta"/>
      </w:pPr>
      <w:r>
        <w:tab/>
        <w:t>(b)</w:t>
      </w:r>
      <w:r>
        <w:tab/>
        <w:t xml:space="preserve">provide and maintain adequate amenities for the safety and health of all members of the workforce at the facility; </w:t>
      </w:r>
    </w:p>
    <w:p>
      <w:pPr>
        <w:pStyle w:val="yIndenta"/>
      </w:pPr>
      <w:r>
        <w:tab/>
        <w:t>(c)</w:t>
      </w:r>
      <w:r>
        <w:tab/>
        <w:t xml:space="preserve">ensure that any plant, equipment, materials and substances at the facility are safe and without risk to health; </w:t>
      </w:r>
    </w:p>
    <w:p>
      <w:pPr>
        <w:pStyle w:val="yIndenta"/>
      </w:pPr>
      <w:r>
        <w:tab/>
        <w:t>(d)</w:t>
      </w:r>
      <w:r>
        <w:tab/>
        <w:t xml:space="preserve">implement and maintain systems of work at the facility that are safe and without risk to health; </w:t>
      </w:r>
    </w:p>
    <w:p>
      <w:pPr>
        <w:pStyle w:val="yIndenta"/>
      </w:pPr>
      <w:r>
        <w:tab/>
        <w:t>(e)</w:t>
      </w:r>
      <w:r>
        <w:tab/>
        <w:t xml:space="preserve">implement and maintain appropriate procedures and equipment for the control of, and response to, emergencies at the facility; </w:t>
      </w:r>
    </w:p>
    <w:p>
      <w:pPr>
        <w:pStyle w:val="yIndenta"/>
      </w:pPr>
      <w:r>
        <w:tab/>
        <w:t>(f)</w:t>
      </w:r>
      <w:r>
        <w:tab/>
        <w:t xml:space="preserve">provide all members of the workforce, in appropriate languages, with the information, instruction, training and supervision necessary for them to carry out their activities in a manner that does not adversely affect the occupational safety and health of persons at the facility; </w:t>
      </w:r>
    </w:p>
    <w:p>
      <w:pPr>
        <w:pStyle w:val="yIndenta"/>
      </w:pPr>
      <w:r>
        <w:tab/>
        <w:t>(g)</w:t>
      </w:r>
      <w:r>
        <w:tab/>
        <w:t xml:space="preserve">monitor the occupational safety and health of all members of the workforce and keep records of that monitoring; </w:t>
      </w:r>
    </w:p>
    <w:p>
      <w:pPr>
        <w:pStyle w:val="yIndenta"/>
      </w:pPr>
      <w:r>
        <w:tab/>
        <w:t>(h)</w:t>
      </w:r>
      <w:r>
        <w:tab/>
        <w:t>provide appropriate medical and first aid services at the facility; and</w:t>
      </w:r>
    </w:p>
    <w:p>
      <w:pPr>
        <w:pStyle w:val="yIndenta"/>
      </w:pPr>
      <w:r>
        <w:tab/>
        <w:t>(i)</w:t>
      </w:r>
      <w:r>
        <w:tab/>
        <w:t xml:space="preserve">develop, in consultation with members of the workforce and workforce representatives, a policy relating to occupational safety and health that — </w:t>
      </w:r>
    </w:p>
    <w:p>
      <w:pPr>
        <w:pStyle w:val="yIndenti0"/>
      </w:pPr>
      <w:r>
        <w:tab/>
        <w:t>(i)</w:t>
      </w:r>
      <w:r>
        <w:tab/>
        <w:t xml:space="preserve">will enable the operator and the members of the workforce to cooperate effectively in promoting and developing measures to ensure the occupational safety and health of persons at the facility; </w:t>
      </w:r>
    </w:p>
    <w:p>
      <w:pPr>
        <w:pStyle w:val="yIndenti0"/>
      </w:pPr>
      <w:r>
        <w:tab/>
        <w:t>(ii)</w:t>
      </w:r>
      <w:r>
        <w:tab/>
        <w:t>will provide adequate mechanisms for reviewing the effectiveness of the measures; and</w:t>
      </w:r>
    </w:p>
    <w:p>
      <w:pPr>
        <w:pStyle w:val="yIndenti0"/>
      </w:pPr>
      <w:r>
        <w:tab/>
        <w:t>(iii)</w:t>
      </w:r>
      <w:r>
        <w:tab/>
        <w:t>provides for the making of an agreement that complies with subclauses (4) and (5).</w:t>
      </w:r>
    </w:p>
    <w:p>
      <w:pPr>
        <w:pStyle w:val="yPenstart"/>
      </w:pPr>
      <w:r>
        <w:tab/>
        <w:t>Penalty:</w:t>
      </w:r>
      <w:del w:id="2735" w:author="svcMRProcess" w:date="2020-02-19T21:14:00Z">
        <w:r>
          <w:tab/>
        </w:r>
      </w:del>
      <w:ins w:id="2736" w:author="svcMRProcess" w:date="2020-02-19T21:14:00Z">
        <w:r>
          <w:t xml:space="preserve"> </w:t>
        </w:r>
      </w:ins>
      <w:r>
        <w:t>$110 000.</w:t>
      </w:r>
    </w:p>
    <w:p>
      <w:pPr>
        <w:pStyle w:val="ySubsection"/>
      </w:pPr>
      <w:r>
        <w:tab/>
        <w:t>(3)</w:t>
      </w:r>
      <w:r>
        <w:tab/>
        <w:t>Subclause (2)(i) does not require the operator of a facility to engage in consultations with a workforce representative unless a member of the workforce at the facility has requested the workforce representative to be involved in those consultations.</w:t>
      </w:r>
    </w:p>
    <w:p>
      <w:pPr>
        <w:pStyle w:val="ySubsection"/>
      </w:pPr>
      <w:r>
        <w:tab/>
        <w:t>(4)</w:t>
      </w:r>
      <w:r>
        <w:tab/>
        <w:t xml:space="preserve">The agreement referred to in subclause (2)(i)(iii) must be between — </w:t>
      </w:r>
    </w:p>
    <w:p>
      <w:pPr>
        <w:pStyle w:val="yIndenta"/>
      </w:pPr>
      <w:r>
        <w:tab/>
        <w:t>(a)</w:t>
      </w:r>
      <w:r>
        <w:tab/>
        <w:t>on the one hand — the operator; and</w:t>
      </w:r>
    </w:p>
    <w:p>
      <w:pPr>
        <w:pStyle w:val="yIndenta"/>
      </w:pPr>
      <w:r>
        <w:tab/>
        <w:t>(b)</w:t>
      </w:r>
      <w:r>
        <w:tab/>
        <w:t xml:space="preserve">on the other hand — </w:t>
      </w:r>
    </w:p>
    <w:p>
      <w:pPr>
        <w:pStyle w:val="yIndenti0"/>
      </w:pPr>
      <w:r>
        <w:tab/>
        <w:t>(i)</w:t>
      </w:r>
      <w:r>
        <w:tab/>
        <w:t>the members of the workforce; and</w:t>
      </w:r>
    </w:p>
    <w:p>
      <w:pPr>
        <w:pStyle w:val="yIndenti0"/>
      </w:pPr>
      <w:r>
        <w:tab/>
        <w:t>(ii)</w:t>
      </w:r>
      <w:r>
        <w:tab/>
        <w:t>if a member of the workforce at the facility has requested a workforce representative in relation to the member to be a party to that agreement — that workforce representative.</w:t>
      </w:r>
    </w:p>
    <w:p>
      <w:pPr>
        <w:pStyle w:val="ySubsection"/>
      </w:pPr>
      <w:r>
        <w:tab/>
        <w:t>(5)</w:t>
      </w:r>
      <w:r>
        <w:tab/>
        <w:t xml:space="preserve">The agreement referred to in subclause (2)(i)(iii) must provide appropriate mechanisms for continuing consultation between — </w:t>
      </w:r>
    </w:p>
    <w:p>
      <w:pPr>
        <w:pStyle w:val="yIndenta"/>
      </w:pPr>
      <w:r>
        <w:tab/>
        <w:t>(a)</w:t>
      </w:r>
      <w:r>
        <w:tab/>
        <w:t>on the one hand — the operator; and</w:t>
      </w:r>
    </w:p>
    <w:p>
      <w:pPr>
        <w:pStyle w:val="yIndenta"/>
      </w:pPr>
      <w:r>
        <w:tab/>
        <w:t>(b)</w:t>
      </w:r>
      <w:r>
        <w:tab/>
        <w:t xml:space="preserve">on the other hand — </w:t>
      </w:r>
    </w:p>
    <w:p>
      <w:pPr>
        <w:pStyle w:val="yIndenti0"/>
      </w:pPr>
      <w:r>
        <w:tab/>
        <w:t>(i)</w:t>
      </w:r>
      <w:r>
        <w:tab/>
        <w:t>the members of the workforce; and</w:t>
      </w:r>
    </w:p>
    <w:p>
      <w:pPr>
        <w:pStyle w:val="yIndenti0"/>
      </w:pPr>
      <w:r>
        <w:tab/>
        <w:t>(ii)</w:t>
      </w:r>
      <w:r>
        <w:tab/>
        <w:t>if a member of the workforce at the facility has requested a workforce representative in relation to the member to be involved in consultations on a particular occasion — that workforce representative.</w:t>
      </w:r>
    </w:p>
    <w:p>
      <w:pPr>
        <w:pStyle w:val="ySubsection"/>
      </w:pPr>
      <w:r>
        <w:tab/>
        <w:t>(6)</w:t>
      </w:r>
      <w:r>
        <w:tab/>
        <w:t>The agreement may provide for any other matters agreed between the parties to it.</w:t>
      </w:r>
    </w:p>
    <w:p>
      <w:pPr>
        <w:pStyle w:val="yFootnotesection"/>
        <w:rPr>
          <w:ins w:id="2737" w:author="svcMRProcess" w:date="2020-02-19T21:14:00Z"/>
        </w:rPr>
      </w:pPr>
      <w:ins w:id="2738" w:author="svcMRProcess" w:date="2020-02-19T21:14:00Z">
        <w:r>
          <w:tab/>
          <w:t>[Clause 8 inserted by No. 13 of 2005 s. 47.]</w:t>
        </w:r>
      </w:ins>
    </w:p>
    <w:p>
      <w:pPr>
        <w:pStyle w:val="yHeading5"/>
      </w:pPr>
      <w:bookmarkStart w:id="2739" w:name="_Toc170190758"/>
      <w:r>
        <w:rPr>
          <w:rStyle w:val="CharSClsNo"/>
        </w:rPr>
        <w:t>9</w:t>
      </w:r>
      <w:r>
        <w:t>.</w:t>
      </w:r>
      <w:r>
        <w:rPr>
          <w:b w:val="0"/>
        </w:rPr>
        <w:tab/>
      </w:r>
      <w:r>
        <w:t>Duties of persons in control of parts of facility or particular work</w:t>
      </w:r>
      <w:bookmarkEnd w:id="2739"/>
    </w:p>
    <w:p>
      <w:pPr>
        <w:pStyle w:val="ySubsection"/>
      </w:pPr>
      <w:r>
        <w:tab/>
        <w:t>(1)</w:t>
      </w:r>
      <w:r>
        <w:tab/>
        <w:t xml:space="preserve">A person who is in control of any part of a facility, or of any particular work carried out at a facility, must take all reasonably practicable steps to ensure that — </w:t>
      </w:r>
    </w:p>
    <w:p>
      <w:pPr>
        <w:pStyle w:val="yIndenta"/>
      </w:pPr>
      <w:r>
        <w:tab/>
        <w:t>(a)</w:t>
      </w:r>
      <w:r>
        <w:tab/>
        <w:t>that part of the facility, or the place where that work is carried out, is safe and without risk to health; and</w:t>
      </w:r>
    </w:p>
    <w:p>
      <w:pPr>
        <w:pStyle w:val="yIndenta"/>
      </w:pPr>
      <w:r>
        <w:tab/>
        <w:t>(b)</w:t>
      </w:r>
      <w:r>
        <w:tab/>
        <w:t>if the person is in control of particular work — the work is carried out in a manner that is safe and without risk to health.</w:t>
      </w:r>
    </w:p>
    <w:p>
      <w:pPr>
        <w:pStyle w:val="yPenstart"/>
      </w:pPr>
      <w:r>
        <w:tab/>
        <w:t>Penalty:</w:t>
      </w:r>
      <w:del w:id="2740" w:author="svcMRProcess" w:date="2020-02-19T21:14:00Z">
        <w:r>
          <w:tab/>
        </w:r>
      </w:del>
      <w:ins w:id="2741" w:author="svcMRProcess" w:date="2020-02-19T21:14:00Z">
        <w:r>
          <w:t xml:space="preserve"> </w:t>
        </w:r>
      </w:ins>
      <w:r>
        <w:t>$110 000.</w:t>
      </w:r>
    </w:p>
    <w:p>
      <w:pPr>
        <w:pStyle w:val="ySubsection"/>
      </w:pPr>
      <w:r>
        <w:tab/>
        <w:t>(2)</w:t>
      </w:r>
      <w:r>
        <w:tab/>
        <w:t xml:space="preserve">Without limiting the generality of subclause (1), a person who is in control of any part of a facility, or of any particular work carried out at a facility, must — </w:t>
      </w:r>
    </w:p>
    <w:p>
      <w:pPr>
        <w:pStyle w:val="yIndenta"/>
      </w:pPr>
      <w:r>
        <w:tab/>
        <w:t>(a)</w:t>
      </w:r>
      <w:r>
        <w:tab/>
        <w:t xml:space="preserve">ensure that the physical environment at that part of the facility, or at the place where the work is carried out, is safe and without risk to health; </w:t>
      </w:r>
    </w:p>
    <w:p>
      <w:pPr>
        <w:pStyle w:val="yIndenta"/>
      </w:pPr>
      <w:r>
        <w:tab/>
        <w:t>(b)</w:t>
      </w:r>
      <w:r>
        <w:tab/>
        <w:t xml:space="preserve">ensure that any plant, equipment, materials and substances at or near that part of the facility or that place, or used in that work, are safe and without risk to health; </w:t>
      </w:r>
    </w:p>
    <w:p>
      <w:pPr>
        <w:pStyle w:val="yIndenta"/>
      </w:pPr>
      <w:r>
        <w:tab/>
        <w:t>(c)</w:t>
      </w:r>
      <w:r>
        <w:tab/>
        <w:t xml:space="preserve">implement and maintain systems of work at that part of the facility, or in carrying out work at that place, that are safe and without risk to health; </w:t>
      </w:r>
    </w:p>
    <w:p>
      <w:pPr>
        <w:pStyle w:val="yIndenta"/>
      </w:pPr>
      <w:r>
        <w:tab/>
        <w:t>(d)</w:t>
      </w:r>
      <w:r>
        <w:tab/>
        <w:t>ensure a means of access to, and egress from, that part of the facility or that place that is safe and without risk to health; and</w:t>
      </w:r>
    </w:p>
    <w:p>
      <w:pPr>
        <w:pStyle w:val="yIndenta"/>
      </w:pPr>
      <w:r>
        <w:tab/>
        <w:t>(e)</w:t>
      </w:r>
      <w:r>
        <w:tab/>
        <w:t>provide all members of the workforce located at that part of the facility or engaged on that work, in appropriate languages, with the information, instruction, training and supervision necessary for them to carry out their work in a manner that is safe and without risk to health.</w:t>
      </w:r>
    </w:p>
    <w:p>
      <w:pPr>
        <w:pStyle w:val="yPenstart"/>
      </w:pPr>
      <w:r>
        <w:tab/>
        <w:t>Penalty:</w:t>
      </w:r>
      <w:del w:id="2742" w:author="svcMRProcess" w:date="2020-02-19T21:14:00Z">
        <w:r>
          <w:tab/>
        </w:r>
      </w:del>
      <w:ins w:id="2743" w:author="svcMRProcess" w:date="2020-02-19T21:14:00Z">
        <w:r>
          <w:t xml:space="preserve"> </w:t>
        </w:r>
      </w:ins>
      <w:r>
        <w:t>$110 000.</w:t>
      </w:r>
    </w:p>
    <w:p>
      <w:pPr>
        <w:pStyle w:val="yFootnotesection"/>
        <w:rPr>
          <w:ins w:id="2744" w:author="svcMRProcess" w:date="2020-02-19T21:14:00Z"/>
        </w:rPr>
      </w:pPr>
      <w:ins w:id="2745" w:author="svcMRProcess" w:date="2020-02-19T21:14:00Z">
        <w:r>
          <w:tab/>
          <w:t>[Clause 9 inserted by No. 13 of 2005 s. 47.]</w:t>
        </w:r>
      </w:ins>
    </w:p>
    <w:p>
      <w:pPr>
        <w:pStyle w:val="yHeading5"/>
      </w:pPr>
      <w:bookmarkStart w:id="2746" w:name="_Toc170190759"/>
      <w:r>
        <w:rPr>
          <w:rStyle w:val="CharSClsNo"/>
        </w:rPr>
        <w:t>10</w:t>
      </w:r>
      <w:r>
        <w:t>.</w:t>
      </w:r>
      <w:r>
        <w:rPr>
          <w:b w:val="0"/>
        </w:rPr>
        <w:tab/>
      </w:r>
      <w:r>
        <w:t>Duties of employers</w:t>
      </w:r>
      <w:bookmarkEnd w:id="2746"/>
    </w:p>
    <w:p>
      <w:pPr>
        <w:pStyle w:val="ySubsection"/>
      </w:pPr>
      <w:r>
        <w:tab/>
        <w:t>(1)</w:t>
      </w:r>
      <w:r>
        <w:tab/>
        <w:t>An employer must take all reasonably practicable steps to protect the safety and health of employees at a facility.</w:t>
      </w:r>
    </w:p>
    <w:p>
      <w:pPr>
        <w:pStyle w:val="yPenstart"/>
      </w:pPr>
      <w:r>
        <w:tab/>
        <w:t>Penalty:</w:t>
      </w:r>
      <w:del w:id="2747" w:author="svcMRProcess" w:date="2020-02-19T21:14:00Z">
        <w:r>
          <w:tab/>
        </w:r>
      </w:del>
      <w:ins w:id="2748" w:author="svcMRProcess" w:date="2020-02-19T21:14:00Z">
        <w:r>
          <w:t xml:space="preserve"> </w:t>
        </w:r>
      </w:ins>
      <w:r>
        <w:t>$110 000.</w:t>
      </w:r>
    </w:p>
    <w:p>
      <w:pPr>
        <w:pStyle w:val="ySubsection"/>
      </w:pPr>
      <w:r>
        <w:tab/>
        <w:t>(2)</w:t>
      </w:r>
      <w:r>
        <w:tab/>
        <w:t xml:space="preserve">Without limiting the generality of subclause (1), an employer must — </w:t>
      </w:r>
    </w:p>
    <w:p>
      <w:pPr>
        <w:pStyle w:val="yIndenta"/>
      </w:pPr>
      <w:r>
        <w:tab/>
        <w:t>(a)</w:t>
      </w:r>
      <w:r>
        <w:tab/>
        <w:t xml:space="preserve">provide and maintain a working environment that is safe for employees and without risk to their health; </w:t>
      </w:r>
    </w:p>
    <w:p>
      <w:pPr>
        <w:pStyle w:val="yIndenta"/>
      </w:pPr>
      <w:r>
        <w:tab/>
        <w:t>(b)</w:t>
      </w:r>
      <w:r>
        <w:tab/>
        <w:t xml:space="preserve">ensure that any plant, equipment, materials and substances used in connection with the employees’ work are safe and without risk to health; </w:t>
      </w:r>
    </w:p>
    <w:p>
      <w:pPr>
        <w:pStyle w:val="yIndenta"/>
      </w:pPr>
      <w:r>
        <w:tab/>
        <w:t>(c)</w:t>
      </w:r>
      <w:r>
        <w:tab/>
        <w:t xml:space="preserve">implement and maintain systems of work that are safe and without risk to health; </w:t>
      </w:r>
    </w:p>
    <w:p>
      <w:pPr>
        <w:pStyle w:val="yIndenta"/>
      </w:pPr>
      <w:r>
        <w:tab/>
        <w:t>(d)</w:t>
      </w:r>
      <w:r>
        <w:tab/>
        <w:t>provide a means of access to, and egress from, the employees’ work location that is safe and without risk to health; and</w:t>
      </w:r>
    </w:p>
    <w:p>
      <w:pPr>
        <w:pStyle w:val="yIndenta"/>
      </w:pPr>
      <w:r>
        <w:tab/>
        <w:t>(e)</w:t>
      </w:r>
      <w:r>
        <w:tab/>
        <w:t>provide the employees, in appropriate languages, with the information, instruction, training and supervision necessary for them to carry out their work in a manner that is safe and without risk to health.</w:t>
      </w:r>
    </w:p>
    <w:p>
      <w:pPr>
        <w:pStyle w:val="yPenstart"/>
      </w:pPr>
      <w:r>
        <w:tab/>
        <w:t>Penalty:</w:t>
      </w:r>
      <w:del w:id="2749" w:author="svcMRProcess" w:date="2020-02-19T21:14:00Z">
        <w:r>
          <w:tab/>
        </w:r>
      </w:del>
      <w:ins w:id="2750" w:author="svcMRProcess" w:date="2020-02-19T21:14:00Z">
        <w:r>
          <w:t xml:space="preserve"> </w:t>
        </w:r>
      </w:ins>
      <w:r>
        <w:t>$110 000.</w:t>
      </w:r>
    </w:p>
    <w:p>
      <w:pPr>
        <w:pStyle w:val="ySubsection"/>
      </w:pPr>
      <w:r>
        <w:tab/>
        <w:t>(3)</w:t>
      </w:r>
      <w:r>
        <w:tab/>
        <w:t xml:space="preserve">A person has, in respect of a contractor of that person, the same obligations that an employer has under subclauses (1) and (2) in respect of an employee of that employer, but only in relation to — </w:t>
      </w:r>
    </w:p>
    <w:p>
      <w:pPr>
        <w:pStyle w:val="yIndenta"/>
      </w:pPr>
      <w:r>
        <w:tab/>
        <w:t>(a)</w:t>
      </w:r>
      <w:r>
        <w:tab/>
        <w:t>matters over which the first</w:t>
      </w:r>
      <w:r>
        <w:noBreakHyphen/>
        <w:t>mentioned person has control; or</w:t>
      </w:r>
    </w:p>
    <w:p>
      <w:pPr>
        <w:pStyle w:val="yIndenta"/>
      </w:pPr>
      <w:r>
        <w:tab/>
        <w:t>(b)</w:t>
      </w:r>
      <w:r>
        <w:tab/>
        <w:t xml:space="preserve">matters over which — </w:t>
      </w:r>
    </w:p>
    <w:p>
      <w:pPr>
        <w:pStyle w:val="yIndenti0"/>
      </w:pPr>
      <w:r>
        <w:tab/>
        <w:t>(i)</w:t>
      </w:r>
      <w:r>
        <w:tab/>
        <w:t>the first</w:t>
      </w:r>
      <w:r>
        <w:noBreakHyphen/>
        <w:t>mentioned person would have had control apart from express provision to the contrary in a contract; and</w:t>
      </w:r>
    </w:p>
    <w:p>
      <w:pPr>
        <w:pStyle w:val="yIndenti0"/>
      </w:pPr>
      <w:r>
        <w:tab/>
        <w:t>(ii)</w:t>
      </w:r>
      <w:r>
        <w:tab/>
        <w:t>the first</w:t>
      </w:r>
      <w:r>
        <w:noBreakHyphen/>
        <w:t>mentioned person would, in the circumstances, usually be expected to have had control.</w:t>
      </w:r>
    </w:p>
    <w:p>
      <w:pPr>
        <w:pStyle w:val="ySubsection"/>
      </w:pPr>
      <w:r>
        <w:tab/>
        <w:t>(4)</w:t>
      </w:r>
      <w:r>
        <w:tab/>
        <w:t xml:space="preserve">An employer must take all reasonable steps to — </w:t>
      </w:r>
    </w:p>
    <w:p>
      <w:pPr>
        <w:pStyle w:val="yIndenta"/>
      </w:pPr>
      <w:r>
        <w:tab/>
        <w:t>(a)</w:t>
      </w:r>
      <w:r>
        <w:tab/>
        <w:t>monitor the safety and health of employees; and</w:t>
      </w:r>
    </w:p>
    <w:p>
      <w:pPr>
        <w:pStyle w:val="yIndenta"/>
      </w:pPr>
      <w:r>
        <w:tab/>
        <w:t>(b)</w:t>
      </w:r>
      <w:r>
        <w:tab/>
        <w:t>keep records of that monitoring.</w:t>
      </w:r>
    </w:p>
    <w:p>
      <w:pPr>
        <w:pStyle w:val="yPenstart"/>
      </w:pPr>
      <w:r>
        <w:tab/>
        <w:t>Penalty:</w:t>
      </w:r>
      <w:del w:id="2751" w:author="svcMRProcess" w:date="2020-02-19T21:14:00Z">
        <w:r>
          <w:tab/>
        </w:r>
      </w:del>
      <w:ins w:id="2752" w:author="svcMRProcess" w:date="2020-02-19T21:14:00Z">
        <w:r>
          <w:t xml:space="preserve"> </w:t>
        </w:r>
      </w:ins>
      <w:r>
        <w:t>$110 000.</w:t>
      </w:r>
    </w:p>
    <w:p>
      <w:pPr>
        <w:pStyle w:val="yFootnotesection"/>
        <w:rPr>
          <w:ins w:id="2753" w:author="svcMRProcess" w:date="2020-02-19T21:14:00Z"/>
        </w:rPr>
      </w:pPr>
      <w:ins w:id="2754" w:author="svcMRProcess" w:date="2020-02-19T21:14:00Z">
        <w:r>
          <w:tab/>
          <w:t>[Clause 10 inserted by No. 13 of 2005 s. 47.]</w:t>
        </w:r>
      </w:ins>
    </w:p>
    <w:p>
      <w:pPr>
        <w:pStyle w:val="yHeading5"/>
      </w:pPr>
      <w:bookmarkStart w:id="2755" w:name="_Toc170190760"/>
      <w:r>
        <w:rPr>
          <w:rStyle w:val="CharSClsNo"/>
        </w:rPr>
        <w:t>11</w:t>
      </w:r>
      <w:r>
        <w:t>.</w:t>
      </w:r>
      <w:r>
        <w:rPr>
          <w:b w:val="0"/>
        </w:rPr>
        <w:tab/>
      </w:r>
      <w:r>
        <w:t>Duties of manufacturers in relation to plant and substances</w:t>
      </w:r>
      <w:bookmarkEnd w:id="2755"/>
    </w:p>
    <w:p>
      <w:pPr>
        <w:pStyle w:val="ySubsection"/>
      </w:pPr>
      <w:r>
        <w:tab/>
        <w:t>(1)</w:t>
      </w:r>
      <w:r>
        <w:tab/>
        <w:t xml:space="preserve">A manufacturer of any plant that the manufacturer knows or ought reasonably to expect will be used by members of the workforce at a facility must take all reasonably practicable steps — </w:t>
      </w:r>
    </w:p>
    <w:p>
      <w:pPr>
        <w:pStyle w:val="yIndenta"/>
      </w:pPr>
      <w:r>
        <w:tab/>
        <w:t>(a)</w:t>
      </w:r>
      <w:r>
        <w:tab/>
        <w:t>to ensure that the plant is so designed and constructed as to be, when properly used, safe and without risk to health;</w:t>
      </w:r>
    </w:p>
    <w:p>
      <w:pPr>
        <w:pStyle w:val="yIndenta"/>
      </w:pPr>
      <w:r>
        <w:tab/>
        <w:t>(b)</w:t>
      </w:r>
      <w:r>
        <w:tab/>
        <w:t>to carry out, or cause to be carried out, the research, testing and examination necessary in order to discover, and to eliminate or minimise, any risk to safety or health that may arise from the use of the plant; and</w:t>
      </w:r>
    </w:p>
    <w:p>
      <w:pPr>
        <w:pStyle w:val="yIndenta"/>
      </w:pPr>
      <w:r>
        <w:tab/>
        <w:t>(c)</w:t>
      </w:r>
      <w:r>
        <w:tab/>
        <w:t xml:space="preserve">to make available, in connection with the use of the plant at a facility, adequate written information about — </w:t>
      </w:r>
    </w:p>
    <w:p>
      <w:pPr>
        <w:pStyle w:val="yIndenti0"/>
      </w:pPr>
      <w:r>
        <w:tab/>
        <w:t>(i)</w:t>
      </w:r>
      <w:r>
        <w:tab/>
        <w:t xml:space="preserve">the use for which it is designed and has been tested; </w:t>
      </w:r>
    </w:p>
    <w:p>
      <w:pPr>
        <w:pStyle w:val="yIndenti0"/>
      </w:pPr>
      <w:r>
        <w:tab/>
        <w:t>(ii)</w:t>
      </w:r>
      <w:r>
        <w:tab/>
        <w:t>details of its design and construction; and</w:t>
      </w:r>
    </w:p>
    <w:p>
      <w:pPr>
        <w:pStyle w:val="yIndenti0"/>
      </w:pPr>
      <w:r>
        <w:tab/>
        <w:t>(iii)</w:t>
      </w:r>
      <w:r>
        <w:tab/>
        <w:t>any conditions necessary to ensure that, when put to the use for which it was designed and tested, it will be safe and without risk to health.</w:t>
      </w:r>
    </w:p>
    <w:p>
      <w:pPr>
        <w:pStyle w:val="yPenstart"/>
      </w:pPr>
      <w:r>
        <w:tab/>
        <w:t>Penalty:</w:t>
      </w:r>
      <w:del w:id="2756" w:author="svcMRProcess" w:date="2020-02-19T21:14:00Z">
        <w:r>
          <w:tab/>
        </w:r>
      </w:del>
      <w:ins w:id="2757" w:author="svcMRProcess" w:date="2020-02-19T21:14:00Z">
        <w:r>
          <w:t xml:space="preserve"> </w:t>
        </w:r>
      </w:ins>
      <w:r>
        <w:t>$22 000.</w:t>
      </w:r>
    </w:p>
    <w:p>
      <w:pPr>
        <w:pStyle w:val="ySubsection"/>
      </w:pPr>
      <w:r>
        <w:tab/>
        <w:t>(2)</w:t>
      </w:r>
      <w:r>
        <w:tab/>
        <w:t xml:space="preserve">A manufacturer of any substance that the manufacturer knows or ought reasonably to expect will be used by members of the workforce at a facility must take all reasonably practicable steps — </w:t>
      </w:r>
    </w:p>
    <w:p>
      <w:pPr>
        <w:pStyle w:val="yIndenta"/>
      </w:pPr>
      <w:r>
        <w:tab/>
        <w:t>(a)</w:t>
      </w:r>
      <w:r>
        <w:tab/>
        <w:t xml:space="preserve">to ensure that the substance is so manufactured as to be, when properly used, safe and without risk to health; </w:t>
      </w:r>
    </w:p>
    <w:p>
      <w:pPr>
        <w:pStyle w:val="yIndenta"/>
      </w:pPr>
      <w:r>
        <w:tab/>
        <w:t>(b)</w:t>
      </w:r>
      <w:r>
        <w:tab/>
        <w:t>to carry out, or cause to be carried out, the research, testing and examination necessary to discover, and to eliminate or minimise, any risk to safety or health that may arise from the use of the substance; and</w:t>
      </w:r>
    </w:p>
    <w:p>
      <w:pPr>
        <w:pStyle w:val="yIndenta"/>
      </w:pPr>
      <w:r>
        <w:tab/>
        <w:t>(c)</w:t>
      </w:r>
      <w:r>
        <w:tab/>
        <w:t xml:space="preserve">to make available, in connection with the use of the substance at a facility, adequate written information concerning — </w:t>
      </w:r>
    </w:p>
    <w:p>
      <w:pPr>
        <w:pStyle w:val="yIndenti0"/>
      </w:pPr>
      <w:r>
        <w:tab/>
        <w:t>(i)</w:t>
      </w:r>
      <w:r>
        <w:tab/>
        <w:t xml:space="preserve">the use for which it is manufactured and has been tested; </w:t>
      </w:r>
    </w:p>
    <w:p>
      <w:pPr>
        <w:pStyle w:val="yIndenti0"/>
      </w:pPr>
      <w:r>
        <w:tab/>
        <w:t>(ii)</w:t>
      </w:r>
      <w:r>
        <w:tab/>
        <w:t xml:space="preserve">details of its composition; </w:t>
      </w:r>
    </w:p>
    <w:p>
      <w:pPr>
        <w:pStyle w:val="yIndenti0"/>
      </w:pPr>
      <w:r>
        <w:tab/>
        <w:t>(iii)</w:t>
      </w:r>
      <w:r>
        <w:tab/>
        <w:t>any conditions necessary to ensure that, when put to the use for which it was manufactured and tested, it will be safe and without risk to health; and</w:t>
      </w:r>
    </w:p>
    <w:p>
      <w:pPr>
        <w:pStyle w:val="yIndenti0"/>
      </w:pPr>
      <w:r>
        <w:tab/>
        <w:t>(iv)</w:t>
      </w:r>
      <w:r>
        <w:tab/>
        <w:t>the first aid and medical procedures that should be followed if the substance causes injury.</w:t>
      </w:r>
    </w:p>
    <w:p>
      <w:pPr>
        <w:pStyle w:val="yPenstart"/>
      </w:pPr>
      <w:r>
        <w:tab/>
        <w:t>Penalty:</w:t>
      </w:r>
      <w:del w:id="2758" w:author="svcMRProcess" w:date="2020-02-19T21:14:00Z">
        <w:r>
          <w:tab/>
        </w:r>
      </w:del>
      <w:ins w:id="2759" w:author="svcMRProcess" w:date="2020-02-19T21:14:00Z">
        <w:r>
          <w:t xml:space="preserve"> </w:t>
        </w:r>
      </w:ins>
      <w:r>
        <w:t>$22 000.</w:t>
      </w:r>
    </w:p>
    <w:p>
      <w:pPr>
        <w:pStyle w:val="ySubsection"/>
      </w:pPr>
      <w:r>
        <w:tab/>
        <w:t>(3)</w:t>
      </w:r>
      <w:r>
        <w:tab/>
        <w:t xml:space="preserve">If — </w:t>
      </w:r>
    </w:p>
    <w:p>
      <w:pPr>
        <w:pStyle w:val="yIndenta"/>
      </w:pPr>
      <w:r>
        <w:tab/>
        <w:t>(a)</w:t>
      </w:r>
      <w:r>
        <w:tab/>
        <w:t>plant or a substance is imported into Australia by a person who is not its manufacturer; and</w:t>
      </w:r>
    </w:p>
    <w:p>
      <w:pPr>
        <w:pStyle w:val="yIndenta"/>
      </w:pPr>
      <w:r>
        <w:tab/>
        <w:t>(b)</w:t>
      </w:r>
      <w:r>
        <w:tab/>
        <w:t>at the time of the importation, the manufacturer of the plant or substance does not have a place of business in Australia,</w:t>
      </w:r>
    </w:p>
    <w:p>
      <w:pPr>
        <w:pStyle w:val="ySubsection"/>
      </w:pPr>
      <w:r>
        <w:tab/>
      </w:r>
      <w:r>
        <w:tab/>
        <w:t>the first</w:t>
      </w:r>
      <w:r>
        <w:noBreakHyphen/>
        <w:t>mentioned person is taken, for the purposes of this clause, to be the manufacturer of the plant or substance.</w:t>
      </w:r>
    </w:p>
    <w:p>
      <w:pPr>
        <w:pStyle w:val="y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yFootnotesection"/>
        <w:rPr>
          <w:ins w:id="2760" w:author="svcMRProcess" w:date="2020-02-19T21:14:00Z"/>
        </w:rPr>
      </w:pPr>
      <w:ins w:id="2761" w:author="svcMRProcess" w:date="2020-02-19T21:14:00Z">
        <w:r>
          <w:tab/>
          <w:t>[Clause 11 inserted by No. 13 of 2005 s. 47.]</w:t>
        </w:r>
      </w:ins>
    </w:p>
    <w:p>
      <w:pPr>
        <w:pStyle w:val="yHeading5"/>
      </w:pPr>
      <w:bookmarkStart w:id="2762" w:name="_Toc170190761"/>
      <w:r>
        <w:rPr>
          <w:rStyle w:val="CharSClsNo"/>
        </w:rPr>
        <w:t>12</w:t>
      </w:r>
      <w:r>
        <w:t>.</w:t>
      </w:r>
      <w:r>
        <w:rPr>
          <w:b w:val="0"/>
        </w:rPr>
        <w:tab/>
      </w:r>
      <w:r>
        <w:t>Duties of suppliers of facilities, plant and substances</w:t>
      </w:r>
      <w:bookmarkEnd w:id="2762"/>
    </w:p>
    <w:p>
      <w:pPr>
        <w:pStyle w:val="ySubsection"/>
      </w:pPr>
      <w:r>
        <w:tab/>
        <w:t>(1)</w:t>
      </w:r>
      <w:r>
        <w:tab/>
        <w:t xml:space="preserve">A supplier of a facility, or of any plant or substance that the supplier ought reasonably to expect will be used by members of the workforce at a facility, must take all reasonably practicable steps — </w:t>
      </w:r>
    </w:p>
    <w:p>
      <w:pPr>
        <w:pStyle w:val="yIndenta"/>
      </w:pPr>
      <w:r>
        <w:tab/>
        <w:t>(a)</w:t>
      </w:r>
      <w:r>
        <w:tab/>
        <w:t xml:space="preserve">to ensure that, at the time of supply, the facility, or the plant or substance, is in such condition as to be, when properly used, safe and without risk to health; </w:t>
      </w:r>
    </w:p>
    <w:p>
      <w:pPr>
        <w:pStyle w:val="y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yIndenta"/>
      </w:pPr>
      <w:r>
        <w:tab/>
        <w:t>(c)</w:t>
      </w:r>
      <w:r>
        <w:tab/>
        <w:t xml:space="preserve">to make available — </w:t>
      </w:r>
    </w:p>
    <w:p>
      <w:pPr>
        <w:pStyle w:val="yIndenti0"/>
      </w:pPr>
      <w:r>
        <w:tab/>
        <w:t>(i)</w:t>
      </w:r>
      <w:r>
        <w:tab/>
        <w:t>in the case of a facility — to the operator of a facility; and</w:t>
      </w:r>
    </w:p>
    <w:p>
      <w:pPr>
        <w:pStyle w:val="yIndenti0"/>
      </w:pPr>
      <w:r>
        <w:tab/>
        <w:t>(ii)</w:t>
      </w:r>
      <w:r>
        <w:tab/>
        <w:t>in the case of plant or substance — to the person to whom the plant or substance is supplied,</w:t>
      </w:r>
    </w:p>
    <w:p>
      <w:pPr>
        <w:pStyle w:val="yIndenta"/>
      </w:pPr>
      <w:r>
        <w:tab/>
      </w:r>
      <w:r>
        <w:tab/>
        <w:t xml:space="preserve">adequate written information, in connection with the use of the facility, plant or substance (as the case requires) about — </w:t>
      </w:r>
    </w:p>
    <w:p>
      <w:pPr>
        <w:pStyle w:val="yIndenti0"/>
      </w:pPr>
      <w:r>
        <w:tab/>
        <w:t>(iii)</w:t>
      </w:r>
      <w:r>
        <w:tab/>
        <w:t xml:space="preserve">the condition of the facility, plant or substance at the time of supply; </w:t>
      </w:r>
    </w:p>
    <w:p>
      <w:pPr>
        <w:pStyle w:val="yIndenti0"/>
      </w:pPr>
      <w:r>
        <w:tab/>
        <w:t>(iv)</w:t>
      </w:r>
      <w:r>
        <w:tab/>
        <w:t xml:space="preserve">any risk to the safety and health of members of the workforce at the facility to which the condition of the facility, plant or substance may give rise unless it is properly used; </w:t>
      </w:r>
    </w:p>
    <w:p>
      <w:pPr>
        <w:pStyle w:val="yIndenti0"/>
      </w:pPr>
      <w:r>
        <w:tab/>
        <w:t>(v)</w:t>
      </w:r>
      <w:r>
        <w:tab/>
        <w:t>the steps that need to be taken in order to eliminate that risk; and</w:t>
      </w:r>
    </w:p>
    <w:p>
      <w:pPr>
        <w:pStyle w:val="yIndenti0"/>
      </w:pPr>
      <w:r>
        <w:tab/>
        <w:t>(vi)</w:t>
      </w:r>
      <w:r>
        <w:tab/>
        <w:t>in the case of a substance — the first aid and medical procedures that should be followed if the condition of the substance causes injury to a member of the workforce at the facility.</w:t>
      </w:r>
    </w:p>
    <w:p>
      <w:pPr>
        <w:pStyle w:val="yPenstart"/>
      </w:pPr>
      <w:r>
        <w:tab/>
        <w:t>Penalty:</w:t>
      </w:r>
      <w:del w:id="2763" w:author="svcMRProcess" w:date="2020-02-19T21:14:00Z">
        <w:r>
          <w:tab/>
        </w:r>
      </w:del>
      <w:ins w:id="2764" w:author="svcMRProcess" w:date="2020-02-19T21:14:00Z">
        <w:r>
          <w:t xml:space="preserve"> </w:t>
        </w:r>
      </w:ins>
      <w:r>
        <w:t>$22 000.</w:t>
      </w:r>
    </w:p>
    <w:p>
      <w:pPr>
        <w:pStyle w:val="ySubsection"/>
      </w:pPr>
      <w:r>
        <w:tab/>
        <w:t>(2)</w:t>
      </w:r>
      <w:r>
        <w:tab/>
        <w:t>For the purposes of subclause (1), if a person (the </w:t>
      </w:r>
      <w:r>
        <w:rPr>
          <w:b/>
        </w:rPr>
        <w:t>“</w:t>
      </w:r>
      <w:r>
        <w:rPr>
          <w:rStyle w:val="CharDefText"/>
        </w:rPr>
        <w:t>ostensible supplier</w:t>
      </w:r>
      <w:r>
        <w:rPr>
          <w:b/>
        </w:rPr>
        <w:t>”</w:t>
      </w:r>
      <w:r>
        <w:t xml:space="preserve">) supplies to a person either a facility, or any plant or substance that is to be used by members of the workforce at a facility, and the ostensible supplier — </w:t>
      </w:r>
    </w:p>
    <w:p>
      <w:pPr>
        <w:pStyle w:val="yIndenta"/>
      </w:pPr>
      <w:r>
        <w:tab/>
        <w:t>(a)</w:t>
      </w:r>
      <w:r>
        <w:tab/>
        <w:t xml:space="preserve">carries on the business of financing the acquisition or the use of goods by other persons; </w:t>
      </w:r>
    </w:p>
    <w:p>
      <w:pPr>
        <w:pStyle w:val="yIndenta"/>
      </w:pPr>
      <w:r>
        <w:tab/>
        <w:t>(b)</w:t>
      </w:r>
      <w:r>
        <w:tab/>
        <w:t xml:space="preserve">has, in the course of that business, acquired an interest in the facility, or in the plant or substance, from another person (the </w:t>
      </w:r>
      <w:r>
        <w:rPr>
          <w:b/>
        </w:rPr>
        <w:t>“</w:t>
      </w:r>
      <w:r>
        <w:rPr>
          <w:rStyle w:val="CharDefText"/>
        </w:rPr>
        <w:t>actual supplier</w:t>
      </w:r>
      <w:r>
        <w:rPr>
          <w:b/>
        </w:rPr>
        <w:t>”</w:t>
      </w:r>
      <w:r>
        <w:t>), solely for the purpose of financing its acquisition by, or its provision to, the person to whom it is finally supplied; and</w:t>
      </w:r>
    </w:p>
    <w:p>
      <w:pPr>
        <w:pStyle w:val="y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y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y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yFootnotesection"/>
        <w:rPr>
          <w:ins w:id="2765" w:author="svcMRProcess" w:date="2020-02-19T21:14:00Z"/>
        </w:rPr>
      </w:pPr>
      <w:ins w:id="2766" w:author="svcMRProcess" w:date="2020-02-19T21:14:00Z">
        <w:r>
          <w:tab/>
          <w:t>[Clause 12 inserted by No. 13 of 2005 s. 47.]</w:t>
        </w:r>
      </w:ins>
    </w:p>
    <w:p>
      <w:pPr>
        <w:pStyle w:val="yHeading5"/>
      </w:pPr>
      <w:bookmarkStart w:id="2767" w:name="_Toc170190762"/>
      <w:r>
        <w:rPr>
          <w:rStyle w:val="CharSClsNo"/>
        </w:rPr>
        <w:t>13</w:t>
      </w:r>
      <w:r>
        <w:t>.</w:t>
      </w:r>
      <w:r>
        <w:rPr>
          <w:b w:val="0"/>
        </w:rPr>
        <w:tab/>
      </w:r>
      <w:r>
        <w:t>Duties of persons erecting facilities or installing plant</w:t>
      </w:r>
      <w:bookmarkEnd w:id="2767"/>
    </w:p>
    <w:p>
      <w:pPr>
        <w:pStyle w:val="ySubsection"/>
      </w:pPr>
      <w:r>
        <w:tab/>
        <w:t>(1)</w:t>
      </w:r>
      <w:r>
        <w:tab/>
        <w:t>A person who erects or installs a facility, or erects or installs any plant at a facility, must take all reasonably practicable steps to ensure that the facility or plant is not erected or installed in such a way that it is unsafe or constitutes a risk to health.</w:t>
      </w:r>
    </w:p>
    <w:p>
      <w:pPr>
        <w:pStyle w:val="yPenstart"/>
      </w:pPr>
      <w:r>
        <w:tab/>
        <w:t>Penalty:</w:t>
      </w:r>
      <w:del w:id="2768" w:author="svcMRProcess" w:date="2020-02-19T21:14:00Z">
        <w:r>
          <w:tab/>
        </w:r>
      </w:del>
      <w:ins w:id="2769" w:author="svcMRProcess" w:date="2020-02-19T21:14:00Z">
        <w:r>
          <w:t xml:space="preserve"> </w:t>
        </w:r>
      </w:ins>
      <w:r>
        <w:t>$22 000.</w:t>
      </w:r>
    </w:p>
    <w:p>
      <w:pPr>
        <w:pStyle w:val="ySubsection"/>
      </w:pPr>
      <w:r>
        <w:tab/>
        <w:t>(2)</w:t>
      </w:r>
      <w:r>
        <w:tab/>
        <w:t>This clause does not affect the operation of any other law of this State that imposes an obligation in respect of the erection or installation of structures or goods or the supply of services.</w:t>
      </w:r>
    </w:p>
    <w:p>
      <w:pPr>
        <w:pStyle w:val="yFootnotesection"/>
        <w:rPr>
          <w:ins w:id="2770" w:author="svcMRProcess" w:date="2020-02-19T21:14:00Z"/>
        </w:rPr>
      </w:pPr>
      <w:ins w:id="2771" w:author="svcMRProcess" w:date="2020-02-19T21:14:00Z">
        <w:r>
          <w:tab/>
          <w:t>[Clause 13 inserted by No. 13 of 2005 s. 47.]</w:t>
        </w:r>
      </w:ins>
    </w:p>
    <w:p>
      <w:pPr>
        <w:pStyle w:val="yHeading5"/>
      </w:pPr>
      <w:bookmarkStart w:id="2772" w:name="_Toc170190763"/>
      <w:r>
        <w:rPr>
          <w:rStyle w:val="CharSClsNo"/>
        </w:rPr>
        <w:t>14</w:t>
      </w:r>
      <w:r>
        <w:t>.</w:t>
      </w:r>
      <w:r>
        <w:rPr>
          <w:b w:val="0"/>
        </w:rPr>
        <w:tab/>
      </w:r>
      <w:r>
        <w:t>Duties of persons in relation to occupational safety and health</w:t>
      </w:r>
      <w:bookmarkEnd w:id="2772"/>
    </w:p>
    <w:p>
      <w:pPr>
        <w:pStyle w:val="ySubsection"/>
      </w:pPr>
      <w:r>
        <w:tab/>
        <w:t>(1)</w:t>
      </w:r>
      <w:r>
        <w:tab/>
        <w:t xml:space="preserve">A person at a facility must, at all times, take all reasonably practicable steps — </w:t>
      </w:r>
    </w:p>
    <w:p>
      <w:pPr>
        <w:pStyle w:val="yIndenta"/>
      </w:pPr>
      <w:r>
        <w:tab/>
        <w:t>(a)</w:t>
      </w:r>
      <w:r>
        <w:tab/>
        <w:t xml:space="preserve">to ensure that the person does not take any action, or make any omission, that creates a risk, or increases an existing risk, to the occupational safety and health of that person or of any other person at or near the facility; </w:t>
      </w:r>
    </w:p>
    <w:p>
      <w:pPr>
        <w:pStyle w:val="y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yIndenta"/>
      </w:pPr>
      <w:r>
        <w:tab/>
        <w:t>(c)</w:t>
      </w:r>
      <w:r>
        <w:tab/>
        <w:t xml:space="preserve">to use equipment that is — </w:t>
      </w:r>
    </w:p>
    <w:p>
      <w:pPr>
        <w:pStyle w:val="yIndenti0"/>
      </w:pPr>
      <w:r>
        <w:tab/>
        <w:t>(i)</w:t>
      </w:r>
      <w:r>
        <w:tab/>
        <w:t>supplied to the person by the operator, an employer of the person or any other person having control of work at a facility (the </w:t>
      </w:r>
      <w:r>
        <w:rPr>
          <w:b/>
        </w:rPr>
        <w:t>“</w:t>
      </w:r>
      <w:r>
        <w:rPr>
          <w:rStyle w:val="CharDefText"/>
        </w:rPr>
        <w:t>equipment supplier</w:t>
      </w:r>
      <w:r>
        <w:rPr>
          <w:b/>
        </w:rPr>
        <w:t>”</w:t>
      </w:r>
      <w:r>
        <w:t>); and</w:t>
      </w:r>
    </w:p>
    <w:p>
      <w:pPr>
        <w:pStyle w:val="yIndenti0"/>
      </w:pPr>
      <w:r>
        <w:tab/>
        <w:t>(ii)</w:t>
      </w:r>
      <w:r>
        <w:tab/>
        <w:t>necessary to protect the occupational safety and health of the person, or of any other person at or near the facility,</w:t>
      </w:r>
    </w:p>
    <w:p>
      <w:pPr>
        <w:pStyle w:val="yIndenta"/>
      </w:pPr>
      <w:r>
        <w:tab/>
      </w:r>
      <w:r>
        <w:tab/>
        <w:t>in accordance with any instructions given by the equipment supplier, consistent with the safe and proper use of the equipment.</w:t>
      </w:r>
    </w:p>
    <w:p>
      <w:pPr>
        <w:pStyle w:val="yPenstart"/>
      </w:pPr>
      <w:r>
        <w:tab/>
        <w:t>Penalty:</w:t>
      </w:r>
      <w:del w:id="2773" w:author="svcMRProcess" w:date="2020-02-19T21:14:00Z">
        <w:r>
          <w:tab/>
        </w:r>
      </w:del>
      <w:ins w:id="2774" w:author="svcMRProcess" w:date="2020-02-19T21:14:00Z">
        <w:r>
          <w:t xml:space="preserve"> </w:t>
        </w:r>
      </w:ins>
      <w:r>
        <w:t xml:space="preserve">$5 500. </w:t>
      </w:r>
    </w:p>
    <w:p>
      <w:pPr>
        <w:pStyle w:val="ySubsection"/>
      </w:pPr>
      <w:r>
        <w:tab/>
        <w:t>(2)</w:t>
      </w:r>
      <w:r>
        <w:tab/>
        <w:t xml:space="preserve">Despite subclause (1), the choice or manner of use, or choice and manner of use, of equipment of the kind referred to in subclause (1)(c)(ii) is a matter that may be, consistently with each listed OSH law — </w:t>
      </w:r>
    </w:p>
    <w:p>
      <w:pPr>
        <w:pStyle w:val="yIndenta"/>
      </w:pPr>
      <w:r>
        <w:tab/>
        <w:t>(a)</w:t>
      </w:r>
      <w:r>
        <w:tab/>
        <w:t>agreed on between the equipment supplier and any relevant safety and health representative; or</w:t>
      </w:r>
    </w:p>
    <w:p>
      <w:pPr>
        <w:pStyle w:val="yIndenta"/>
      </w:pPr>
      <w:r>
        <w:tab/>
        <w:t>(b)</w:t>
      </w:r>
      <w:r>
        <w:tab/>
        <w:t>agreed on by a safety and health committee.</w:t>
      </w:r>
    </w:p>
    <w:p>
      <w:pPr>
        <w:pStyle w:val="y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y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yFootnotesection"/>
        <w:rPr>
          <w:ins w:id="2775" w:author="svcMRProcess" w:date="2020-02-19T21:14:00Z"/>
        </w:rPr>
      </w:pPr>
      <w:ins w:id="2776" w:author="svcMRProcess" w:date="2020-02-19T21:14:00Z">
        <w:r>
          <w:tab/>
          <w:t>[Clause 14 inserted by No. 13 of 2005 s. 47.]</w:t>
        </w:r>
      </w:ins>
    </w:p>
    <w:p>
      <w:pPr>
        <w:pStyle w:val="yHeading5"/>
      </w:pPr>
      <w:bookmarkStart w:id="2777" w:name="_Toc170190764"/>
      <w:r>
        <w:rPr>
          <w:rStyle w:val="CharSClsNo"/>
        </w:rPr>
        <w:t>15</w:t>
      </w:r>
      <w:r>
        <w:t>.</w:t>
      </w:r>
      <w:r>
        <w:rPr>
          <w:b w:val="0"/>
        </w:rPr>
        <w:tab/>
      </w:r>
      <w:r>
        <w:t>Reliance on information supplied or results of research</w:t>
      </w:r>
      <w:bookmarkEnd w:id="2777"/>
    </w:p>
    <w:p>
      <w:pPr>
        <w:pStyle w:val="ySubsection"/>
      </w:pPr>
      <w:r>
        <w:tab/>
        <w:t>(1)</w:t>
      </w:r>
      <w:r>
        <w:tab/>
        <w:t xml:space="preserve">For the purpose of the application of clause 8, 9 or 10 to the use of plant or a substance, a person on whom an obligation is imposed under any of those clauses is regarded as having taken reasonably practicable steps as required by the relevant clause, in relation to the use of the plant or substance, to the extent that — </w:t>
      </w:r>
    </w:p>
    <w:p>
      <w:pPr>
        <w:pStyle w:val="y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yIndenta"/>
      </w:pPr>
      <w:r>
        <w:tab/>
        <w:t>(b)</w:t>
      </w:r>
      <w:r>
        <w:tab/>
        <w:t>it was reasonable for the person to rely on that information.</w:t>
      </w:r>
    </w:p>
    <w:p>
      <w:pPr>
        <w:pStyle w:val="ySubsection"/>
      </w:pPr>
      <w:r>
        <w:tab/>
        <w:t>(2)</w:t>
      </w:r>
      <w:r>
        <w:tab/>
        <w:t xml:space="preserve">For the purpose of the application of clause 11 or 12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 </w:t>
      </w:r>
    </w:p>
    <w:p>
      <w:pPr>
        <w:pStyle w:val="yIndenta"/>
      </w:pPr>
      <w:r>
        <w:tab/>
        <w:t>(a)</w:t>
      </w:r>
      <w:r>
        <w:tab/>
        <w:t>the research, testing or examination has already been carried out by or on behalf of someone else; and</w:t>
      </w:r>
    </w:p>
    <w:p>
      <w:pPr>
        <w:pStyle w:val="yIndenta"/>
      </w:pPr>
      <w:r>
        <w:tab/>
        <w:t>(b)</w:t>
      </w:r>
      <w:r>
        <w:tab/>
        <w:t>it was reasonable for the person to rely on that research, testing or examination.</w:t>
      </w:r>
    </w:p>
    <w:p>
      <w:pPr>
        <w:pStyle w:val="ySubsection"/>
      </w:pPr>
      <w:r>
        <w:tab/>
        <w:t>(3)</w:t>
      </w:r>
      <w:r>
        <w:tab/>
        <w:t xml:space="preserve">For the purpose of the application of clause 13 to the erection of a facility or the erection or installation of plant at a facility, a person on whom an obligation is imposed under that clause is regarded as having taken reasonably practicable steps as required by that clause to the extent that — </w:t>
      </w:r>
    </w:p>
    <w:p>
      <w:pPr>
        <w:pStyle w:val="yIndenta"/>
      </w:pPr>
      <w:r>
        <w:tab/>
        <w:t>(a)</w:t>
      </w:r>
      <w:r>
        <w:tab/>
        <w:t xml:space="preserve">the person ensured, so far as is reasonably practicable, that the erection of the facility, or the erection or installation of the plant, was — </w:t>
      </w:r>
    </w:p>
    <w:p>
      <w:pPr>
        <w:pStyle w:val="yIndenti0"/>
      </w:pPr>
      <w:r>
        <w:tab/>
        <w:t>(i)</w:t>
      </w:r>
      <w:r>
        <w:tab/>
        <w:t>in accordance with information supplied by the manufacturer or supplier of the facility or plant relating to its erection or its installation; and</w:t>
      </w:r>
    </w:p>
    <w:p>
      <w:pPr>
        <w:pStyle w:val="yIndenti0"/>
      </w:pPr>
      <w:r>
        <w:tab/>
        <w:t>(ii)</w:t>
      </w:r>
      <w:r>
        <w:tab/>
        <w:t>consistent with the occupational safety and health of persons at the facility;</w:t>
      </w:r>
    </w:p>
    <w:p>
      <w:pPr>
        <w:pStyle w:val="yIndenta"/>
      </w:pPr>
      <w:r>
        <w:tab/>
      </w:r>
      <w:r>
        <w:tab/>
        <w:t>and</w:t>
      </w:r>
    </w:p>
    <w:p>
      <w:pPr>
        <w:pStyle w:val="yIndenta"/>
      </w:pPr>
      <w:r>
        <w:tab/>
        <w:t>(b)</w:t>
      </w:r>
      <w:r>
        <w:tab/>
        <w:t>it was reasonable for the person to rely on that information.</w:t>
      </w:r>
    </w:p>
    <w:p>
      <w:pPr>
        <w:pStyle w:val="ySubsection"/>
      </w:pPr>
      <w:r>
        <w:tab/>
        <w:t>(4)</w:t>
      </w:r>
      <w:r>
        <w:tab/>
        <w:t>Nothing in this clause limits the generality of what constitutes reasonably practicable steps as required by clause 8, 9, 10, 11, 12 or 13.</w:t>
      </w:r>
    </w:p>
    <w:p>
      <w:pPr>
        <w:pStyle w:val="yFootnotesection"/>
        <w:rPr>
          <w:ins w:id="2778" w:author="svcMRProcess" w:date="2020-02-19T21:14:00Z"/>
        </w:rPr>
      </w:pPr>
      <w:bookmarkStart w:id="2779" w:name="_Toc131393927"/>
      <w:ins w:id="2780" w:author="svcMRProcess" w:date="2020-02-19T21:14:00Z">
        <w:r>
          <w:tab/>
          <w:t>[Clause 15 inserted by No. 13 of 2005 s. 47.]</w:t>
        </w:r>
      </w:ins>
    </w:p>
    <w:p>
      <w:pPr>
        <w:pStyle w:val="yHeading4"/>
      </w:pPr>
      <w:bookmarkStart w:id="2781" w:name="_Toc162761374"/>
      <w:bookmarkStart w:id="2782" w:name="_Toc170190765"/>
      <w:bookmarkStart w:id="2783" w:name="_Toc112746411"/>
      <w:bookmarkStart w:id="2784" w:name="_Toc112746536"/>
      <w:r>
        <w:t>Subdivision </w:t>
      </w:r>
      <w:r>
        <w:rPr>
          <w:bCs/>
        </w:rPr>
        <w:t>2</w:t>
      </w:r>
      <w:r>
        <w:rPr>
          <w:b w:val="0"/>
        </w:rPr>
        <w:t> — </w:t>
      </w:r>
      <w:r>
        <w:rPr>
          <w:bCs/>
        </w:rPr>
        <w:t>Regulations</w:t>
      </w:r>
      <w:r>
        <w:t xml:space="preserve"> relating to occupational safety and health</w:t>
      </w:r>
      <w:bookmarkEnd w:id="2779"/>
      <w:bookmarkEnd w:id="2781"/>
      <w:bookmarkEnd w:id="2782"/>
      <w:bookmarkEnd w:id="2783"/>
      <w:bookmarkEnd w:id="2784"/>
    </w:p>
    <w:p>
      <w:pPr>
        <w:pStyle w:val="yFootnoteheading"/>
        <w:rPr>
          <w:ins w:id="2785" w:author="svcMRProcess" w:date="2020-02-19T21:14:00Z"/>
        </w:rPr>
      </w:pPr>
      <w:ins w:id="2786" w:author="svcMRProcess" w:date="2020-02-19T21:14:00Z">
        <w:r>
          <w:tab/>
          <w:t>[Heading inserted by No. 13 of 2005 s. 47.]</w:t>
        </w:r>
      </w:ins>
    </w:p>
    <w:p>
      <w:pPr>
        <w:pStyle w:val="yHeading5"/>
      </w:pPr>
      <w:bookmarkStart w:id="2787" w:name="_Toc170190766"/>
      <w:r>
        <w:rPr>
          <w:rStyle w:val="CharSClsNo"/>
        </w:rPr>
        <w:t>16</w:t>
      </w:r>
      <w:r>
        <w:t>.</w:t>
      </w:r>
      <w:r>
        <w:rPr>
          <w:b w:val="0"/>
        </w:rPr>
        <w:tab/>
      </w:r>
      <w:r>
        <w:t>Regulations relating to occupational safety and health</w:t>
      </w:r>
      <w:bookmarkEnd w:id="2787"/>
    </w:p>
    <w:p>
      <w:pPr>
        <w:pStyle w:val="ySubsection"/>
      </w:pPr>
      <w:r>
        <w:tab/>
        <w:t>(1)</w:t>
      </w:r>
      <w:r>
        <w:tab/>
        <w:t>The regulations may make provision relating to any matter affecting, or likely to affect, the occupational safety and health of persons at a facility.</w:t>
      </w:r>
    </w:p>
    <w:p>
      <w:pPr>
        <w:pStyle w:val="ySubsection"/>
      </w:pPr>
      <w:r>
        <w:tab/>
        <w:t>(2)</w:t>
      </w:r>
      <w:r>
        <w:tab/>
        <w:t xml:space="preserve">Regulations made for the purposes of subclause (1) may make provision for any or all of the following — </w:t>
      </w:r>
    </w:p>
    <w:p>
      <w:pPr>
        <w:pStyle w:val="yIndenta"/>
      </w:pPr>
      <w:r>
        <w:tab/>
        <w:t>(a)</w:t>
      </w:r>
      <w:r>
        <w:tab/>
        <w:t>prohibiting or restricting the performance of all work or specified work at a facility;</w:t>
      </w:r>
    </w:p>
    <w:p>
      <w:pPr>
        <w:pStyle w:val="yIndenta"/>
      </w:pPr>
      <w:r>
        <w:tab/>
        <w:t>(b)</w:t>
      </w:r>
      <w:r>
        <w:tab/>
        <w:t>prohibiting or restricting the use of all plant or specified plant at a facility;</w:t>
      </w:r>
    </w:p>
    <w:p>
      <w:pPr>
        <w:pStyle w:val="yIndenta"/>
      </w:pPr>
      <w:r>
        <w:tab/>
        <w:t>(c)</w:t>
      </w:r>
      <w:r>
        <w:tab/>
        <w:t>prohibiting or restricting the carrying out of all processes or a specified process at a facility;</w:t>
      </w:r>
    </w:p>
    <w:p>
      <w:pPr>
        <w:pStyle w:val="yIndenta"/>
      </w:pPr>
      <w:r>
        <w:tab/>
        <w:t>(d)</w:t>
      </w:r>
      <w:r>
        <w:tab/>
        <w:t>prohibiting or restricting the storage or use of all substances or specified substances at a facility;</w:t>
      </w:r>
    </w:p>
    <w:p>
      <w:pPr>
        <w:pStyle w:val="yIndenta"/>
      </w:pPr>
      <w:r>
        <w:tab/>
        <w:t>(e)</w:t>
      </w:r>
      <w:r>
        <w:tab/>
        <w:t>specifying the form in which information required to be made available under clause 11(1)(c) or 12(1)(c) is to be so made available;</w:t>
      </w:r>
    </w:p>
    <w:p>
      <w:pPr>
        <w:pStyle w:val="yIndenta"/>
      </w:pPr>
      <w:r>
        <w:tab/>
        <w:t>(f)</w:t>
      </w:r>
      <w:r>
        <w:tab/>
        <w:t>prohibiting, except in accordance with licences granted under the regulations, the use of specified plant or specified substances at a facility;</w:t>
      </w:r>
    </w:p>
    <w:p>
      <w:pPr>
        <w:pStyle w:val="yIndenta"/>
      </w:pPr>
      <w:r>
        <w:tab/>
        <w:t>(g)</w:t>
      </w:r>
      <w:r>
        <w:tab/>
        <w:t xml:space="preserve">providing for — </w:t>
      </w:r>
    </w:p>
    <w:p>
      <w:pPr>
        <w:pStyle w:val="yIndenti0"/>
      </w:pPr>
      <w:r>
        <w:tab/>
        <w:t>(i)</w:t>
      </w:r>
      <w:r>
        <w:tab/>
        <w:t>the issue, variation, renewal, transfer, suspension and cancellation of those licences; and</w:t>
      </w:r>
    </w:p>
    <w:p>
      <w:pPr>
        <w:pStyle w:val="yIndenti0"/>
      </w:pPr>
      <w:r>
        <w:tab/>
        <w:t>(ii)</w:t>
      </w:r>
      <w:r>
        <w:tab/>
        <w:t>the conditions to which the licences may be subject;</w:t>
      </w:r>
    </w:p>
    <w:p>
      <w:pPr>
        <w:pStyle w:val="yIndenta"/>
      </w:pPr>
      <w:r>
        <w:tab/>
        <w:t>(h)</w:t>
      </w:r>
      <w:r>
        <w:tab/>
        <w:t>regulating the maintenance and testing of plant used at a facility;</w:t>
      </w:r>
    </w:p>
    <w:p>
      <w:pPr>
        <w:pStyle w:val="yIndenta"/>
      </w:pPr>
      <w:r>
        <w:tab/>
        <w:t>(i)</w:t>
      </w:r>
      <w:r>
        <w:tab/>
        <w:t>regulating the labelling or marking of substances used at a facility;</w:t>
      </w:r>
    </w:p>
    <w:p>
      <w:pPr>
        <w:pStyle w:val="yIndenta"/>
      </w:pPr>
      <w:r>
        <w:tab/>
        <w:t>(j)</w:t>
      </w:r>
      <w:r>
        <w:tab/>
        <w:t>regulating the transport of specified plant or specified substances for use at a facility;</w:t>
      </w:r>
    </w:p>
    <w:p>
      <w:pPr>
        <w:pStyle w:val="yIndenta"/>
      </w:pPr>
      <w:r>
        <w:tab/>
        <w:t>(k)</w:t>
      </w:r>
      <w:r>
        <w:tab/>
        <w:t xml:space="preserve">prohibiting the performance, at a facility, of specified activities or work except — </w:t>
      </w:r>
    </w:p>
    <w:p>
      <w:pPr>
        <w:pStyle w:val="yIndenti0"/>
      </w:pPr>
      <w:r>
        <w:tab/>
        <w:t>(i)</w:t>
      </w:r>
      <w:r>
        <w:tab/>
        <w:t>by persons who satisfy requirements of the regulations as to qualifications, training or experience; or</w:t>
      </w:r>
    </w:p>
    <w:p>
      <w:pPr>
        <w:pStyle w:val="yIndenti0"/>
      </w:pPr>
      <w:r>
        <w:tab/>
        <w:t>(ii)</w:t>
      </w:r>
      <w:r>
        <w:tab/>
        <w:t>under the supervision specified in the regulations;</w:t>
      </w:r>
    </w:p>
    <w:p>
      <w:pPr>
        <w:pStyle w:val="yIndenta"/>
      </w:pPr>
      <w:r>
        <w:tab/>
        <w:t>(l)</w:t>
      </w:r>
      <w:r>
        <w:tab/>
        <w:t>requiring specified action to avoid accidents or dangerous occurrences;</w:t>
      </w:r>
    </w:p>
    <w:p>
      <w:pPr>
        <w:pStyle w:val="yIndenta"/>
      </w:pPr>
      <w:r>
        <w:tab/>
        <w:t>(m)</w:t>
      </w:r>
      <w:r>
        <w:tab/>
        <w:t>providing for, or prohibiting, specified action in the event of accidents or dangerous occurrences;</w:t>
      </w:r>
    </w:p>
    <w:p>
      <w:pPr>
        <w:pStyle w:val="yIndenta"/>
      </w:pPr>
      <w:r>
        <w:tab/>
        <w:t>(n)</w:t>
      </w:r>
      <w:r>
        <w:tab/>
        <w:t>providing for the employment at a facility of persons to perform specified duties relating to the maintenance of occupational safety and health at the facility;</w:t>
      </w:r>
    </w:p>
    <w:p>
      <w:pPr>
        <w:pStyle w:val="yIndenta"/>
      </w:pPr>
      <w:r>
        <w:tab/>
        <w:t>(o)</w:t>
      </w:r>
      <w:r>
        <w:tab/>
        <w:t>regulating the provision and use, at a facility, of protective clothing and equipment, safety equipment and rescue equipment;</w:t>
      </w:r>
    </w:p>
    <w:p>
      <w:pPr>
        <w:pStyle w:val="yIndenta"/>
      </w:pPr>
      <w:r>
        <w:tab/>
        <w:t>(p)</w:t>
      </w:r>
      <w:r>
        <w:tab/>
        <w:t>providing for monitoring the health of members of the workforce at a facility and the conditions at the facility;</w:t>
      </w:r>
    </w:p>
    <w:p>
      <w:pPr>
        <w:pStyle w:val="yIndenta"/>
      </w:pPr>
      <w:r>
        <w:tab/>
        <w:t>(q)</w:t>
      </w:r>
      <w:r>
        <w:tab/>
        <w:t>requiring employers to keep records of matters related to the occupational safety and health of employees;</w:t>
      </w:r>
    </w:p>
    <w:p>
      <w:pPr>
        <w:pStyle w:val="yIndenta"/>
      </w:pPr>
      <w:r>
        <w:tab/>
        <w:t>(r)</w:t>
      </w:r>
      <w:r>
        <w:tab/>
        <w:t>providing for the provision of first aid equipment and amenities at a facility.</w:t>
      </w:r>
    </w:p>
    <w:p>
      <w:pPr>
        <w:pStyle w:val="yFootnotesection"/>
        <w:rPr>
          <w:ins w:id="2788" w:author="svcMRProcess" w:date="2020-02-19T21:14:00Z"/>
        </w:rPr>
      </w:pPr>
      <w:bookmarkStart w:id="2789" w:name="_Toc131393928"/>
      <w:ins w:id="2790" w:author="svcMRProcess" w:date="2020-02-19T21:14:00Z">
        <w:r>
          <w:tab/>
          <w:t>[Clause 16 inserted by No. 13 of 2005 s. 47.]</w:t>
        </w:r>
      </w:ins>
    </w:p>
    <w:p>
      <w:pPr>
        <w:pStyle w:val="yHeading3"/>
      </w:pPr>
      <w:bookmarkStart w:id="2791" w:name="_Toc162761376"/>
      <w:bookmarkStart w:id="2792" w:name="_Toc170190767"/>
      <w:bookmarkStart w:id="2793" w:name="_Toc112746412"/>
      <w:bookmarkStart w:id="2794" w:name="_Toc112746537"/>
      <w:r>
        <w:rPr>
          <w:rStyle w:val="CharSDivNo"/>
        </w:rPr>
        <w:t>Division 3</w:t>
      </w:r>
      <w:r>
        <w:rPr>
          <w:b w:val="0"/>
        </w:rPr>
        <w:t> — </w:t>
      </w:r>
      <w:r>
        <w:rPr>
          <w:rStyle w:val="CharSDivText"/>
        </w:rPr>
        <w:t>Workplace arrangements</w:t>
      </w:r>
      <w:bookmarkEnd w:id="2789"/>
      <w:bookmarkEnd w:id="2791"/>
      <w:bookmarkEnd w:id="2792"/>
      <w:bookmarkEnd w:id="2793"/>
      <w:bookmarkEnd w:id="2794"/>
    </w:p>
    <w:p>
      <w:pPr>
        <w:pStyle w:val="yFootnoteheading"/>
        <w:rPr>
          <w:ins w:id="2795" w:author="svcMRProcess" w:date="2020-02-19T21:14:00Z"/>
        </w:rPr>
      </w:pPr>
      <w:ins w:id="2796" w:author="svcMRProcess" w:date="2020-02-19T21:14:00Z">
        <w:r>
          <w:tab/>
          <w:t>[Heading inserted by No. 13 of 2005 s. 47.]</w:t>
        </w:r>
      </w:ins>
    </w:p>
    <w:p>
      <w:pPr>
        <w:pStyle w:val="yHeading4"/>
        <w:rPr>
          <w:bCs/>
        </w:rPr>
      </w:pPr>
      <w:bookmarkStart w:id="2797" w:name="_Toc131393929"/>
      <w:bookmarkStart w:id="2798" w:name="_Toc162761377"/>
      <w:bookmarkStart w:id="2799" w:name="_Toc170190768"/>
      <w:bookmarkStart w:id="2800" w:name="_Toc112746413"/>
      <w:bookmarkStart w:id="2801" w:name="_Toc112746538"/>
      <w:r>
        <w:t>Subdivision </w:t>
      </w:r>
      <w:r>
        <w:rPr>
          <w:bCs/>
        </w:rPr>
        <w:t>1</w:t>
      </w:r>
      <w:r>
        <w:rPr>
          <w:b w:val="0"/>
        </w:rPr>
        <w:t> — </w:t>
      </w:r>
      <w:r>
        <w:rPr>
          <w:bCs/>
        </w:rPr>
        <w:t>Introduction</w:t>
      </w:r>
      <w:bookmarkEnd w:id="2797"/>
      <w:bookmarkEnd w:id="2798"/>
      <w:bookmarkEnd w:id="2799"/>
      <w:bookmarkEnd w:id="2800"/>
      <w:bookmarkEnd w:id="2801"/>
    </w:p>
    <w:p>
      <w:pPr>
        <w:pStyle w:val="yFootnoteheading"/>
        <w:rPr>
          <w:ins w:id="2802" w:author="svcMRProcess" w:date="2020-02-19T21:14:00Z"/>
        </w:rPr>
      </w:pPr>
      <w:ins w:id="2803" w:author="svcMRProcess" w:date="2020-02-19T21:14:00Z">
        <w:r>
          <w:tab/>
          <w:t>[Heading inserted by No. 13 of 2005 s. 47.]</w:t>
        </w:r>
      </w:ins>
    </w:p>
    <w:p>
      <w:pPr>
        <w:pStyle w:val="yHeading5"/>
      </w:pPr>
      <w:bookmarkStart w:id="2804" w:name="_Toc170190769"/>
      <w:r>
        <w:rPr>
          <w:rStyle w:val="CharSClsNo"/>
        </w:rPr>
        <w:t>17</w:t>
      </w:r>
      <w:r>
        <w:t>.</w:t>
      </w:r>
      <w:r>
        <w:rPr>
          <w:b w:val="0"/>
        </w:rPr>
        <w:tab/>
      </w:r>
      <w:r>
        <w:t>Simplified outline</w:t>
      </w:r>
      <w:bookmarkEnd w:id="2804"/>
    </w:p>
    <w:p>
      <w:pPr>
        <w:pStyle w:val="ySubsection"/>
      </w:pPr>
      <w:r>
        <w:tab/>
      </w:r>
      <w:r>
        <w:tab/>
        <w:t xml:space="preserve">The following is a simplified outline of this Subdivision — </w:t>
      </w:r>
    </w:p>
    <w:p>
      <w:pPr>
        <w:pStyle w:val="ySubsection"/>
        <w:numPr>
          <w:ilvl w:val="0"/>
          <w:numId w:val="4"/>
        </w:numPr>
        <w:tabs>
          <w:tab w:val="clear" w:pos="595"/>
          <w:tab w:val="clear" w:pos="720"/>
          <w:tab w:val="clear" w:pos="879"/>
          <w:tab w:val="right" w:pos="1134"/>
          <w:tab w:val="left" w:pos="1418"/>
          <w:tab w:val="num" w:pos="1560"/>
        </w:tabs>
        <w:ind w:left="1134" w:hanging="283"/>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ind w:left="1134" w:hanging="283"/>
      </w:pPr>
      <w:r>
        <w:t>A safety and health committee may be established in relation to the members of the workforce at a facility.</w:t>
      </w:r>
    </w:p>
    <w:p>
      <w:pPr>
        <w:pStyle w:val="ySubsection"/>
        <w:numPr>
          <w:ilvl w:val="0"/>
          <w:numId w:val="4"/>
        </w:numPr>
        <w:tabs>
          <w:tab w:val="clear" w:pos="595"/>
          <w:tab w:val="clear" w:pos="720"/>
          <w:tab w:val="clear" w:pos="879"/>
          <w:tab w:val="right" w:pos="1134"/>
          <w:tab w:val="left" w:pos="1418"/>
          <w:tab w:val="num" w:pos="1560"/>
        </w:tabs>
        <w:ind w:left="1134" w:hanging="283"/>
      </w:pPr>
      <w:r>
        <w:t>The main function of a safety and health committee is to assist the operator in relation to occupational safety and health matters.</w:t>
      </w:r>
    </w:p>
    <w:p>
      <w:pPr>
        <w:pStyle w:val="yFootnotesection"/>
        <w:rPr>
          <w:ins w:id="2805" w:author="svcMRProcess" w:date="2020-02-19T21:14:00Z"/>
        </w:rPr>
      </w:pPr>
      <w:bookmarkStart w:id="2806" w:name="_Toc131393930"/>
      <w:ins w:id="2807" w:author="svcMRProcess" w:date="2020-02-19T21:14:00Z">
        <w:r>
          <w:tab/>
          <w:t>[Clause 17 inserted by No. 13 of 2005 s. 47.]</w:t>
        </w:r>
      </w:ins>
    </w:p>
    <w:p>
      <w:pPr>
        <w:pStyle w:val="yHeading4"/>
      </w:pPr>
      <w:bookmarkStart w:id="2808" w:name="_Toc162761379"/>
      <w:bookmarkStart w:id="2809" w:name="_Toc170190770"/>
      <w:bookmarkStart w:id="2810" w:name="_Toc112746414"/>
      <w:bookmarkStart w:id="2811" w:name="_Toc112746539"/>
      <w:r>
        <w:t>Subdivision </w:t>
      </w:r>
      <w:r>
        <w:rPr>
          <w:bCs/>
        </w:rPr>
        <w:t>2</w:t>
      </w:r>
      <w:r>
        <w:rPr>
          <w:b w:val="0"/>
        </w:rPr>
        <w:t> — </w:t>
      </w:r>
      <w:r>
        <w:rPr>
          <w:bCs/>
        </w:rPr>
        <w:t xml:space="preserve">Designated </w:t>
      </w:r>
      <w:r>
        <w:t>work groups</w:t>
      </w:r>
      <w:bookmarkEnd w:id="2806"/>
      <w:bookmarkEnd w:id="2808"/>
      <w:bookmarkEnd w:id="2809"/>
      <w:bookmarkEnd w:id="2810"/>
      <w:bookmarkEnd w:id="2811"/>
    </w:p>
    <w:p>
      <w:pPr>
        <w:pStyle w:val="yFootnoteheading"/>
        <w:rPr>
          <w:ins w:id="2812" w:author="svcMRProcess" w:date="2020-02-19T21:14:00Z"/>
        </w:rPr>
      </w:pPr>
      <w:ins w:id="2813" w:author="svcMRProcess" w:date="2020-02-19T21:14:00Z">
        <w:r>
          <w:tab/>
          <w:t>[Heading inserted by No. 13 of 2005 s. 47.]</w:t>
        </w:r>
      </w:ins>
    </w:p>
    <w:p>
      <w:pPr>
        <w:pStyle w:val="yHeading5"/>
      </w:pPr>
      <w:bookmarkStart w:id="2814" w:name="_Toc170190771"/>
      <w:r>
        <w:rPr>
          <w:rStyle w:val="CharSClsNo"/>
        </w:rPr>
        <w:t>18</w:t>
      </w:r>
      <w:r>
        <w:t>.</w:t>
      </w:r>
      <w:r>
        <w:rPr>
          <w:b w:val="0"/>
        </w:rPr>
        <w:tab/>
      </w:r>
      <w:r>
        <w:t>Establishment of designated work groups by request</w:t>
      </w:r>
      <w:bookmarkEnd w:id="2814"/>
    </w:p>
    <w:p>
      <w:pPr>
        <w:pStyle w:val="ySubsection"/>
      </w:pPr>
      <w:r>
        <w:tab/>
        <w:t>(1)</w:t>
      </w:r>
      <w:r>
        <w:tab/>
        <w:t xml:space="preserve">A request to the operator of a facility to enter into consultations to establish designated work groups in relation to the members of the workforce at the facility may be made by —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pPr>
      <w:r>
        <w:tab/>
        <w:t>(2)</w:t>
      </w:r>
      <w:r>
        <w:tab/>
        <w:t xml:space="preserve">The operator of a facility must, within 14 days after receiving a request under subclause (1), enter into consultations with — </w:t>
      </w:r>
    </w:p>
    <w:p>
      <w:pPr>
        <w:pStyle w:val="yIndenta"/>
      </w:pPr>
      <w:r>
        <w:tab/>
        <w:t>(a)</w:t>
      </w:r>
      <w:r>
        <w:tab/>
        <w:t xml:space="preserve">if any member of the workforce made a request to establish designated work groups — </w:t>
      </w:r>
    </w:p>
    <w:p>
      <w:pPr>
        <w:pStyle w:val="yIndenti0"/>
      </w:pPr>
      <w:r>
        <w:tab/>
        <w:t>(i)</w:t>
      </w:r>
      <w:r>
        <w:tab/>
        <w:t xml:space="preserve">that member of the workforce; </w:t>
      </w:r>
    </w:p>
    <w:p>
      <w:pPr>
        <w:pStyle w:val="yIndenti0"/>
      </w:pPr>
      <w:r>
        <w:tab/>
        <w:t>(ii)</w:t>
      </w:r>
      <w:r>
        <w:tab/>
        <w:t>if that member requests that the operator enter into consultations with a workforce representative in relation to the member — that workforce representative; and</w:t>
      </w:r>
    </w:p>
    <w:p>
      <w:pPr>
        <w:pStyle w:val="yIndenti0"/>
      </w:pPr>
      <w:r>
        <w:tab/>
        <w:t>(iii)</w:t>
      </w:r>
      <w:r>
        <w:tab/>
        <w:t xml:space="preserve">each employer (if any) of members of the workforce; </w:t>
      </w:r>
    </w:p>
    <w:p>
      <w:pPr>
        <w:pStyle w:val="yIndenta"/>
      </w:pPr>
      <w:r>
        <w:tab/>
      </w:r>
      <w:r>
        <w:tab/>
        <w:t>and</w:t>
      </w:r>
    </w:p>
    <w:p>
      <w:pPr>
        <w:pStyle w:val="yIndenta"/>
      </w:pPr>
      <w:r>
        <w:tab/>
        <w:t>(b)</w:t>
      </w:r>
      <w:r>
        <w:tab/>
        <w:t xml:space="preserve">if a workforce representative made a request to establish designated work groups — </w:t>
      </w:r>
    </w:p>
    <w:p>
      <w:pPr>
        <w:pStyle w:val="yIndenti0"/>
      </w:pPr>
      <w:r>
        <w:tab/>
        <w:t>(i)</w:t>
      </w:r>
      <w:r>
        <w:tab/>
        <w:t>if a member of the workforce requests that the operator enter into consultations with that workforce representative — that workforce representative; and</w:t>
      </w:r>
    </w:p>
    <w:p>
      <w:pPr>
        <w:pStyle w:val="yIndenti0"/>
      </w:pPr>
      <w:r>
        <w:tab/>
        <w:t>(ii)</w:t>
      </w:r>
      <w:r>
        <w:tab/>
        <w:t>each employer of members of the workforce.</w:t>
      </w:r>
    </w:p>
    <w:p>
      <w:pPr>
        <w:pStyle w:val="y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rPr>
          <w:ins w:id="2815" w:author="svcMRProcess" w:date="2020-02-19T21:14:00Z"/>
        </w:rPr>
      </w:pPr>
      <w:ins w:id="2816" w:author="svcMRProcess" w:date="2020-02-19T21:14:00Z">
        <w:r>
          <w:tab/>
          <w:t>[Clause 18 inserted by No. 13 of 2005 s. 47.]</w:t>
        </w:r>
      </w:ins>
    </w:p>
    <w:p>
      <w:pPr>
        <w:pStyle w:val="yHeading5"/>
      </w:pPr>
      <w:bookmarkStart w:id="2817" w:name="_Toc170190772"/>
      <w:r>
        <w:rPr>
          <w:rStyle w:val="CharSClsNo"/>
        </w:rPr>
        <w:t>19</w:t>
      </w:r>
      <w:r>
        <w:t>.</w:t>
      </w:r>
      <w:r>
        <w:rPr>
          <w:b w:val="0"/>
        </w:rPr>
        <w:tab/>
      </w:r>
      <w:r>
        <w:t>Establishment of designated work groups at initiative of operator</w:t>
      </w:r>
      <w:bookmarkEnd w:id="2817"/>
    </w:p>
    <w:p>
      <w:pPr>
        <w:pStyle w:val="ySubsection"/>
      </w:pPr>
      <w:r>
        <w:tab/>
        <w:t>(1)</w:t>
      </w:r>
      <w:r>
        <w:tab/>
        <w:t xml:space="preserve">If, at any time, the operator of a facility considers that designated work groups should be established, the operator must enter into consultations with — </w:t>
      </w:r>
    </w:p>
    <w:p>
      <w:pPr>
        <w:pStyle w:val="yIndenta"/>
      </w:pPr>
      <w:r>
        <w:tab/>
        <w:t>(a)</w:t>
      </w:r>
      <w:r>
        <w:tab/>
        <w:t xml:space="preserve">all members of the workforce; </w:t>
      </w:r>
    </w:p>
    <w:p>
      <w:pPr>
        <w:pStyle w:val="yIndenta"/>
      </w:pPr>
      <w:r>
        <w:tab/>
        <w:t>(b)</w:t>
      </w:r>
      <w:r>
        <w:tab/>
        <w:t>if a member of the workforce requests that the operator enter into consultations with a workforce representative in relation to the member — that workforce representative; and</w:t>
      </w:r>
    </w:p>
    <w:p>
      <w:pPr>
        <w:pStyle w:val="yIndenta"/>
      </w:pPr>
      <w:r>
        <w:tab/>
        <w:t>(c)</w:t>
      </w:r>
      <w:r>
        <w:tab/>
        <w:t>each employer (if any) of members of the workforce.</w:t>
      </w:r>
    </w:p>
    <w:p>
      <w:pPr>
        <w:pStyle w:val="y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rPr>
          <w:ins w:id="2818" w:author="svcMRProcess" w:date="2020-02-19T21:14:00Z"/>
        </w:rPr>
      </w:pPr>
      <w:ins w:id="2819" w:author="svcMRProcess" w:date="2020-02-19T21:14:00Z">
        <w:r>
          <w:tab/>
          <w:t>[Clause 19 inserted by No. 13 of 2005 s. 47.]</w:t>
        </w:r>
      </w:ins>
    </w:p>
    <w:p>
      <w:pPr>
        <w:pStyle w:val="yHeading5"/>
      </w:pPr>
      <w:bookmarkStart w:id="2820" w:name="_Toc170190773"/>
      <w:r>
        <w:rPr>
          <w:rStyle w:val="CharSClsNo"/>
        </w:rPr>
        <w:t>20</w:t>
      </w:r>
      <w:r>
        <w:t>.</w:t>
      </w:r>
      <w:r>
        <w:rPr>
          <w:b w:val="0"/>
        </w:rPr>
        <w:tab/>
      </w:r>
      <w:r>
        <w:t>Variation of designated work groups by request</w:t>
      </w:r>
      <w:bookmarkEnd w:id="2820"/>
    </w:p>
    <w:p>
      <w:pPr>
        <w:pStyle w:val="ySubsection"/>
      </w:pPr>
      <w:r>
        <w:tab/>
        <w:t>(1)</w:t>
      </w:r>
      <w:r>
        <w:tab/>
        <w:t xml:space="preserve">A request to the operator of a facility to enter into consultations to vary designated work groups that have already been established in relation to the members of the workforce at the facility may be made by —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pPr>
      <w:r>
        <w:tab/>
        <w:t>(2)</w:t>
      </w:r>
      <w:r>
        <w:tab/>
        <w:t xml:space="preserve">The operator of a facility must, within 14 days after receiving a request under subclause (1), enter into consultations with — </w:t>
      </w:r>
    </w:p>
    <w:p>
      <w:pPr>
        <w:pStyle w:val="yIndenta"/>
      </w:pPr>
      <w:r>
        <w:tab/>
        <w:t>(a)</w:t>
      </w:r>
      <w:r>
        <w:tab/>
        <w:t xml:space="preserve">if any member of the workforce made a request to vary designated work groups — </w:t>
      </w:r>
    </w:p>
    <w:p>
      <w:pPr>
        <w:pStyle w:val="yIndenti0"/>
      </w:pPr>
      <w:r>
        <w:tab/>
        <w:t>(i)</w:t>
      </w:r>
      <w:r>
        <w:tab/>
        <w:t xml:space="preserve">that member of the workforce; </w:t>
      </w:r>
    </w:p>
    <w:p>
      <w:pPr>
        <w:pStyle w:val="yIndenti0"/>
      </w:pPr>
      <w:r>
        <w:tab/>
        <w:t>(ii)</w:t>
      </w:r>
      <w:r>
        <w:tab/>
        <w:t>the safety and health representative of each designated work group affected by the proposed variation; and</w:t>
      </w:r>
    </w:p>
    <w:p>
      <w:pPr>
        <w:pStyle w:val="yIndenti0"/>
      </w:pPr>
      <w:r>
        <w:tab/>
        <w:t>(iii)</w:t>
      </w:r>
      <w:r>
        <w:tab/>
        <w:t xml:space="preserve">each work group employer (if any) in relation to each designated work group affected by the proposed variation; </w:t>
      </w:r>
    </w:p>
    <w:p>
      <w:pPr>
        <w:pStyle w:val="yIndenta"/>
      </w:pPr>
      <w:r>
        <w:tab/>
      </w:r>
      <w:r>
        <w:tab/>
        <w:t>and</w:t>
      </w:r>
    </w:p>
    <w:p>
      <w:pPr>
        <w:pStyle w:val="yIndenta"/>
      </w:pPr>
      <w:r>
        <w:tab/>
        <w:t>(b)</w:t>
      </w:r>
      <w:r>
        <w:tab/>
        <w:t xml:space="preserve">if a workforce representative made a request to vary designated work groups — </w:t>
      </w:r>
    </w:p>
    <w:p>
      <w:pPr>
        <w:pStyle w:val="yIndenti0"/>
      </w:pPr>
      <w:r>
        <w:tab/>
        <w:t>(i)</w:t>
      </w:r>
      <w:r>
        <w:tab/>
        <w:t xml:space="preserve">if a member of a designated work group affected by the proposed variation requests that the operator enter into consultations with that workforce representative in relation to the group — that workforce representative; </w:t>
      </w:r>
    </w:p>
    <w:p>
      <w:pPr>
        <w:pStyle w:val="yIndenti0"/>
      </w:pPr>
      <w:r>
        <w:tab/>
        <w:t>(ii)</w:t>
      </w:r>
      <w:r>
        <w:tab/>
        <w:t>the safety and health representative of each designated work group affected by the proposed variation; and</w:t>
      </w:r>
    </w:p>
    <w:p>
      <w:pPr>
        <w:pStyle w:val="yIndenti0"/>
      </w:pPr>
      <w:r>
        <w:tab/>
        <w:t>(iii)</w:t>
      </w:r>
      <w:r>
        <w:tab/>
        <w:t>each work group employer (if any) in relation to each designated work group affected by the proposed variation.</w:t>
      </w:r>
    </w:p>
    <w:p>
      <w:pPr>
        <w:pStyle w:val="ySubsection"/>
      </w:pPr>
      <w:r>
        <w:tab/>
        <w:t>(3)</w:t>
      </w:r>
      <w:r>
        <w:tab/>
        <w:t xml:space="preserve">If —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rPr>
          <w:ins w:id="2821" w:author="svcMRProcess" w:date="2020-02-19T21:14:00Z"/>
        </w:rPr>
      </w:pPr>
      <w:ins w:id="2822" w:author="svcMRProcess" w:date="2020-02-19T21:14:00Z">
        <w:r>
          <w:tab/>
          <w:t>[Clause 20 inserted by No. 13 of 2005 s. 47.]</w:t>
        </w:r>
      </w:ins>
    </w:p>
    <w:p>
      <w:pPr>
        <w:pStyle w:val="yHeading5"/>
      </w:pPr>
      <w:bookmarkStart w:id="2823" w:name="_Toc170190774"/>
      <w:r>
        <w:rPr>
          <w:rStyle w:val="CharSClsNo"/>
        </w:rPr>
        <w:t>21</w:t>
      </w:r>
      <w:r>
        <w:t>.</w:t>
      </w:r>
      <w:r>
        <w:rPr>
          <w:b w:val="0"/>
        </w:rPr>
        <w:tab/>
      </w:r>
      <w:r>
        <w:t>Variation of designated work groups at initiative of operator</w:t>
      </w:r>
      <w:bookmarkEnd w:id="2823"/>
    </w:p>
    <w:p>
      <w:pPr>
        <w:pStyle w:val="ySubsection"/>
      </w:pPr>
      <w:r>
        <w:tab/>
        <w:t>(1)</w:t>
      </w:r>
      <w:r>
        <w:tab/>
        <w:t xml:space="preserve">If the operator of a facility believes the designated work groups should be varied, the operator may, at any time, enter into consultations about the variations with — </w:t>
      </w:r>
    </w:p>
    <w:p>
      <w:pPr>
        <w:pStyle w:val="yIndenta"/>
      </w:pPr>
      <w:r>
        <w:tab/>
        <w:t>(a)</w:t>
      </w:r>
      <w:r>
        <w:tab/>
        <w:t xml:space="preserve">the safety and health representative of each of the designated work groups affected by the proposed variation; </w:t>
      </w:r>
    </w:p>
    <w:p>
      <w:pPr>
        <w:pStyle w:val="y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yIndenta"/>
      </w:pPr>
      <w:r>
        <w:tab/>
        <w:t>(c)</w:t>
      </w:r>
      <w:r>
        <w:tab/>
        <w:t>each work group employer (if any) in relation to each designated work group affected by the proposed variation.</w:t>
      </w:r>
    </w:p>
    <w:p>
      <w:pPr>
        <w:pStyle w:val="ySubsection"/>
      </w:pPr>
      <w:r>
        <w:tab/>
        <w:t>(2)</w:t>
      </w:r>
      <w:r>
        <w:tab/>
        <w:t xml:space="preserve">If —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rPr>
          <w:ins w:id="2824" w:author="svcMRProcess" w:date="2020-02-19T21:14:00Z"/>
        </w:rPr>
      </w:pPr>
      <w:ins w:id="2825" w:author="svcMRProcess" w:date="2020-02-19T21:14:00Z">
        <w:r>
          <w:tab/>
          <w:t>[Clause 21 inserted by No. 13 of 2005 s. 47.]</w:t>
        </w:r>
      </w:ins>
    </w:p>
    <w:p>
      <w:pPr>
        <w:pStyle w:val="yHeading5"/>
      </w:pPr>
      <w:bookmarkStart w:id="2826" w:name="_Toc170190775"/>
      <w:r>
        <w:rPr>
          <w:rStyle w:val="CharSClsNo"/>
        </w:rPr>
        <w:t>22</w:t>
      </w:r>
      <w:r>
        <w:t>.</w:t>
      </w:r>
      <w:r>
        <w:rPr>
          <w:b w:val="0"/>
        </w:rPr>
        <w:tab/>
      </w:r>
      <w:r>
        <w:t>Referral of disagreement to reviewing authority</w:t>
      </w:r>
      <w:bookmarkEnd w:id="2826"/>
    </w:p>
    <w:p>
      <w:pPr>
        <w:pStyle w:val="ySubsection"/>
      </w:pPr>
      <w:r>
        <w:tab/>
        <w:t>(1)</w:t>
      </w:r>
      <w:r>
        <w:tab/>
        <w:t>If, in the course of consultations under clause 18, 19, 20 or 21,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ySubsection"/>
        <w:rPr>
          <w:b/>
          <w:i/>
        </w:rPr>
      </w:pPr>
      <w:r>
        <w:tab/>
        <w:t>(2)</w:t>
      </w:r>
      <w:r>
        <w:tab/>
        <w:t>The party referring the matter to the reviewing authority must give notice of the referral to all the other parties to the disagreement.</w:t>
      </w:r>
    </w:p>
    <w:p>
      <w:pPr>
        <w:pStyle w:val="ySubsection"/>
      </w:pPr>
      <w:r>
        <w:tab/>
        <w:t>(3)</w:t>
      </w:r>
      <w:r>
        <w:tab/>
        <w:t xml:space="preserve">The reviewing authority is to — </w:t>
      </w:r>
    </w:p>
    <w:p>
      <w:pPr>
        <w:pStyle w:val="yIndenta"/>
      </w:pPr>
      <w:r>
        <w:tab/>
        <w:t>(a)</w:t>
      </w:r>
      <w:r>
        <w:tab/>
        <w:t>resolve the matter of the disagreement referred to the reviewing authority; and</w:t>
      </w:r>
    </w:p>
    <w:p>
      <w:pPr>
        <w:pStyle w:val="yIndenta"/>
      </w:pPr>
      <w:r>
        <w:tab/>
        <w:t>(b)</w:t>
      </w:r>
      <w:r>
        <w:tab/>
        <w:t>notify all parties to the disagreement of the decision.</w:t>
      </w:r>
    </w:p>
    <w:p>
      <w:pPr>
        <w:pStyle w:val="y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ySubsection"/>
      </w:pPr>
      <w:r>
        <w:tab/>
        <w:t>(5)</w:t>
      </w:r>
      <w:r>
        <w:tab/>
        <w:t xml:space="preserve">In this clause — </w:t>
      </w:r>
    </w:p>
    <w:p>
      <w:pPr>
        <w:pStyle w:val="y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yFootnotesection"/>
        <w:rPr>
          <w:ins w:id="2827" w:author="svcMRProcess" w:date="2020-02-19T21:14:00Z"/>
        </w:rPr>
      </w:pPr>
      <w:ins w:id="2828" w:author="svcMRProcess" w:date="2020-02-19T21:14:00Z">
        <w:r>
          <w:tab/>
          <w:t>[Clause 22 inserted by No. 13 of 2005 s. 47.]</w:t>
        </w:r>
      </w:ins>
    </w:p>
    <w:p>
      <w:pPr>
        <w:pStyle w:val="yHeading5"/>
      </w:pPr>
      <w:bookmarkStart w:id="2829" w:name="_Toc170190776"/>
      <w:r>
        <w:rPr>
          <w:rStyle w:val="CharSClsNo"/>
        </w:rPr>
        <w:t>23</w:t>
      </w:r>
      <w:r>
        <w:t>.</w:t>
      </w:r>
      <w:r>
        <w:rPr>
          <w:b w:val="0"/>
        </w:rPr>
        <w:tab/>
      </w:r>
      <w:r>
        <w:t>Manner of grouping members of the workforce</w:t>
      </w:r>
      <w:bookmarkEnd w:id="2829"/>
    </w:p>
    <w:p>
      <w:pPr>
        <w:pStyle w:val="ySubsection"/>
      </w:pPr>
      <w:r>
        <w:tab/>
        <w:t>(1)</w:t>
      </w:r>
      <w:r>
        <w:tab/>
        <w:t xml:space="preserve">Consultations about the establishment or variation of a designated work group must be directed principally at the determination of the manner of grouping members of the workforce — </w:t>
      </w:r>
    </w:p>
    <w:p>
      <w:pPr>
        <w:pStyle w:val="yIndenta"/>
      </w:pPr>
      <w:r>
        <w:tab/>
        <w:t>(a)</w:t>
      </w:r>
      <w:r>
        <w:tab/>
        <w:t>that best and most conveniently enables their interests relating to occupational safety and health to be represented and safeguarded; and</w:t>
      </w:r>
    </w:p>
    <w:p>
      <w:pPr>
        <w:pStyle w:val="yIndenta"/>
      </w:pPr>
      <w:r>
        <w:tab/>
        <w:t>(b)</w:t>
      </w:r>
      <w:r>
        <w:tab/>
        <w:t>that best takes account of the need for any safety and health representative selected for that designated work group to be accessible to each group member.</w:t>
      </w:r>
    </w:p>
    <w:p>
      <w:pPr>
        <w:pStyle w:val="ySubsection"/>
      </w:pPr>
      <w:r>
        <w:tab/>
        <w:t>(2)</w:t>
      </w:r>
      <w:r>
        <w:tab/>
        <w:t xml:space="preserve">The parties to the consultations must have regard, in particular, to — </w:t>
      </w:r>
    </w:p>
    <w:p>
      <w:pPr>
        <w:pStyle w:val="yIndenta"/>
      </w:pPr>
      <w:r>
        <w:tab/>
        <w:t>(a)</w:t>
      </w:r>
      <w:r>
        <w:tab/>
        <w:t xml:space="preserve">the number of members of the workforce at the facility to which the consultation relates; </w:t>
      </w:r>
    </w:p>
    <w:p>
      <w:pPr>
        <w:pStyle w:val="yIndenta"/>
      </w:pPr>
      <w:r>
        <w:tab/>
        <w:t>(b)</w:t>
      </w:r>
      <w:r>
        <w:tab/>
        <w:t xml:space="preserve">the nature of each type of work performed by those members; </w:t>
      </w:r>
    </w:p>
    <w:p>
      <w:pPr>
        <w:pStyle w:val="yIndenta"/>
      </w:pPr>
      <w:r>
        <w:tab/>
        <w:t>(c)</w:t>
      </w:r>
      <w:r>
        <w:tab/>
        <w:t xml:space="preserve">the number and grouping of those members who perform the same or similar types of work; </w:t>
      </w:r>
    </w:p>
    <w:p>
      <w:pPr>
        <w:pStyle w:val="yIndenta"/>
      </w:pPr>
      <w:r>
        <w:tab/>
        <w:t>(d)</w:t>
      </w:r>
      <w:r>
        <w:tab/>
        <w:t xml:space="preserve">the workplaces where each type of work is performed; </w:t>
      </w:r>
    </w:p>
    <w:p>
      <w:pPr>
        <w:pStyle w:val="yIndenta"/>
      </w:pPr>
      <w:r>
        <w:tab/>
        <w:t>(e)</w:t>
      </w:r>
      <w:r>
        <w:tab/>
        <w:t>the nature of any risks to safety and health at each of those workplaces; and</w:t>
      </w:r>
    </w:p>
    <w:p>
      <w:pPr>
        <w:pStyle w:val="yIndenta"/>
      </w:pPr>
      <w:r>
        <w:tab/>
        <w:t>(f)</w:t>
      </w:r>
      <w:r>
        <w:tab/>
        <w:t>any overtime or shift working arrangement at the facility.</w:t>
      </w:r>
    </w:p>
    <w:p>
      <w:pPr>
        <w:pStyle w:val="ySubsection"/>
      </w:pPr>
      <w:r>
        <w:tab/>
        <w:t>(3)</w:t>
      </w:r>
      <w:r>
        <w:tab/>
        <w:t>The designated work groups must be established or varied in such a way that, so far as practicable, each of the members of the workforce at a facility is in a designated work group.</w:t>
      </w:r>
    </w:p>
    <w:p>
      <w:pPr>
        <w:pStyle w:val="ySubsection"/>
      </w:pPr>
      <w:r>
        <w:tab/>
        <w:t>(4)</w:t>
      </w:r>
      <w:r>
        <w:tab/>
        <w:t>All the members of the workforce at a facility may be in one designated work group.</w:t>
      </w:r>
    </w:p>
    <w:p>
      <w:pPr>
        <w:pStyle w:val="yFootnotesection"/>
        <w:rPr>
          <w:ins w:id="2830" w:author="svcMRProcess" w:date="2020-02-19T21:14:00Z"/>
        </w:rPr>
      </w:pPr>
      <w:bookmarkStart w:id="2831" w:name="_Toc131393931"/>
      <w:ins w:id="2832" w:author="svcMRProcess" w:date="2020-02-19T21:14:00Z">
        <w:r>
          <w:tab/>
          <w:t>[Clause 23 inserted by No. 13 of 2005 s. 47.]</w:t>
        </w:r>
      </w:ins>
    </w:p>
    <w:p>
      <w:pPr>
        <w:pStyle w:val="yHeading4"/>
      </w:pPr>
      <w:bookmarkStart w:id="2833" w:name="_Toc162761386"/>
      <w:bookmarkStart w:id="2834" w:name="_Toc170190777"/>
      <w:bookmarkStart w:id="2835" w:name="_Toc112746415"/>
      <w:bookmarkStart w:id="2836" w:name="_Toc112746540"/>
      <w:r>
        <w:t>Subdivision </w:t>
      </w:r>
      <w:r>
        <w:rPr>
          <w:bCs/>
        </w:rPr>
        <w:t>3</w:t>
      </w:r>
      <w:r>
        <w:rPr>
          <w:b w:val="0"/>
        </w:rPr>
        <w:t> — </w:t>
      </w:r>
      <w:r>
        <w:rPr>
          <w:bCs/>
        </w:rPr>
        <w:t>Safety and health</w:t>
      </w:r>
      <w:r>
        <w:t xml:space="preserve"> representatives</w:t>
      </w:r>
      <w:bookmarkEnd w:id="2831"/>
      <w:bookmarkEnd w:id="2833"/>
      <w:bookmarkEnd w:id="2834"/>
      <w:bookmarkEnd w:id="2835"/>
      <w:bookmarkEnd w:id="2836"/>
    </w:p>
    <w:p>
      <w:pPr>
        <w:pStyle w:val="yFootnoteheading"/>
        <w:rPr>
          <w:ins w:id="2837" w:author="svcMRProcess" w:date="2020-02-19T21:14:00Z"/>
        </w:rPr>
      </w:pPr>
      <w:ins w:id="2838" w:author="svcMRProcess" w:date="2020-02-19T21:14:00Z">
        <w:r>
          <w:tab/>
          <w:t>[Heading inserted by No. 13 of 2005 s. 47.]</w:t>
        </w:r>
      </w:ins>
    </w:p>
    <w:p>
      <w:pPr>
        <w:pStyle w:val="yHeading5"/>
      </w:pPr>
      <w:bookmarkStart w:id="2839" w:name="_Toc170190778"/>
      <w:r>
        <w:rPr>
          <w:rStyle w:val="CharSClsNo"/>
        </w:rPr>
        <w:t>24</w:t>
      </w:r>
      <w:r>
        <w:t>.</w:t>
      </w:r>
      <w:r>
        <w:rPr>
          <w:b w:val="0"/>
        </w:rPr>
        <w:tab/>
      </w:r>
      <w:r>
        <w:t>Selection of safety and health representatives</w:t>
      </w:r>
      <w:bookmarkEnd w:id="2839"/>
    </w:p>
    <w:p>
      <w:pPr>
        <w:pStyle w:val="ySubsection"/>
      </w:pPr>
      <w:r>
        <w:tab/>
        <w:t>(1)</w:t>
      </w:r>
      <w:r>
        <w:tab/>
        <w:t>One safety and health representative may be selected for each designated work group.</w:t>
      </w:r>
    </w:p>
    <w:p>
      <w:pPr>
        <w:pStyle w:val="ySubsection"/>
      </w:pPr>
      <w:r>
        <w:tab/>
        <w:t>(2)</w:t>
      </w:r>
      <w:r>
        <w:tab/>
        <w:t>A person is not eligible for selection as the safety and health representative for a designated work group unless the person is a member of the workforce included in the group.</w:t>
      </w:r>
    </w:p>
    <w:p>
      <w:pPr>
        <w:pStyle w:val="ySubsection"/>
      </w:pPr>
      <w:r>
        <w:tab/>
        <w:t>(3)</w:t>
      </w:r>
      <w:r>
        <w:tab/>
        <w:t xml:space="preserve">A person is taken to have been selected as the safety and health representative for a designated work group if — </w:t>
      </w:r>
    </w:p>
    <w:p>
      <w:pPr>
        <w:pStyle w:val="yIndenta"/>
      </w:pPr>
      <w:r>
        <w:tab/>
        <w:t>(a)</w:t>
      </w:r>
      <w:r>
        <w:tab/>
        <w:t>all the members of the workforce in the group unanimously agree to the selection; or</w:t>
      </w:r>
    </w:p>
    <w:p>
      <w:pPr>
        <w:pStyle w:val="yIndenta"/>
      </w:pPr>
      <w:r>
        <w:tab/>
        <w:t>(b)</w:t>
      </w:r>
      <w:r>
        <w:tab/>
        <w:t>the person is elected as the safety and health representative of the group in accordance with clause 25.</w:t>
      </w:r>
    </w:p>
    <w:p>
      <w:pPr>
        <w:pStyle w:val="yFootnotesection"/>
        <w:rPr>
          <w:ins w:id="2840" w:author="svcMRProcess" w:date="2020-02-19T21:14:00Z"/>
        </w:rPr>
      </w:pPr>
      <w:ins w:id="2841" w:author="svcMRProcess" w:date="2020-02-19T21:14:00Z">
        <w:r>
          <w:tab/>
          <w:t>[Clause 24 inserted by No. 13 of 2005 s. 47.]</w:t>
        </w:r>
      </w:ins>
    </w:p>
    <w:p>
      <w:pPr>
        <w:pStyle w:val="yHeading5"/>
      </w:pPr>
      <w:bookmarkStart w:id="2842" w:name="_Toc170190779"/>
      <w:r>
        <w:rPr>
          <w:rStyle w:val="CharSClsNo"/>
        </w:rPr>
        <w:t>25</w:t>
      </w:r>
      <w:r>
        <w:t>.</w:t>
      </w:r>
      <w:r>
        <w:rPr>
          <w:b w:val="0"/>
        </w:rPr>
        <w:tab/>
      </w:r>
      <w:r>
        <w:t>Election of safety and health representatives</w:t>
      </w:r>
      <w:bookmarkEnd w:id="2842"/>
    </w:p>
    <w:p>
      <w:pPr>
        <w:pStyle w:val="ySubsection"/>
      </w:pPr>
      <w:r>
        <w:tab/>
        <w:t>(1)</w:t>
      </w:r>
      <w:r>
        <w:tab/>
        <w:t xml:space="preserve">If — </w:t>
      </w:r>
    </w:p>
    <w:p>
      <w:pPr>
        <w:pStyle w:val="yIndenta"/>
      </w:pPr>
      <w:r>
        <w:tab/>
        <w:t>(a)</w:t>
      </w:r>
      <w:r>
        <w:tab/>
        <w:t>there is a vacancy in the office of safety and health representative for a designated work group; and</w:t>
      </w:r>
    </w:p>
    <w:p>
      <w:pPr>
        <w:pStyle w:val="yIndenta"/>
      </w:pPr>
      <w:r>
        <w:tab/>
        <w:t>(b)</w:t>
      </w:r>
      <w:r>
        <w:tab/>
        <w:t>within a reasonable time after the vacancy occurs, a person has not been selected under clause 24(3)(a),</w:t>
      </w:r>
    </w:p>
    <w:p>
      <w:pPr>
        <w:pStyle w:val="ySubsection"/>
      </w:pPr>
      <w:r>
        <w:tab/>
      </w:r>
      <w:r>
        <w:tab/>
        <w:t>the operator of the facility must invite nominations from all group members for election as the safety and health representative of the group.</w:t>
      </w:r>
    </w:p>
    <w:p>
      <w:pPr>
        <w:pStyle w:val="ySubsection"/>
      </w:pPr>
      <w:r>
        <w:tab/>
        <w:t>(2)</w:t>
      </w:r>
      <w:r>
        <w:tab/>
        <w:t>If the office of safety and health representative is vacant and the operator has not invited nominations within a further reasonable time that is no later than 6 months after the vacancy occurred, the Safety Authority may direct the operator to do so.</w:t>
      </w:r>
    </w:p>
    <w:p>
      <w:pPr>
        <w:pStyle w:val="ySubsection"/>
      </w:pPr>
      <w:r>
        <w:tab/>
        <w:t>(3)</w:t>
      </w:r>
      <w:r>
        <w:tab/>
        <w:t>If there is more than one candidate for election at the close of the nomination period, the operator must conduct, or arrange for the conduct of, an election at the operator’s expense.</w:t>
      </w:r>
    </w:p>
    <w:p>
      <w:pPr>
        <w:pStyle w:val="ySubsection"/>
      </w:pPr>
      <w:r>
        <w:tab/>
        <w:t>(4)</w:t>
      </w:r>
      <w:r>
        <w:tab/>
        <w:t xml:space="preserve">An election conducted or arranged to be conducted under subclause (3) must be conducted in accordance with regulations made for the purposes of this subclause if this is requested by the lesser of — </w:t>
      </w:r>
    </w:p>
    <w:p>
      <w:pPr>
        <w:pStyle w:val="yIndenta"/>
      </w:pPr>
      <w:r>
        <w:tab/>
        <w:t>(a)</w:t>
      </w:r>
      <w:r>
        <w:tab/>
        <w:t>100 members of the workforce normally in the designated work group; or</w:t>
      </w:r>
    </w:p>
    <w:p>
      <w:pPr>
        <w:pStyle w:val="yIndenta"/>
      </w:pPr>
      <w:r>
        <w:tab/>
        <w:t>(b)</w:t>
      </w:r>
      <w:r>
        <w:tab/>
        <w:t>a majority of the members of the workforce normally in the designated work group.</w:t>
      </w:r>
    </w:p>
    <w:p>
      <w:pPr>
        <w:pStyle w:val="ySubsection"/>
      </w:pPr>
      <w:r>
        <w:tab/>
        <w:t>(5)</w:t>
      </w:r>
      <w:r>
        <w:tab/>
        <w:t>If there is only one candidate for election at the close of the nomination period, that person is taken to have been elected.</w:t>
      </w:r>
    </w:p>
    <w:p>
      <w:pPr>
        <w:pStyle w:val="ySubsection"/>
      </w:pPr>
      <w:r>
        <w:tab/>
        <w:t>(6)</w:t>
      </w:r>
      <w:r>
        <w:tab/>
        <w:t>A person cannot be a candidate in the election if he or she is disqualified under clause 31.</w:t>
      </w:r>
    </w:p>
    <w:p>
      <w:pPr>
        <w:pStyle w:val="ySubsection"/>
      </w:pPr>
      <w:r>
        <w:tab/>
        <w:t>(7)</w:t>
      </w:r>
      <w:r>
        <w:tab/>
        <w:t>All the members of the workforce in the designated work group are entitled to vote in the election.</w:t>
      </w:r>
    </w:p>
    <w:p>
      <w:pPr>
        <w:pStyle w:val="ySubsection"/>
      </w:pPr>
      <w:r>
        <w:tab/>
        <w:t>(8)</w:t>
      </w:r>
      <w:r>
        <w:tab/>
        <w:t>An operator conducting or arranging for the conduct of an election under this clause must comply with any relevant directions issued by the Safety Authority.</w:t>
      </w:r>
    </w:p>
    <w:p>
      <w:pPr>
        <w:pStyle w:val="yFootnotesection"/>
        <w:rPr>
          <w:ins w:id="2843" w:author="svcMRProcess" w:date="2020-02-19T21:14:00Z"/>
        </w:rPr>
      </w:pPr>
      <w:ins w:id="2844" w:author="svcMRProcess" w:date="2020-02-19T21:14:00Z">
        <w:r>
          <w:tab/>
          <w:t>[Clause 25 inserted by No. 13 of 2005 s. 47.]</w:t>
        </w:r>
      </w:ins>
    </w:p>
    <w:p>
      <w:pPr>
        <w:pStyle w:val="yHeading5"/>
      </w:pPr>
      <w:bookmarkStart w:id="2845" w:name="_Toc170190780"/>
      <w:r>
        <w:rPr>
          <w:rStyle w:val="CharSClsNo"/>
        </w:rPr>
        <w:t>26</w:t>
      </w:r>
      <w:r>
        <w:t>.</w:t>
      </w:r>
      <w:r>
        <w:rPr>
          <w:b w:val="0"/>
        </w:rPr>
        <w:tab/>
      </w:r>
      <w:r>
        <w:t>List of safety and health representatives</w:t>
      </w:r>
      <w:bookmarkEnd w:id="2845"/>
    </w:p>
    <w:p>
      <w:pPr>
        <w:pStyle w:val="ySubsection"/>
      </w:pPr>
      <w:r>
        <w:tab/>
      </w:r>
      <w:r>
        <w:tab/>
        <w:t xml:space="preserve">The operator of a facility must — </w:t>
      </w:r>
    </w:p>
    <w:p>
      <w:pPr>
        <w:pStyle w:val="yIndenta"/>
      </w:pPr>
      <w:r>
        <w:tab/>
        <w:t>(a)</w:t>
      </w:r>
      <w:r>
        <w:tab/>
        <w:t>prepare and keep up to date a list of all the safety and health representatives of designated work groups comprising members of the workforce performing work at the facility; and</w:t>
      </w:r>
    </w:p>
    <w:p>
      <w:pPr>
        <w:pStyle w:val="yIndenta"/>
      </w:pPr>
      <w:r>
        <w:tab/>
        <w:t>(b)</w:t>
      </w:r>
      <w:r>
        <w:tab/>
        <w:t xml:space="preserve">ensure that the list is available for inspection, at all reasonable times, by — </w:t>
      </w:r>
    </w:p>
    <w:p>
      <w:pPr>
        <w:pStyle w:val="yIndenti0"/>
      </w:pPr>
      <w:r>
        <w:tab/>
        <w:t>(i)</w:t>
      </w:r>
      <w:r>
        <w:tab/>
        <w:t>the members of the workforce at the facility; and</w:t>
      </w:r>
    </w:p>
    <w:p>
      <w:pPr>
        <w:pStyle w:val="yIndenti0"/>
      </w:pPr>
      <w:r>
        <w:tab/>
        <w:t>(ii)</w:t>
      </w:r>
      <w:r>
        <w:tab/>
        <w:t>OHS inspectors.</w:t>
      </w:r>
    </w:p>
    <w:p>
      <w:pPr>
        <w:pStyle w:val="yFootnotesection"/>
        <w:rPr>
          <w:ins w:id="2846" w:author="svcMRProcess" w:date="2020-02-19T21:14:00Z"/>
        </w:rPr>
      </w:pPr>
      <w:ins w:id="2847" w:author="svcMRProcess" w:date="2020-02-19T21:14:00Z">
        <w:r>
          <w:tab/>
          <w:t>[Clause 26 inserted by No. 13 of 2005 s. 47.]</w:t>
        </w:r>
      </w:ins>
    </w:p>
    <w:p>
      <w:pPr>
        <w:pStyle w:val="yHeading5"/>
      </w:pPr>
      <w:bookmarkStart w:id="2848" w:name="_Toc170190781"/>
      <w:r>
        <w:rPr>
          <w:rStyle w:val="CharSClsNo"/>
        </w:rPr>
        <w:t>27</w:t>
      </w:r>
      <w:r>
        <w:t>.</w:t>
      </w:r>
      <w:r>
        <w:rPr>
          <w:b w:val="0"/>
        </w:rPr>
        <w:tab/>
      </w:r>
      <w:r>
        <w:t>Members of designated work group must be notified of selection etc. of safety and health representative</w:t>
      </w:r>
      <w:bookmarkEnd w:id="2848"/>
    </w:p>
    <w:p>
      <w:pPr>
        <w:pStyle w:val="ySubsection"/>
      </w:pPr>
      <w:r>
        <w:tab/>
      </w:r>
      <w:r>
        <w:tab/>
        <w:t xml:space="preserve">The operator of a facility must — </w:t>
      </w:r>
    </w:p>
    <w:p>
      <w:pPr>
        <w:pStyle w:val="yIndenta"/>
      </w:pPr>
      <w:r>
        <w:tab/>
        <w:t>(a)</w:t>
      </w:r>
      <w:r>
        <w:tab/>
        <w:t>notify members of a designated work group in relation to the facility of a vacancy in the office of safety and health representative for the designated work group within a reasonable time after the vacancy arises; and</w:t>
      </w:r>
    </w:p>
    <w:p>
      <w:pPr>
        <w:pStyle w:val="yIndenta"/>
      </w:pPr>
      <w:r>
        <w:tab/>
        <w:t>(b)</w:t>
      </w:r>
      <w:r>
        <w:tab/>
        <w:t>notify those members of the name of any person selected (whether under clause 24(3)(a) or (b)) as safety and health representative for the designated work group within a reasonable time after the selection is made.</w:t>
      </w:r>
    </w:p>
    <w:p>
      <w:pPr>
        <w:pStyle w:val="yFootnotesection"/>
        <w:rPr>
          <w:ins w:id="2849" w:author="svcMRProcess" w:date="2020-02-19T21:14:00Z"/>
        </w:rPr>
      </w:pPr>
      <w:ins w:id="2850" w:author="svcMRProcess" w:date="2020-02-19T21:14:00Z">
        <w:r>
          <w:tab/>
          <w:t>[Clause 27 inserted by No. 13 of 2005 s. 47.]</w:t>
        </w:r>
      </w:ins>
    </w:p>
    <w:p>
      <w:pPr>
        <w:pStyle w:val="yHeading5"/>
      </w:pPr>
      <w:bookmarkStart w:id="2851" w:name="_Toc170190782"/>
      <w:r>
        <w:rPr>
          <w:rStyle w:val="CharSClsNo"/>
        </w:rPr>
        <w:t>28</w:t>
      </w:r>
      <w:r>
        <w:t>.</w:t>
      </w:r>
      <w:r>
        <w:rPr>
          <w:b w:val="0"/>
        </w:rPr>
        <w:tab/>
      </w:r>
      <w:r>
        <w:t>Term of office</w:t>
      </w:r>
      <w:bookmarkEnd w:id="2851"/>
    </w:p>
    <w:p>
      <w:pPr>
        <w:pStyle w:val="ySubsection"/>
      </w:pPr>
      <w:r>
        <w:tab/>
        <w:t>(1)</w:t>
      </w:r>
      <w:r>
        <w:tab/>
        <w:t xml:space="preserve">A safety and health representative for a designated work group holds office — </w:t>
      </w:r>
    </w:p>
    <w:p>
      <w:pPr>
        <w:pStyle w:val="yIndenta"/>
      </w:pPr>
      <w:r>
        <w:tab/>
        <w:t>(a)</w:t>
      </w:r>
      <w:r>
        <w:tab/>
        <w:t>if, in consultations that took place under clause 18, 19, 20 or 21, the parties to the consultations agreed to the period for which the safety and health representative for the group was to hold office — for that period; or</w:t>
      </w:r>
    </w:p>
    <w:p>
      <w:pPr>
        <w:pStyle w:val="yIndenta"/>
      </w:pPr>
      <w:r>
        <w:tab/>
        <w:t>(b)</w:t>
      </w:r>
      <w:r>
        <w:tab/>
        <w:t>if paragraph (a) does not apply — for 2 years.</w:t>
      </w:r>
    </w:p>
    <w:p>
      <w:pPr>
        <w:pStyle w:val="ySubsection"/>
      </w:pPr>
      <w:r>
        <w:tab/>
        <w:t>(2)</w:t>
      </w:r>
      <w:r>
        <w:tab/>
        <w:t>The term of office of a safety and health representative begins at the start of the day on which he or she was selected.</w:t>
      </w:r>
    </w:p>
    <w:p>
      <w:pPr>
        <w:pStyle w:val="ySubsection"/>
      </w:pPr>
      <w:r>
        <w:tab/>
        <w:t>(3)</w:t>
      </w:r>
      <w:r>
        <w:tab/>
        <w:t>Nothing in this clause prevents a safety and health representative from being selected for further terms of office.</w:t>
      </w:r>
    </w:p>
    <w:p>
      <w:pPr>
        <w:pStyle w:val="yFootnotesection"/>
        <w:rPr>
          <w:ins w:id="2852" w:author="svcMRProcess" w:date="2020-02-19T21:14:00Z"/>
        </w:rPr>
      </w:pPr>
      <w:ins w:id="2853" w:author="svcMRProcess" w:date="2020-02-19T21:14:00Z">
        <w:r>
          <w:tab/>
          <w:t>[Clause 28 inserted by No. 13 of 2005 s. 47.]</w:t>
        </w:r>
      </w:ins>
    </w:p>
    <w:p>
      <w:pPr>
        <w:pStyle w:val="yHeading5"/>
      </w:pPr>
      <w:bookmarkStart w:id="2854" w:name="_Toc170190783"/>
      <w:r>
        <w:rPr>
          <w:rStyle w:val="CharSClsNo"/>
        </w:rPr>
        <w:t>29</w:t>
      </w:r>
      <w:r>
        <w:t>.</w:t>
      </w:r>
      <w:r>
        <w:rPr>
          <w:b w:val="0"/>
        </w:rPr>
        <w:tab/>
      </w:r>
      <w:r>
        <w:t>Training of safety and health representatives</w:t>
      </w:r>
      <w:bookmarkEnd w:id="2854"/>
    </w:p>
    <w:p>
      <w:pPr>
        <w:pStyle w:val="ySubsection"/>
      </w:pPr>
      <w:r>
        <w:tab/>
        <w:t>(1)</w:t>
      </w:r>
      <w:r>
        <w:tab/>
        <w:t>A safety and health representative for a designated work group must undertake a course of training relating to occupational safety and health that is accredited by the Safety Authority for the purposes of this clause.</w:t>
      </w:r>
    </w:p>
    <w:p>
      <w:pPr>
        <w:pStyle w:val="ySubsection"/>
      </w:pPr>
      <w:r>
        <w:tab/>
        <w:t>(2)</w:t>
      </w:r>
      <w:r>
        <w:tab/>
        <w:t>The operator of the facility concerned must permit the representative to take any time off work, without loss of remuneration or other entitlements, that is necessary to undertake the training.</w:t>
      </w:r>
    </w:p>
    <w:p>
      <w:pPr>
        <w:pStyle w:val="ySubsection"/>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yFootnotesection"/>
        <w:rPr>
          <w:ins w:id="2855" w:author="svcMRProcess" w:date="2020-02-19T21:14:00Z"/>
        </w:rPr>
      </w:pPr>
      <w:ins w:id="2856" w:author="svcMRProcess" w:date="2020-02-19T21:14:00Z">
        <w:r>
          <w:tab/>
          <w:t>[Clause 29 inserted by No. 13 of 2005 s. 47.]</w:t>
        </w:r>
      </w:ins>
    </w:p>
    <w:p>
      <w:pPr>
        <w:pStyle w:val="yHeading5"/>
      </w:pPr>
      <w:bookmarkStart w:id="2857" w:name="_Toc170190784"/>
      <w:r>
        <w:rPr>
          <w:rStyle w:val="CharSClsNo"/>
        </w:rPr>
        <w:t>30</w:t>
      </w:r>
      <w:r>
        <w:t>.</w:t>
      </w:r>
      <w:r>
        <w:rPr>
          <w:b w:val="0"/>
        </w:rPr>
        <w:tab/>
      </w:r>
      <w:r>
        <w:t>Resignation etc. of safety and health representatives</w:t>
      </w:r>
      <w:bookmarkEnd w:id="2857"/>
    </w:p>
    <w:p>
      <w:pPr>
        <w:pStyle w:val="ySubsection"/>
      </w:pPr>
      <w:r>
        <w:tab/>
        <w:t>(1)</w:t>
      </w:r>
      <w:r>
        <w:tab/>
        <w:t xml:space="preserve">A person ceases to be the safety and health representative for the designated work group if — </w:t>
      </w:r>
    </w:p>
    <w:p>
      <w:pPr>
        <w:pStyle w:val="yIndenta"/>
      </w:pPr>
      <w:r>
        <w:tab/>
        <w:t>(a)</w:t>
      </w:r>
      <w:r>
        <w:tab/>
        <w:t xml:space="preserve">the person resigns as the safety and health representative; </w:t>
      </w:r>
    </w:p>
    <w:p>
      <w:pPr>
        <w:pStyle w:val="yIndenta"/>
      </w:pPr>
      <w:r>
        <w:tab/>
        <w:t>(b)</w:t>
      </w:r>
      <w:r>
        <w:tab/>
        <w:t xml:space="preserve">the person ceases to be a group member of that designated work group; </w:t>
      </w:r>
    </w:p>
    <w:p>
      <w:pPr>
        <w:pStyle w:val="yIndenta"/>
      </w:pPr>
      <w:r>
        <w:tab/>
        <w:t>(c)</w:t>
      </w:r>
      <w:r>
        <w:tab/>
        <w:t>the person’s term of office expires without the person having been selected, under clause 24, to be the safety and health representative for the designated work group for a further term; or</w:t>
      </w:r>
    </w:p>
    <w:p>
      <w:pPr>
        <w:pStyle w:val="yIndenta"/>
      </w:pPr>
      <w:r>
        <w:tab/>
        <w:t>(d)</w:t>
      </w:r>
      <w:r>
        <w:tab/>
        <w:t>the person is disqualified under clause 31.</w:t>
      </w:r>
    </w:p>
    <w:p>
      <w:pPr>
        <w:pStyle w:val="ySubsection"/>
      </w:pPr>
      <w:r>
        <w:tab/>
        <w:t>(2)</w:t>
      </w:r>
      <w:r>
        <w:tab/>
        <w:t>A person may resign as the safety and health representative for a designated work group by notice in writing delivered to the operator and to each work group employer.</w:t>
      </w:r>
    </w:p>
    <w:p>
      <w:pPr>
        <w:pStyle w:val="ySubsection"/>
      </w:pPr>
      <w:r>
        <w:tab/>
        <w:t>(3)</w:t>
      </w:r>
      <w:r>
        <w:tab/>
        <w:t>If a person resigns as the safety and health representative for a designated work group, the person must notify the resignation to the group members.</w:t>
      </w:r>
    </w:p>
    <w:p>
      <w:pPr>
        <w:pStyle w:val="ySubsection"/>
      </w:pPr>
      <w:r>
        <w:tab/>
        <w:t>(4)</w:t>
      </w:r>
      <w:r>
        <w:tab/>
        <w:t xml:space="preserve">If a person has ceased to be the safety and health representative for a designated work group because of subclause (1)(b), the person must notify in writing — </w:t>
      </w:r>
    </w:p>
    <w:p>
      <w:pPr>
        <w:pStyle w:val="yIndenta"/>
      </w:pPr>
      <w:r>
        <w:tab/>
        <w:t>(a)</w:t>
      </w:r>
      <w:r>
        <w:tab/>
        <w:t>the group members; and</w:t>
      </w:r>
    </w:p>
    <w:p>
      <w:pPr>
        <w:pStyle w:val="yIndenta"/>
      </w:pPr>
      <w:r>
        <w:tab/>
        <w:t>(b)</w:t>
      </w:r>
      <w:r>
        <w:tab/>
        <w:t>the operator and each work group employer,</w:t>
      </w:r>
    </w:p>
    <w:p>
      <w:pPr>
        <w:pStyle w:val="ySubsection"/>
      </w:pPr>
      <w:r>
        <w:tab/>
      </w:r>
      <w:r>
        <w:tab/>
        <w:t>that the person has ceased to be the safety and health representative for that designated work group.</w:t>
      </w:r>
    </w:p>
    <w:p>
      <w:pPr>
        <w:pStyle w:val="yFootnotesection"/>
        <w:rPr>
          <w:ins w:id="2858" w:author="svcMRProcess" w:date="2020-02-19T21:14:00Z"/>
        </w:rPr>
      </w:pPr>
      <w:ins w:id="2859" w:author="svcMRProcess" w:date="2020-02-19T21:14:00Z">
        <w:r>
          <w:tab/>
          <w:t>[Clause 30 inserted by No. 13 of 2005 s. 47.]</w:t>
        </w:r>
      </w:ins>
    </w:p>
    <w:p>
      <w:pPr>
        <w:pStyle w:val="yHeading5"/>
      </w:pPr>
      <w:bookmarkStart w:id="2860" w:name="_Toc170190785"/>
      <w:r>
        <w:rPr>
          <w:rStyle w:val="CharSClsNo"/>
        </w:rPr>
        <w:t>31</w:t>
      </w:r>
      <w:r>
        <w:t>.</w:t>
      </w:r>
      <w:r>
        <w:rPr>
          <w:b w:val="0"/>
        </w:rPr>
        <w:tab/>
      </w:r>
      <w:r>
        <w:t>Disqualification of safety and health representatives</w:t>
      </w:r>
      <w:bookmarkEnd w:id="2860"/>
    </w:p>
    <w:p>
      <w:pPr>
        <w:pStyle w:val="ySubsection"/>
      </w:pPr>
      <w:r>
        <w:tab/>
        <w:t>(1)</w:t>
      </w:r>
      <w:r>
        <w:tab/>
        <w:t xml:space="preserve">An application for the disqualification of a safety and health representative for a designated work group may be made to the Tribunal by — </w:t>
      </w:r>
    </w:p>
    <w:p>
      <w:pPr>
        <w:pStyle w:val="yIndenta"/>
      </w:pPr>
      <w:r>
        <w:tab/>
        <w:t>(a)</w:t>
      </w:r>
      <w:r>
        <w:tab/>
        <w:t xml:space="preserve">the operator; </w:t>
      </w:r>
    </w:p>
    <w:p>
      <w:pPr>
        <w:pStyle w:val="yIndenta"/>
      </w:pPr>
      <w:r>
        <w:tab/>
        <w:t>(b)</w:t>
      </w:r>
      <w:r>
        <w:tab/>
        <w:t>a work group employer; or</w:t>
      </w:r>
    </w:p>
    <w:p>
      <w:pPr>
        <w:pStyle w:val="yIndenta"/>
      </w:pPr>
      <w:r>
        <w:tab/>
        <w:t>(c)</w:t>
      </w:r>
      <w:r>
        <w:tab/>
        <w:t>at the request of a group member of the designated work group — a workforce representative in relation to the designated work group.</w:t>
      </w:r>
    </w:p>
    <w:p>
      <w:pPr>
        <w:pStyle w:val="ySubsection"/>
      </w:pPr>
      <w:r>
        <w:tab/>
        <w:t>(2)</w:t>
      </w:r>
      <w:r>
        <w:tab/>
        <w:t xml:space="preserve">An application under subclause (1) may be made on either or both of the following grounds — </w:t>
      </w:r>
    </w:p>
    <w:p>
      <w:pPr>
        <w:pStyle w:val="yIndenta"/>
      </w:pPr>
      <w:r>
        <w:tab/>
        <w:t>(a)</w:t>
      </w:r>
      <w:r>
        <w:tab/>
        <w:t xml:space="preserve">that action taken by the representative in the exercise or purported exercise of a power under clause 33(1) or any other provision of this Schedule was taken — </w:t>
      </w:r>
    </w:p>
    <w:p>
      <w:pPr>
        <w:pStyle w:val="yIndenti0"/>
      </w:pPr>
      <w:r>
        <w:tab/>
        <w:t>(i)</w:t>
      </w:r>
      <w:r>
        <w:tab/>
        <w:t>with the intention of causing harm to the operator or work group employer or to an undertaking of the operator or work group employer; or</w:t>
      </w:r>
    </w:p>
    <w:p>
      <w:pPr>
        <w:pStyle w:val="yIndenti0"/>
      </w:pPr>
      <w:r>
        <w:tab/>
        <w:t>(ii)</w:t>
      </w:r>
      <w:r>
        <w:tab/>
        <w:t>unreasonably, capriciously or not for the purpose for which the power was conferred on the representative;</w:t>
      </w:r>
    </w:p>
    <w:p>
      <w:pPr>
        <w:pStyle w:val="y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y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ySubsection"/>
      </w:pPr>
      <w:r>
        <w:tab/>
        <w:t>(4)</w:t>
      </w:r>
      <w:r>
        <w:tab/>
        <w:t xml:space="preserve">In making a decision under subclause (3), the Tribunal must have regard to — </w:t>
      </w:r>
    </w:p>
    <w:p>
      <w:pPr>
        <w:pStyle w:val="yIndenta"/>
      </w:pPr>
      <w:r>
        <w:tab/>
        <w:t>(a)</w:t>
      </w:r>
      <w:r>
        <w:tab/>
        <w:t xml:space="preserve">the harm (if any) that was caused to the operator or work group employer or to an undertaking of the operator or work group employer as a result of the action of the representative; </w:t>
      </w:r>
    </w:p>
    <w:p>
      <w:pPr>
        <w:pStyle w:val="yIndenta"/>
      </w:pPr>
      <w:r>
        <w:tab/>
        <w:t>(b)</w:t>
      </w:r>
      <w:r>
        <w:tab/>
        <w:t xml:space="preserve">the past record of the representative in exercising the powers of a safety and health representative; </w:t>
      </w:r>
    </w:p>
    <w:p>
      <w:pPr>
        <w:pStyle w:val="yIndenta"/>
      </w:pPr>
      <w:r>
        <w:tab/>
        <w:t>(c)</w:t>
      </w:r>
      <w:r>
        <w:tab/>
        <w:t>the effect (if any) on the public interest of the action of the representative; and</w:t>
      </w:r>
    </w:p>
    <w:p>
      <w:pPr>
        <w:pStyle w:val="yIndenta"/>
      </w:pPr>
      <w:r>
        <w:tab/>
        <w:t>(d)</w:t>
      </w:r>
      <w:r>
        <w:tab/>
        <w:t>any other matters the Tribunal thinks relevant.</w:t>
      </w:r>
    </w:p>
    <w:p>
      <w:pPr>
        <w:pStyle w:val="yFootnotesection"/>
        <w:rPr>
          <w:ins w:id="2861" w:author="svcMRProcess" w:date="2020-02-19T21:14:00Z"/>
        </w:rPr>
      </w:pPr>
      <w:ins w:id="2862" w:author="svcMRProcess" w:date="2020-02-19T21:14:00Z">
        <w:r>
          <w:tab/>
          <w:t>[Clause 31 inserted by No. 13 of 2005 s. 47.]</w:t>
        </w:r>
      </w:ins>
    </w:p>
    <w:p>
      <w:pPr>
        <w:pStyle w:val="yHeading5"/>
      </w:pPr>
      <w:bookmarkStart w:id="2863" w:name="_Toc170190786"/>
      <w:r>
        <w:rPr>
          <w:rStyle w:val="CharSClsNo"/>
        </w:rPr>
        <w:t>32</w:t>
      </w:r>
      <w:r>
        <w:t>.</w:t>
      </w:r>
      <w:r>
        <w:rPr>
          <w:b w:val="0"/>
        </w:rPr>
        <w:tab/>
      </w:r>
      <w:r>
        <w:t>Deputy safety and health representatives</w:t>
      </w:r>
      <w:bookmarkEnd w:id="2863"/>
    </w:p>
    <w:p>
      <w:pPr>
        <w:pStyle w:val="ySubsection"/>
      </w:pPr>
      <w:r>
        <w:tab/>
        <w:t>(1)</w:t>
      </w:r>
      <w:r>
        <w:tab/>
        <w:t>One deputy safety and health representative may be selected for each designated work group for which a safety and health representative has been selected.</w:t>
      </w:r>
    </w:p>
    <w:p>
      <w:pPr>
        <w:pStyle w:val="ySubsection"/>
      </w:pPr>
      <w:r>
        <w:tab/>
        <w:t>(2)</w:t>
      </w:r>
      <w:r>
        <w:tab/>
        <w:t>A deputy safety and health representative is to be selected in the same way as a safety and health representative under clause 24.</w:t>
      </w:r>
    </w:p>
    <w:p>
      <w:pPr>
        <w:pStyle w:val="ySubsection"/>
      </w:pPr>
      <w:r>
        <w:tab/>
        <w:t>(3)</w:t>
      </w:r>
      <w:r>
        <w:tab/>
        <w:t xml:space="preserve">If the safety and health representative for a designated work group — </w:t>
      </w:r>
    </w:p>
    <w:p>
      <w:pPr>
        <w:pStyle w:val="yIndenta"/>
      </w:pPr>
      <w:r>
        <w:tab/>
        <w:t>(a)</w:t>
      </w:r>
      <w:r>
        <w:tab/>
        <w:t>ceases to be the safety and health representative; or</w:t>
      </w:r>
    </w:p>
    <w:p>
      <w:pPr>
        <w:pStyle w:val="yIndenta"/>
      </w:pPr>
      <w:r>
        <w:tab/>
        <w:t>(b)</w:t>
      </w:r>
      <w:r>
        <w:tab/>
        <w:t>is unable (because of absence or for any other reason) to exercise the powers of a safety and health representative,</w:t>
      </w:r>
    </w:p>
    <w:p>
      <w:pPr>
        <w:pStyle w:val="ySubsection"/>
      </w:pPr>
      <w:r>
        <w:tab/>
      </w:r>
      <w:r>
        <w:tab/>
        <w:t xml:space="preserve">then — </w:t>
      </w:r>
    </w:p>
    <w:p>
      <w:pPr>
        <w:pStyle w:val="yIndenta"/>
      </w:pPr>
      <w:r>
        <w:tab/>
        <w:t>(c)</w:t>
      </w:r>
      <w:r>
        <w:tab/>
        <w:t>the powers may be exercised by the deputy safety and health representative (if any) for the group; and</w:t>
      </w:r>
    </w:p>
    <w:p>
      <w:pPr>
        <w:pStyle w:val="yIndenta"/>
      </w:pPr>
      <w:r>
        <w:tab/>
        <w:t>(d)</w:t>
      </w:r>
      <w:r>
        <w:tab/>
        <w:t>this Schedule (other than this clause) applies in relation to the deputy safety and health representative accordingly.</w:t>
      </w:r>
    </w:p>
    <w:p>
      <w:pPr>
        <w:pStyle w:val="yFootnotesection"/>
        <w:rPr>
          <w:ins w:id="2864" w:author="svcMRProcess" w:date="2020-02-19T21:14:00Z"/>
        </w:rPr>
      </w:pPr>
      <w:ins w:id="2865" w:author="svcMRProcess" w:date="2020-02-19T21:14:00Z">
        <w:r>
          <w:tab/>
          <w:t>[Clause 32 inserted by No. 13 of 2005 s. 47.]</w:t>
        </w:r>
      </w:ins>
    </w:p>
    <w:p>
      <w:pPr>
        <w:pStyle w:val="yHeading5"/>
      </w:pPr>
      <w:bookmarkStart w:id="2866" w:name="_Toc170190787"/>
      <w:r>
        <w:rPr>
          <w:rStyle w:val="CharSClsNo"/>
        </w:rPr>
        <w:t>33</w:t>
      </w:r>
      <w:r>
        <w:t>.</w:t>
      </w:r>
      <w:r>
        <w:rPr>
          <w:b w:val="0"/>
        </w:rPr>
        <w:tab/>
      </w:r>
      <w:r>
        <w:t>Powers of safety and health representatives</w:t>
      </w:r>
      <w:bookmarkEnd w:id="2866"/>
    </w:p>
    <w:p>
      <w:pPr>
        <w:pStyle w:val="ySubsection"/>
      </w:pPr>
      <w:r>
        <w:tab/>
        <w:t>(1)</w:t>
      </w:r>
      <w:r>
        <w:tab/>
        <w:t xml:space="preserve">A safety and health representative for a designated work group may, for the purpose of promoting or ensuring the safety and health at a workplace of the group members — </w:t>
      </w:r>
    </w:p>
    <w:p>
      <w:pPr>
        <w:pStyle w:val="yIndenta"/>
      </w:pPr>
      <w:r>
        <w:tab/>
        <w:t>(a)</w:t>
      </w:r>
      <w:r>
        <w:tab/>
        <w:t xml:space="preserve">do all or any of the following — </w:t>
      </w:r>
    </w:p>
    <w:p>
      <w:pPr>
        <w:pStyle w:val="yIndenti0"/>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yIndenti0"/>
      </w:pPr>
      <w:r>
        <w:tab/>
        <w:t>(ii)</w:t>
      </w:r>
      <w:r>
        <w:tab/>
        <w:t>inspect the whole or any part of the workplace if the safety and health representative has given reasonable notice of the inspection to the operator’s representative at the facility and to any other person having immediate control of the workplace;</w:t>
      </w:r>
    </w:p>
    <w:p>
      <w:pPr>
        <w:pStyle w:val="yIndenti0"/>
      </w:pPr>
      <w:r>
        <w:tab/>
        <w:t>(iii)</w:t>
      </w:r>
      <w:r>
        <w:tab/>
        <w:t>make a request to an OHS inspector or to the Safety Authority that an inspection be conducted at the workplace;</w:t>
      </w:r>
    </w:p>
    <w:p>
      <w:pPr>
        <w:pStyle w:val="yIndenti0"/>
      </w:pPr>
      <w:r>
        <w:tab/>
        <w:t>(iv)</w:t>
      </w:r>
      <w:r>
        <w:tab/>
        <w:t>accompany an OHS inspector during any inspection at the workplace by the OHS inspector (whether or not the inspection is being conducted as a result of a request made by the safety and health representative);</w:t>
      </w:r>
    </w:p>
    <w:p>
      <w:pPr>
        <w:pStyle w:val="yIndenti0"/>
      </w:pPr>
      <w:r>
        <w:tab/>
        <w:t>(v)</w:t>
      </w:r>
      <w:r>
        <w:tab/>
        <w:t>if there is no safety and health committee in respect of the members of the workforce at the facility — represent group members in consultations with the operator and any work group employer about the development, implementation and review of measures to ensure the safety and health of those members at the workplace;</w:t>
      </w:r>
    </w:p>
    <w:p>
      <w:pPr>
        <w:pStyle w:val="yIndenti0"/>
      </w:pPr>
      <w:r>
        <w:tab/>
        <w:t>(vi)</w:t>
      </w:r>
      <w:r>
        <w:tab/>
        <w:t xml:space="preserve">if a safety and health committee has been established in respect of the members of the workforce at the facility — examine any of the records of that committee; </w:t>
      </w:r>
    </w:p>
    <w:p>
      <w:pPr>
        <w:pStyle w:val="yIndenta"/>
      </w:pPr>
      <w:r>
        <w:tab/>
        <w:t>(b)</w:t>
      </w:r>
      <w:r>
        <w:tab/>
        <w:t xml:space="preserve">investigate complaints made by any group member to the safety and health representative about the safety and health of any of the members of the workforce (whether in the group or not); </w:t>
      </w:r>
    </w:p>
    <w:p>
      <w:pPr>
        <w:pStyle w:val="yIndenta"/>
      </w:pPr>
      <w:r>
        <w:tab/>
        <w:t>(c)</w:t>
      </w:r>
      <w:r>
        <w:tab/>
        <w:t xml:space="preserve">with the consent of a group member, be present at any interview about safety and health at work between that member and — </w:t>
      </w:r>
    </w:p>
    <w:p>
      <w:pPr>
        <w:pStyle w:val="yIndenti0"/>
      </w:pPr>
      <w:r>
        <w:tab/>
        <w:t>(i)</w:t>
      </w:r>
      <w:r>
        <w:tab/>
        <w:t xml:space="preserve">an OHS inspector; </w:t>
      </w:r>
    </w:p>
    <w:p>
      <w:pPr>
        <w:pStyle w:val="yIndenti0"/>
      </w:pPr>
      <w:r>
        <w:tab/>
        <w:t>(ii)</w:t>
      </w:r>
      <w:r>
        <w:tab/>
        <w:t>the operator or a person representing the operator; or</w:t>
      </w:r>
    </w:p>
    <w:p>
      <w:pPr>
        <w:pStyle w:val="yIndenti0"/>
      </w:pPr>
      <w:r>
        <w:tab/>
        <w:t>(iii)</w:t>
      </w:r>
      <w:r>
        <w:tab/>
        <w:t xml:space="preserve">a work group employer or a person representing that employer; </w:t>
      </w:r>
    </w:p>
    <w:p>
      <w:pPr>
        <w:pStyle w:val="yIndenta"/>
      </w:pPr>
      <w:r>
        <w:tab/>
        <w:t>(d)</w:t>
      </w:r>
      <w:r>
        <w:tab/>
        <w:t xml:space="preserve">obtain access to any information under the control of the operator or any work group employer — </w:t>
      </w:r>
    </w:p>
    <w:p>
      <w:pPr>
        <w:pStyle w:val="yIndenti0"/>
      </w:pPr>
      <w:r>
        <w:tab/>
        <w:t>(i)</w:t>
      </w:r>
      <w:r>
        <w:tab/>
        <w:t>relating to risks to the safety and health of any group member; and</w:t>
      </w:r>
    </w:p>
    <w:p>
      <w:pPr>
        <w:pStyle w:val="yIndenti0"/>
      </w:pPr>
      <w:r>
        <w:tab/>
        <w:t>(ii)</w:t>
      </w:r>
      <w:r>
        <w:tab/>
        <w:t xml:space="preserve">relating to the safety and health of any group member; </w:t>
      </w:r>
    </w:p>
    <w:p>
      <w:pPr>
        <w:pStyle w:val="yIndenta"/>
      </w:pPr>
      <w:r>
        <w:tab/>
      </w:r>
      <w:r>
        <w:tab/>
        <w:t>and</w:t>
      </w:r>
    </w:p>
    <w:p>
      <w:pPr>
        <w:pStyle w:val="yIndenta"/>
      </w:pPr>
      <w:r>
        <w:tab/>
        <w:t>(e)</w:t>
      </w:r>
      <w:r>
        <w:tab/>
        <w:t>issue provisional improvement notices in accordance with clause 37.</w:t>
      </w:r>
    </w:p>
    <w:p>
      <w:pPr>
        <w:pStyle w:val="ySubsection"/>
      </w:pPr>
      <w:r>
        <w:tab/>
        <w:t>(2)</w:t>
      </w:r>
      <w:r>
        <w:tab/>
        <w:t>Subclause (1)(d)(ii) has effect subject to clause 35.</w:t>
      </w:r>
    </w:p>
    <w:p>
      <w:pPr>
        <w:pStyle w:val="yFootnotesection"/>
        <w:rPr>
          <w:ins w:id="2867" w:author="svcMRProcess" w:date="2020-02-19T21:14:00Z"/>
        </w:rPr>
      </w:pPr>
      <w:ins w:id="2868" w:author="svcMRProcess" w:date="2020-02-19T21:14:00Z">
        <w:r>
          <w:tab/>
          <w:t>[Clause 33 inserted by No. 13 of 2005 s. 47.]</w:t>
        </w:r>
      </w:ins>
    </w:p>
    <w:p>
      <w:pPr>
        <w:pStyle w:val="yHeading5"/>
      </w:pPr>
      <w:bookmarkStart w:id="2869" w:name="_Toc170190788"/>
      <w:r>
        <w:rPr>
          <w:rStyle w:val="CharSClsNo"/>
        </w:rPr>
        <w:t>34</w:t>
      </w:r>
      <w:r>
        <w:t>.</w:t>
      </w:r>
      <w:r>
        <w:rPr>
          <w:b w:val="0"/>
        </w:rPr>
        <w:tab/>
      </w:r>
      <w:r>
        <w:t>Assistance by consultant</w:t>
      </w:r>
      <w:bookmarkEnd w:id="2869"/>
    </w:p>
    <w:p>
      <w:pPr>
        <w:pStyle w:val="ySubsection"/>
      </w:pPr>
      <w:r>
        <w:tab/>
        <w:t>(1)</w:t>
      </w:r>
      <w:r>
        <w:tab/>
        <w:t>A safety and health representative for a designated work group is entitled, in the exercise of his or her powers, to be assisted by a consultant.</w:t>
      </w:r>
    </w:p>
    <w:p>
      <w:pPr>
        <w:pStyle w:val="ySubsection"/>
      </w:pPr>
      <w:r>
        <w:tab/>
        <w:t>(2)</w:t>
      </w:r>
      <w:r>
        <w:tab/>
        <w:t xml:space="preserve">A safety and health representative for a designated work group may — </w:t>
      </w:r>
    </w:p>
    <w:p>
      <w:pPr>
        <w:pStyle w:val="yIndenta"/>
      </w:pPr>
      <w:r>
        <w:tab/>
        <w:t>(a)</w:t>
      </w:r>
      <w:r>
        <w:tab/>
        <w:t>be assisted by a consultant at a workplace at which work is performed; or</w:t>
      </w:r>
    </w:p>
    <w:p>
      <w:pPr>
        <w:pStyle w:val="yIndenta"/>
      </w:pPr>
      <w:r>
        <w:tab/>
        <w:t>(b)</w:t>
      </w:r>
      <w:r>
        <w:tab/>
        <w:t>provide to a consultant information that has been provided to the safety and health representative by a group member under clause 33(1)(d),</w:t>
      </w:r>
    </w:p>
    <w:p>
      <w:pPr>
        <w:pStyle w:val="ySubsection"/>
      </w:pPr>
      <w:r>
        <w:tab/>
      </w:r>
      <w:r>
        <w:tab/>
        <w:t>only if the operator or the Safety Authority has, in writing, agreed to the provision of that assistance at that workplace or the provision of that information, as the case may be.</w:t>
      </w:r>
    </w:p>
    <w:p>
      <w:pPr>
        <w:pStyle w:val="y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ySubsection"/>
      </w:pPr>
      <w:r>
        <w:tab/>
        <w:t>(4)</w:t>
      </w:r>
      <w:r>
        <w:tab/>
        <w:t xml:space="preserve">If a safety and health representative for a designated work group is being assisted by a consultant, the consultant is entitled to be present with the representative at any interview, about safety and health at work, between a group member and — </w:t>
      </w:r>
    </w:p>
    <w:p>
      <w:pPr>
        <w:pStyle w:val="yIndenta"/>
      </w:pPr>
      <w:r>
        <w:tab/>
        <w:t>(a)</w:t>
      </w:r>
      <w:r>
        <w:tab/>
        <w:t>an OHS inspector; or</w:t>
      </w:r>
    </w:p>
    <w:p>
      <w:pPr>
        <w:pStyle w:val="yIndenta"/>
      </w:pPr>
      <w:r>
        <w:tab/>
        <w:t>(b)</w:t>
      </w:r>
      <w:r>
        <w:tab/>
        <w:t>the operator or any work group employer or a person representing the operator or that employer,</w:t>
      </w:r>
    </w:p>
    <w:p>
      <w:pPr>
        <w:pStyle w:val="ySubsection"/>
      </w:pPr>
      <w:r>
        <w:tab/>
      </w:r>
      <w:r>
        <w:tab/>
        <w:t>if, and only if, the group member consents to the presence of the consultant.</w:t>
      </w:r>
    </w:p>
    <w:p>
      <w:pPr>
        <w:pStyle w:val="yFootnotesection"/>
        <w:rPr>
          <w:ins w:id="2870" w:author="svcMRProcess" w:date="2020-02-19T21:14:00Z"/>
        </w:rPr>
      </w:pPr>
      <w:ins w:id="2871" w:author="svcMRProcess" w:date="2020-02-19T21:14:00Z">
        <w:r>
          <w:tab/>
          <w:t>[Clause 34 inserted by No. 13 of 2005 s. 47.]</w:t>
        </w:r>
      </w:ins>
    </w:p>
    <w:p>
      <w:pPr>
        <w:pStyle w:val="yHeading5"/>
      </w:pPr>
      <w:bookmarkStart w:id="2872" w:name="_Toc170190789"/>
      <w:r>
        <w:rPr>
          <w:rStyle w:val="CharSClsNo"/>
        </w:rPr>
        <w:t>35</w:t>
      </w:r>
      <w:r>
        <w:t>.</w:t>
      </w:r>
      <w:r>
        <w:rPr>
          <w:b w:val="0"/>
        </w:rPr>
        <w:tab/>
      </w:r>
      <w:r>
        <w:t>Information</w:t>
      </w:r>
      <w:bookmarkEnd w:id="2872"/>
    </w:p>
    <w:p>
      <w:pPr>
        <w:pStyle w:val="ySubsection"/>
      </w:pPr>
      <w:r>
        <w:tab/>
        <w:t>(1)</w:t>
      </w:r>
      <w:r>
        <w:tab/>
        <w:t xml:space="preserve">Neither — </w:t>
      </w:r>
    </w:p>
    <w:p>
      <w:pPr>
        <w:pStyle w:val="yIndenta"/>
      </w:pPr>
      <w:r>
        <w:tab/>
        <w:t>(a)</w:t>
      </w:r>
      <w:r>
        <w:tab/>
        <w:t>a safety and health representative; nor</w:t>
      </w:r>
    </w:p>
    <w:p>
      <w:pPr>
        <w:pStyle w:val="yIndenta"/>
      </w:pPr>
      <w:r>
        <w:tab/>
        <w:t>(b)</w:t>
      </w:r>
      <w:r>
        <w:tab/>
        <w:t xml:space="preserve">a consultant assisting a safety and health representative, </w:t>
      </w:r>
    </w:p>
    <w:p>
      <w:pPr>
        <w:pStyle w:val="ySubsection"/>
      </w:pPr>
      <w:r>
        <w:tab/>
      </w:r>
      <w:r>
        <w:tab/>
        <w:t>is entitled, under clause 33(1)(d)(ii), to have access to information in respect of which a group member is entitled to claim, and does claim, legal professional privilege.</w:t>
      </w:r>
    </w:p>
    <w:p>
      <w:pPr>
        <w:pStyle w:val="ySubsection"/>
      </w:pPr>
      <w:r>
        <w:tab/>
        <w:t>(2)</w:t>
      </w:r>
      <w:r>
        <w:tab/>
        <w:t xml:space="preserve">Neither — </w:t>
      </w:r>
    </w:p>
    <w:p>
      <w:pPr>
        <w:pStyle w:val="yIndenta"/>
      </w:pPr>
      <w:r>
        <w:tab/>
        <w:t>(a)</w:t>
      </w:r>
      <w:r>
        <w:tab/>
        <w:t>a safety and health representative; nor</w:t>
      </w:r>
    </w:p>
    <w:p>
      <w:pPr>
        <w:pStyle w:val="yIndenta"/>
      </w:pPr>
      <w:r>
        <w:tab/>
        <w:t>(b)</w:t>
      </w:r>
      <w:r>
        <w:tab/>
        <w:t>a consultant assisting a safety and health representative,</w:t>
      </w:r>
    </w:p>
    <w:p>
      <w:pPr>
        <w:pStyle w:val="ySubsection"/>
      </w:pPr>
      <w:r>
        <w:tab/>
      </w:r>
      <w:r>
        <w:tab/>
        <w:t xml:space="preserve">is entitled, under clause 33(1)(d)(ii), to have access to information of a confidential medical nature relating to a person who is or was a group member unless — </w:t>
      </w:r>
    </w:p>
    <w:p>
      <w:pPr>
        <w:pStyle w:val="y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yIndenta"/>
      </w:pPr>
      <w:r>
        <w:tab/>
        <w:t>(d)</w:t>
      </w:r>
      <w:r>
        <w:tab/>
        <w:t>the information is in a form that does not identify the person or enable the identity of the person to be discovered.</w:t>
      </w:r>
    </w:p>
    <w:p>
      <w:pPr>
        <w:pStyle w:val="yFootnotesection"/>
        <w:rPr>
          <w:ins w:id="2873" w:author="svcMRProcess" w:date="2020-02-19T21:14:00Z"/>
        </w:rPr>
      </w:pPr>
      <w:ins w:id="2874" w:author="svcMRProcess" w:date="2020-02-19T21:14:00Z">
        <w:r>
          <w:tab/>
          <w:t>[Clause 35 inserted by No. 13 of 2005 s. 47.]</w:t>
        </w:r>
      </w:ins>
    </w:p>
    <w:p>
      <w:pPr>
        <w:pStyle w:val="yHeading5"/>
      </w:pPr>
      <w:bookmarkStart w:id="2875" w:name="_Toc170190790"/>
      <w:r>
        <w:rPr>
          <w:rStyle w:val="CharSClsNo"/>
        </w:rPr>
        <w:t>36</w:t>
      </w:r>
      <w:r>
        <w:t>.</w:t>
      </w:r>
      <w:r>
        <w:rPr>
          <w:b w:val="0"/>
        </w:rPr>
        <w:tab/>
      </w:r>
      <w:r>
        <w:t>Obligations and liabilities of safety and health representatives</w:t>
      </w:r>
      <w:bookmarkEnd w:id="2875"/>
    </w:p>
    <w:p>
      <w:pPr>
        <w:pStyle w:val="ySubsection"/>
      </w:pPr>
      <w:r>
        <w:tab/>
      </w:r>
      <w:r>
        <w:tab/>
        <w:t xml:space="preserve">This Schedule does not — </w:t>
      </w:r>
    </w:p>
    <w:p>
      <w:pPr>
        <w:pStyle w:val="yIndenta"/>
      </w:pPr>
      <w:r>
        <w:tab/>
        <w:t>(a)</w:t>
      </w:r>
      <w:r>
        <w:tab/>
        <w:t>impose an obligation on a person to exercise any power conferred on the person because the person is a safety and health representative; or</w:t>
      </w:r>
    </w:p>
    <w:p>
      <w:pPr>
        <w:pStyle w:val="yIndenta"/>
      </w:pPr>
      <w:r>
        <w:tab/>
        <w:t>(b)</w:t>
      </w:r>
      <w:r>
        <w:tab/>
        <w:t xml:space="preserve">render a person liable in civil proceedings because of — </w:t>
      </w:r>
    </w:p>
    <w:p>
      <w:pPr>
        <w:pStyle w:val="yIndenti0"/>
      </w:pPr>
      <w:r>
        <w:tab/>
        <w:t>(i)</w:t>
      </w:r>
      <w:r>
        <w:tab/>
        <w:t>a failure to exercise such a power; or</w:t>
      </w:r>
    </w:p>
    <w:p>
      <w:pPr>
        <w:pStyle w:val="yIndenti0"/>
      </w:pPr>
      <w:r>
        <w:tab/>
        <w:t>(ii)</w:t>
      </w:r>
      <w:r>
        <w:tab/>
        <w:t>the way such a power was exercised.</w:t>
      </w:r>
    </w:p>
    <w:p>
      <w:pPr>
        <w:pStyle w:val="yFootnotesection"/>
        <w:rPr>
          <w:ins w:id="2876" w:author="svcMRProcess" w:date="2020-02-19T21:14:00Z"/>
        </w:rPr>
      </w:pPr>
      <w:ins w:id="2877" w:author="svcMRProcess" w:date="2020-02-19T21:14:00Z">
        <w:r>
          <w:tab/>
          <w:t>[Clause 36 inserted by No. 13 of 2005 s. 47.]</w:t>
        </w:r>
      </w:ins>
    </w:p>
    <w:p>
      <w:pPr>
        <w:pStyle w:val="yHeading5"/>
      </w:pPr>
      <w:bookmarkStart w:id="2878" w:name="_Toc170190791"/>
      <w:r>
        <w:rPr>
          <w:rStyle w:val="CharSClsNo"/>
        </w:rPr>
        <w:t>37</w:t>
      </w:r>
      <w:r>
        <w:t>.</w:t>
      </w:r>
      <w:r>
        <w:rPr>
          <w:b w:val="0"/>
        </w:rPr>
        <w:tab/>
      </w:r>
      <w:r>
        <w:t>Provisional improvement notices</w:t>
      </w:r>
      <w:bookmarkEnd w:id="2878"/>
    </w:p>
    <w:p>
      <w:pPr>
        <w:pStyle w:val="ySubsection"/>
      </w:pPr>
      <w:r>
        <w:tab/>
        <w:t>(1)</w:t>
      </w:r>
      <w:r>
        <w:tab/>
        <w:t xml:space="preserve">If — </w:t>
      </w:r>
    </w:p>
    <w:p>
      <w:pPr>
        <w:pStyle w:val="yIndenta"/>
      </w:pPr>
      <w:r>
        <w:tab/>
        <w:t>(a)</w:t>
      </w:r>
      <w:r>
        <w:tab/>
        <w:t xml:space="preserve">a safety and health representative for a designated work group believes, on reasonable grounds, that a person — </w:t>
      </w:r>
    </w:p>
    <w:p>
      <w:pPr>
        <w:pStyle w:val="yIndenti0"/>
      </w:pPr>
      <w:r>
        <w:tab/>
        <w:t>(i)</w:t>
      </w:r>
      <w:r>
        <w:tab/>
        <w:t>is contravening a listed OSH law; or</w:t>
      </w:r>
    </w:p>
    <w:p>
      <w:pPr>
        <w:pStyle w:val="yIndenti0"/>
      </w:pPr>
      <w:r>
        <w:tab/>
        <w:t>(ii)</w:t>
      </w:r>
      <w:r>
        <w:tab/>
        <w:t>has contravened a provision of a listed OSH law and is likely to contravene that provision again;</w:t>
      </w:r>
    </w:p>
    <w:p>
      <w:pPr>
        <w:pStyle w:val="yIndenta"/>
      </w:pPr>
      <w:r>
        <w:tab/>
      </w:r>
      <w:r>
        <w:tab/>
        <w:t>and</w:t>
      </w:r>
    </w:p>
    <w:p>
      <w:pPr>
        <w:pStyle w:val="yIndenta"/>
      </w:pPr>
      <w:r>
        <w:tab/>
        <w:t>(b)</w:t>
      </w:r>
      <w:r>
        <w:tab/>
        <w:t>the contravention affects or may affect one or more group members,</w:t>
      </w:r>
    </w:p>
    <w:p>
      <w:pPr>
        <w:pStyle w:val="ySubsection"/>
      </w:pPr>
      <w:r>
        <w:tab/>
      </w:r>
      <w:r>
        <w:tab/>
        <w:t>the representative must consult with the person supervising the relevant activity in an attempt to reach agreement on rectifying the contravention or preventing the likely contravention.</w:t>
      </w:r>
    </w:p>
    <w:p>
      <w:pPr>
        <w:pStyle w:val="y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b/>
        </w:rPr>
        <w:t>“</w:t>
      </w:r>
      <w:r>
        <w:rPr>
          <w:rStyle w:val="CharDefText"/>
        </w:rPr>
        <w:t>responsible person</w:t>
      </w:r>
      <w:r>
        <w:rPr>
          <w:b/>
        </w:rPr>
        <w:t>”</w:t>
      </w:r>
      <w:r>
        <w:t>) responsible for the contravention.</w:t>
      </w:r>
    </w:p>
    <w:p>
      <w:pPr>
        <w:pStyle w:val="ySubsection"/>
      </w:pPr>
      <w:r>
        <w:tab/>
        <w:t>(3)</w:t>
      </w:r>
      <w:r>
        <w:tab/>
        <w:t>If a responsible person is the operator, the improvement notice may be issued to the operator by giving it to the operator’s representative at the facility.</w:t>
      </w:r>
    </w:p>
    <w:p>
      <w:pPr>
        <w:pStyle w:val="ySubsection"/>
      </w:pPr>
      <w:r>
        <w:tab/>
        <w:t>(4)</w:t>
      </w:r>
      <w:r>
        <w:tab/>
        <w:t xml:space="preserve">If it is not practicable to issue the notice to a responsible person (other than the operator or the supervisor) by giving it to that responsible person — </w:t>
      </w:r>
    </w:p>
    <w:p>
      <w:pPr>
        <w:pStyle w:val="y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yIndenta"/>
      </w:pPr>
      <w:r>
        <w:tab/>
        <w:t>(b)</w:t>
      </w:r>
      <w:r>
        <w:tab/>
        <w:t>if the notice is so issued, a copy of the notice must be given to the responsible person as soon as practicable afterwards.</w:t>
      </w:r>
    </w:p>
    <w:p>
      <w:pPr>
        <w:pStyle w:val="ySubsection"/>
      </w:pPr>
      <w:r>
        <w:tab/>
        <w:t>(5)</w:t>
      </w:r>
      <w:r>
        <w:tab/>
        <w:t xml:space="preserve">The notice must — </w:t>
      </w:r>
    </w:p>
    <w:p>
      <w:pPr>
        <w:pStyle w:val="yIndenta"/>
      </w:pPr>
      <w:r>
        <w:tab/>
        <w:t>(a)</w:t>
      </w:r>
      <w:r>
        <w:tab/>
        <w:t>specify the contravention that, in the safety and health representative’s opinion, is occurring or is likely to occur, and set out the reasons for that opinion; and</w:t>
      </w:r>
    </w:p>
    <w:p>
      <w:pPr>
        <w:pStyle w:val="yIndenta"/>
      </w:pPr>
      <w:r>
        <w:tab/>
        <w:t>(b)</w:t>
      </w:r>
      <w:r>
        <w:tab/>
        <w:t xml:space="preserve">specify a period that — </w:t>
      </w:r>
    </w:p>
    <w:p>
      <w:pPr>
        <w:pStyle w:val="yIndenti0"/>
      </w:pPr>
      <w:r>
        <w:tab/>
        <w:t>(i)</w:t>
      </w:r>
      <w:r>
        <w:tab/>
        <w:t>is not less than 7 days beginning on the day after the notice is issued; and</w:t>
      </w:r>
    </w:p>
    <w:p>
      <w:pPr>
        <w:pStyle w:val="yIndenti0"/>
      </w:pPr>
      <w:r>
        <w:tab/>
        <w:t>(ii)</w:t>
      </w:r>
      <w:r>
        <w:tab/>
        <w:t>is, in the representative’s opinion, reasonable,</w:t>
      </w:r>
    </w:p>
    <w:p>
      <w:pPr>
        <w:pStyle w:val="ySubsection"/>
      </w:pPr>
      <w:r>
        <w:tab/>
      </w:r>
      <w:r>
        <w:tab/>
        <w:t>within which the responsible person is to take action necessary to prevent any further contravention or to prevent the likely contravention, as the case may be.</w:t>
      </w:r>
    </w:p>
    <w:p>
      <w:pPr>
        <w:pStyle w:val="ySubsection"/>
      </w:pPr>
      <w:r>
        <w:tab/>
        <w:t>(6)</w:t>
      </w:r>
      <w:r>
        <w:tab/>
        <w:t>The notice may specify action that the responsible person is to take during the period specified in the notice.</w:t>
      </w:r>
    </w:p>
    <w:p>
      <w:pPr>
        <w:pStyle w:val="ySubsection"/>
      </w:pPr>
      <w:r>
        <w:tab/>
        <w:t>(7)</w:t>
      </w:r>
      <w:r>
        <w:tab/>
        <w:t>If, in the safety and health representative’s opinion, it is appropriate to do so, the representative may, in writing and before the end of the period, extend the period specified in the notice.</w:t>
      </w:r>
    </w:p>
    <w:p>
      <w:pPr>
        <w:pStyle w:val="ySubsection"/>
      </w:pPr>
      <w:r>
        <w:tab/>
        <w:t>(8)</w:t>
      </w:r>
      <w:r>
        <w:tab/>
        <w:t xml:space="preserve">On issuing the notice, the safety and health representative must give a copy of the notice to — </w:t>
      </w:r>
    </w:p>
    <w:p>
      <w:pPr>
        <w:pStyle w:val="yIndenta"/>
      </w:pPr>
      <w:r>
        <w:tab/>
        <w:t>(a)</w:t>
      </w:r>
      <w:r>
        <w:tab/>
        <w:t xml:space="preserve">if the operator is not a responsible person — the operator; </w:t>
      </w:r>
    </w:p>
    <w:p>
      <w:pPr>
        <w:pStyle w:val="yIndenta"/>
      </w:pPr>
      <w:r>
        <w:tab/>
        <w:t>(b)</w:t>
      </w:r>
      <w:r>
        <w:tab/>
        <w:t xml:space="preserve">each work group employer other than a work group employer who is a responsible person; </w:t>
      </w:r>
    </w:p>
    <w:p>
      <w:pPr>
        <w:pStyle w:val="yIndenta"/>
      </w:pPr>
      <w:r>
        <w:tab/>
        <w:t>(c)</w:t>
      </w:r>
      <w:r>
        <w:tab/>
        <w:t>if the supervisor is not a responsible person — the supervisor; and</w:t>
      </w:r>
    </w:p>
    <w:p>
      <w:pPr>
        <w:pStyle w:val="yIndenta"/>
      </w:pPr>
      <w:r>
        <w:tab/>
        <w:t>(d)</w:t>
      </w:r>
      <w:r>
        <w:tab/>
        <w:t>if the notice relates to any plant, substance or thing that is owned by a person other than a responsible person or a person to whom a copy of the notice is given under paragraph (a), (b) or (c) — that owner.</w:t>
      </w:r>
    </w:p>
    <w:p>
      <w:pPr>
        <w:pStyle w:val="yFootnotesection"/>
        <w:rPr>
          <w:ins w:id="2879" w:author="svcMRProcess" w:date="2020-02-19T21:14:00Z"/>
        </w:rPr>
      </w:pPr>
      <w:ins w:id="2880" w:author="svcMRProcess" w:date="2020-02-19T21:14:00Z">
        <w:r>
          <w:tab/>
          <w:t>[Clause 37 inserted by No. 13 of 2005 s. 47.]</w:t>
        </w:r>
      </w:ins>
    </w:p>
    <w:p>
      <w:pPr>
        <w:pStyle w:val="yHeading5"/>
      </w:pPr>
      <w:bookmarkStart w:id="2881" w:name="_Toc170190792"/>
      <w:r>
        <w:rPr>
          <w:rStyle w:val="CharSClsNo"/>
        </w:rPr>
        <w:t>38</w:t>
      </w:r>
      <w:r>
        <w:t>.</w:t>
      </w:r>
      <w:r>
        <w:rPr>
          <w:b w:val="0"/>
        </w:rPr>
        <w:tab/>
      </w:r>
      <w:r>
        <w:t>Effect of provisional improvement notice</w:t>
      </w:r>
      <w:bookmarkEnd w:id="2881"/>
    </w:p>
    <w:p>
      <w:pPr>
        <w:pStyle w:val="ySubsection"/>
      </w:pPr>
      <w:r>
        <w:tab/>
        <w:t>(1)</w:t>
      </w:r>
      <w:r>
        <w:tab/>
        <w:t xml:space="preserve">Within 7 days after a notice is issued under clause 37 — </w:t>
      </w:r>
    </w:p>
    <w:p>
      <w:pPr>
        <w:pStyle w:val="yIndenta"/>
      </w:pPr>
      <w:r>
        <w:tab/>
        <w:t>(a)</w:t>
      </w:r>
      <w:r>
        <w:tab/>
        <w:t>the responsible person; or</w:t>
      </w:r>
    </w:p>
    <w:p>
      <w:pPr>
        <w:pStyle w:val="yIndenta"/>
      </w:pPr>
      <w:r>
        <w:tab/>
        <w:t>(b)</w:t>
      </w:r>
      <w:r>
        <w:tab/>
        <w:t>any other person, to whom a copy of the notice has been given under clause 37(8),</w:t>
      </w:r>
    </w:p>
    <w:p>
      <w:pPr>
        <w:pStyle w:val="ySubsection"/>
      </w:pPr>
      <w:r>
        <w:tab/>
      </w:r>
      <w:r>
        <w:tab/>
        <w:t>may request the Safety Authority or an OHS inspector for an inspection of the matter to be conducted.</w:t>
      </w:r>
    </w:p>
    <w:p>
      <w:pPr>
        <w:pStyle w:val="ySubsection"/>
      </w:pPr>
      <w:r>
        <w:tab/>
        <w:t>(2)</w:t>
      </w:r>
      <w:r>
        <w:tab/>
        <w:t>On the request being made, the operation of the notice is suspended pending the determination of the matter by an OHS inspector.</w:t>
      </w:r>
    </w:p>
    <w:p>
      <w:pPr>
        <w:pStyle w:val="ySubsection"/>
      </w:pPr>
      <w:r>
        <w:tab/>
        <w:t>(3)</w:t>
      </w:r>
      <w:r>
        <w:tab/>
        <w:t xml:space="preserve">As soon as possible after a request is made, an inspection must be conducted of the work that is the subject of the disagreement, and the OHS inspector conducting the inspection must — </w:t>
      </w:r>
    </w:p>
    <w:p>
      <w:pPr>
        <w:pStyle w:val="yIndenta"/>
      </w:pPr>
      <w:r>
        <w:tab/>
        <w:t>(a)</w:t>
      </w:r>
      <w:r>
        <w:tab/>
        <w:t>confirm, vary or cancel the notice and notify the responsible person and any person to whom a copy of the notice has been given under clause 37(8) accordingly; and</w:t>
      </w:r>
    </w:p>
    <w:p>
      <w:pPr>
        <w:pStyle w:val="yIndenta"/>
      </w:pPr>
      <w:r>
        <w:tab/>
        <w:t>(b)</w:t>
      </w:r>
      <w:r>
        <w:tab/>
        <w:t>make decisions, and exercise powers, under Division 4, as the OHS inspector considers necessary in relation to the work.</w:t>
      </w:r>
    </w:p>
    <w:p>
      <w:pPr>
        <w:pStyle w:val="ySubsection"/>
      </w:pPr>
      <w:r>
        <w:tab/>
        <w:t>(4)</w:t>
      </w:r>
      <w:r>
        <w:tab/>
        <w:t xml:space="preserve">If the OHS inspector varies a notice, the notice as so varied has effect — </w:t>
      </w:r>
    </w:p>
    <w:p>
      <w:pPr>
        <w:pStyle w:val="yIndenta"/>
      </w:pPr>
      <w:r>
        <w:tab/>
        <w:t>(a)</w:t>
      </w:r>
      <w:r>
        <w:tab/>
        <w:t>so far as the notice concerns obligations imposed on the responsible person that are unaffected by the variation — as if the notice as so varied resumed effect on the day of the variation; and</w:t>
      </w:r>
    </w:p>
    <w:p>
      <w:pPr>
        <w:pStyle w:val="yIndenta"/>
      </w:pPr>
      <w:r>
        <w:tab/>
        <w:t>(b)</w:t>
      </w:r>
      <w:r>
        <w:tab/>
        <w:t>so far as the notice concerns new obligations imposed by virtue of the variation — as if the notice as so varied were a new notice issued on the day of the variation.</w:t>
      </w:r>
    </w:p>
    <w:p>
      <w:pPr>
        <w:pStyle w:val="ySubsection"/>
      </w:pPr>
      <w:r>
        <w:tab/>
        <w:t>(5)</w:t>
      </w:r>
      <w:r>
        <w:tab/>
        <w:t xml:space="preserve">If the notice is issued to a responsible person, the responsible person must — </w:t>
      </w:r>
    </w:p>
    <w:p>
      <w:pPr>
        <w:pStyle w:val="yIndenta"/>
      </w:pPr>
      <w:r>
        <w:tab/>
        <w:t>(a)</w:t>
      </w:r>
      <w:r>
        <w:tab/>
        <w:t>notify each group member who is affected by the notice of the fact of the issue of the notice; and</w:t>
      </w:r>
    </w:p>
    <w:p>
      <w:pPr>
        <w:pStyle w:val="yIndenta"/>
      </w:pPr>
      <w:r>
        <w:tab/>
        <w:t>(b)</w:t>
      </w:r>
      <w:r>
        <w:tab/>
        <w:t>until the notice ceases to have effect, cause a copy of the notice to be displayed at or near each workplace at which the work that is the subject of the notice is being performed.</w:t>
      </w:r>
    </w:p>
    <w:p>
      <w:pPr>
        <w:pStyle w:val="ySubsection"/>
      </w:pPr>
      <w:r>
        <w:tab/>
        <w:t>(6)</w:t>
      </w:r>
      <w:r>
        <w:tab/>
        <w:t xml:space="preserve">The notice ceases to have effect if — </w:t>
      </w:r>
    </w:p>
    <w:p>
      <w:pPr>
        <w:pStyle w:val="yIndenta"/>
      </w:pPr>
      <w:r>
        <w:tab/>
        <w:t>(a)</w:t>
      </w:r>
      <w:r>
        <w:tab/>
        <w:t>it is cancelled by an OHS inspector or by the safety and health representative; or</w:t>
      </w:r>
    </w:p>
    <w:p>
      <w:pPr>
        <w:pStyle w:val="yIndenta"/>
      </w:pPr>
      <w:r>
        <w:tab/>
        <w:t>(b)</w:t>
      </w:r>
      <w:r>
        <w:tab/>
        <w:t xml:space="preserve">the responsible person — </w:t>
      </w:r>
    </w:p>
    <w:p>
      <w:pPr>
        <w:pStyle w:val="yIndenti0"/>
      </w:pPr>
      <w:r>
        <w:tab/>
        <w:t>(i)</w:t>
      </w:r>
      <w:r>
        <w:tab/>
        <w:t>takes the action, if any, specified in the notice; or</w:t>
      </w:r>
    </w:p>
    <w:p>
      <w:pPr>
        <w:pStyle w:val="yIndenti0"/>
      </w:pPr>
      <w:r>
        <w:tab/>
        <w:t>(ii)</w:t>
      </w:r>
      <w:r>
        <w:tab/>
        <w:t>if no action is so specified — takes the action necessary to prevent the further contravention, or likely contravention, concerned.</w:t>
      </w:r>
    </w:p>
    <w:p>
      <w:pPr>
        <w:pStyle w:val="ySubsection"/>
      </w:pPr>
      <w:r>
        <w:tab/>
        <w:t>(7)</w:t>
      </w:r>
      <w:r>
        <w:tab/>
        <w:t xml:space="preserve">The responsible person — </w:t>
      </w:r>
    </w:p>
    <w:p>
      <w:pPr>
        <w:pStyle w:val="yIndenta"/>
      </w:pPr>
      <w:r>
        <w:tab/>
        <w:t>(a)</w:t>
      </w:r>
      <w:r>
        <w:tab/>
        <w:t>must ensure that, to the extent that the notice relates to any matter over which the person has control, the notice is complied with; and</w:t>
      </w:r>
    </w:p>
    <w:p>
      <w:pPr>
        <w:pStyle w:val="yIndenta"/>
      </w:pPr>
      <w:r>
        <w:tab/>
        <w:t>(b)</w:t>
      </w:r>
      <w:r>
        <w:tab/>
        <w:t>must take reasonable steps to inform the safety and health representative who issued the notice of the action taken to comply with the notice.</w:t>
      </w:r>
    </w:p>
    <w:p>
      <w:pPr>
        <w:pStyle w:val="ySubsection"/>
      </w:pPr>
      <w:r>
        <w:tab/>
        <w:t>(8)</w:t>
      </w:r>
      <w:r>
        <w:tab/>
        <w:t>For the purposes of clause 65, if the OHS inspector confirms or varies the notice, the OHS inspector is taken to have decided, under clause 61, to issue an improvement notice in those terms.</w:t>
      </w:r>
    </w:p>
    <w:p>
      <w:pPr>
        <w:pStyle w:val="yFootnotesection"/>
        <w:rPr>
          <w:ins w:id="2882" w:author="svcMRProcess" w:date="2020-02-19T21:14:00Z"/>
        </w:rPr>
      </w:pPr>
      <w:ins w:id="2883" w:author="svcMRProcess" w:date="2020-02-19T21:14:00Z">
        <w:r>
          <w:tab/>
          <w:t>[Clause 38 inserted by No. 13 of 2005 s. 47.]</w:t>
        </w:r>
      </w:ins>
    </w:p>
    <w:p>
      <w:pPr>
        <w:pStyle w:val="yHeading5"/>
      </w:pPr>
      <w:bookmarkStart w:id="2884" w:name="_Toc170190793"/>
      <w:r>
        <w:rPr>
          <w:rStyle w:val="CharSClsNo"/>
        </w:rPr>
        <w:t>39</w:t>
      </w:r>
      <w:r>
        <w:t>.</w:t>
      </w:r>
      <w:r>
        <w:rPr>
          <w:b w:val="0"/>
        </w:rPr>
        <w:tab/>
      </w:r>
      <w:r>
        <w:t>Duties of the operator and other employers in relation to safety and health representatives</w:t>
      </w:r>
      <w:bookmarkEnd w:id="2884"/>
    </w:p>
    <w:p>
      <w:pPr>
        <w:pStyle w:val="ySubsection"/>
      </w:pPr>
      <w:r>
        <w:tab/>
        <w:t>(1)</w:t>
      </w:r>
      <w:r>
        <w:tab/>
        <w:t xml:space="preserve">The operator of a facility, in relation to which a designated work group having a safety and health representative has been established, must — </w:t>
      </w:r>
    </w:p>
    <w:p>
      <w:pPr>
        <w:pStyle w:val="yIndenta"/>
      </w:pPr>
      <w:r>
        <w:tab/>
        <w:t>(a)</w:t>
      </w:r>
      <w:r>
        <w:tab/>
        <w:t xml:space="preserve">on being requested to do so by the representative, consult with the representative on the implementation of changes at any workplace at which some or all of the group members perform work, being changes that may affect their safety and health; </w:t>
      </w:r>
    </w:p>
    <w:p>
      <w:pPr>
        <w:pStyle w:val="yIndenta"/>
      </w:pPr>
      <w:r>
        <w:tab/>
        <w:t>(b)</w:t>
      </w:r>
      <w:r>
        <w:tab/>
        <w:t xml:space="preserve">in relation to a workplace at which some or all of the group members perform work — </w:t>
      </w:r>
    </w:p>
    <w:p>
      <w:pPr>
        <w:pStyle w:val="yIndenti0"/>
      </w:pPr>
      <w:r>
        <w:tab/>
        <w:t>(i)</w:t>
      </w:r>
      <w:r>
        <w:tab/>
        <w:t>permit the representative to make any inspection of the workplace that the representative is entitled to make in accordance with clause 33(1)(a)(i) and to accompany an OHS inspector during an inspection at the workplace by the OHS inspector; and</w:t>
      </w:r>
    </w:p>
    <w:p>
      <w:pPr>
        <w:pStyle w:val="yIndenti0"/>
      </w:pPr>
      <w:r>
        <w:tab/>
        <w:t>(ii)</w:t>
      </w:r>
      <w:r>
        <w:tab/>
        <w:t xml:space="preserve">if there is no safety and health committee in respect of the members of the workforce — on being requested to do so by the representative, consult with the representative about the development, implementation and review of measures to ensure the safety and health of group members; </w:t>
      </w:r>
    </w:p>
    <w:p>
      <w:pPr>
        <w:pStyle w:val="yIndenta"/>
      </w:pPr>
      <w:r>
        <w:tab/>
        <w:t>(c)</w:t>
      </w:r>
      <w:r>
        <w:tab/>
        <w:t xml:space="preserve">permit the representative to be present at any interview at which the representative is entitled to be present under clause 33(1)(c); </w:t>
      </w:r>
    </w:p>
    <w:p>
      <w:pPr>
        <w:pStyle w:val="yIndenta"/>
      </w:pPr>
      <w:r>
        <w:tab/>
        <w:t>(d)</w:t>
      </w:r>
      <w:r>
        <w:tab/>
        <w:t xml:space="preserve">provide to the representative access to any information to which the representative is entitled to obtain access under clause 33(1)(d)(i) or (ii) and to which access has been requested; </w:t>
      </w:r>
    </w:p>
    <w:p>
      <w:pPr>
        <w:pStyle w:val="yIndenta"/>
      </w:pPr>
      <w:r>
        <w:tab/>
        <w:t>(e)</w:t>
      </w:r>
      <w:r>
        <w:tab/>
        <w:t>permit the representative to take any time off work, without loss of remuneration or other entitlements, that is necessary to exercise the powers of a safety and health representative; and</w:t>
      </w:r>
    </w:p>
    <w:p>
      <w:pPr>
        <w:pStyle w:val="yIndenta"/>
      </w:pPr>
      <w:r>
        <w:tab/>
        <w:t>(f)</w:t>
      </w:r>
      <w:r>
        <w:tab/>
        <w:t xml:space="preserve">provide the representative with access to any amenities that are — </w:t>
      </w:r>
    </w:p>
    <w:p>
      <w:pPr>
        <w:pStyle w:val="yIndenti0"/>
      </w:pPr>
      <w:r>
        <w:tab/>
        <w:t>(i)</w:t>
      </w:r>
      <w:r>
        <w:tab/>
        <w:t>prescribed for the purposes of this paragraph; or</w:t>
      </w:r>
    </w:p>
    <w:p>
      <w:pPr>
        <w:pStyle w:val="yIndenti0"/>
      </w:pPr>
      <w:r>
        <w:tab/>
        <w:t>(ii)</w:t>
      </w:r>
      <w:r>
        <w:tab/>
        <w:t>necessary for the purposes of exercising the powers of a safety and health representative.</w:t>
      </w:r>
    </w:p>
    <w:p>
      <w:pPr>
        <w:pStyle w:val="ySubsection"/>
      </w:pPr>
      <w:r>
        <w:tab/>
        <w:t>(2)</w:t>
      </w:r>
      <w:r>
        <w:tab/>
        <w:t>Subclause (1)(d) has effect subject to subclauses (3) and (4).</w:t>
      </w:r>
    </w:p>
    <w:p>
      <w:pPr>
        <w:pStyle w:val="ySubsection"/>
      </w:pPr>
      <w:r>
        <w:tab/>
        <w:t>(3)</w:t>
      </w:r>
      <w:r>
        <w:tab/>
        <w:t xml:space="preserve">The operator must not permit a safety and health representative in relation to a designated work group to have access to information that — </w:t>
      </w:r>
    </w:p>
    <w:p>
      <w:pPr>
        <w:pStyle w:val="yIndenta"/>
      </w:pPr>
      <w:r>
        <w:tab/>
        <w:t>(a)</w:t>
      </w:r>
      <w:r>
        <w:tab/>
        <w:t>is of a confidential medical nature under the control of the operator; and</w:t>
      </w:r>
    </w:p>
    <w:p>
      <w:pPr>
        <w:pStyle w:val="yIndenta"/>
      </w:pPr>
      <w:r>
        <w:tab/>
        <w:t>(b)</w:t>
      </w:r>
      <w:r>
        <w:tab/>
        <w:t xml:space="preserve">relates to a person who is or was a group member, </w:t>
      </w:r>
    </w:p>
    <w:p>
      <w:pPr>
        <w:pStyle w:val="ySubsection"/>
      </w:pPr>
      <w:r>
        <w:tab/>
      </w:r>
      <w:r>
        <w:tab/>
        <w:t xml:space="preserve">unless — </w:t>
      </w:r>
    </w:p>
    <w:p>
      <w:pPr>
        <w:pStyle w:val="yIndenta"/>
      </w:pPr>
      <w:r>
        <w:tab/>
        <w:t>(c)</w:t>
      </w:r>
      <w:r>
        <w:tab/>
        <w:t>the person has delivered to the employer a written authority permitting the representative to have access to the information; or</w:t>
      </w:r>
    </w:p>
    <w:p>
      <w:pPr>
        <w:pStyle w:val="yIndenta"/>
      </w:pPr>
      <w:r>
        <w:tab/>
        <w:t>(d)</w:t>
      </w:r>
      <w:r>
        <w:tab/>
        <w:t>the information is in a form that does not identify the person or enable the identity of the person to be discovered.</w:t>
      </w:r>
    </w:p>
    <w:p>
      <w:pPr>
        <w:pStyle w:val="ySubsection"/>
      </w:pPr>
      <w:r>
        <w:tab/>
        <w:t>(4)</w:t>
      </w:r>
      <w:r>
        <w:tab/>
        <w:t>The operator is not required to give a safety and health representative access to any information in respect of which the operator is entitled to claim, and does claim, legal professional privilege.</w:t>
      </w:r>
    </w:p>
    <w:p>
      <w:pPr>
        <w:pStyle w:val="y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yFootnotesection"/>
        <w:rPr>
          <w:ins w:id="2885" w:author="svcMRProcess" w:date="2020-02-19T21:14:00Z"/>
        </w:rPr>
      </w:pPr>
      <w:bookmarkStart w:id="2886" w:name="_Toc131393932"/>
      <w:ins w:id="2887" w:author="svcMRProcess" w:date="2020-02-19T21:14:00Z">
        <w:r>
          <w:tab/>
          <w:t>[Clause 39 inserted by No. 13 of 2005 s. 47.]</w:t>
        </w:r>
      </w:ins>
    </w:p>
    <w:p>
      <w:pPr>
        <w:pStyle w:val="yHeading4"/>
      </w:pPr>
      <w:bookmarkStart w:id="2888" w:name="_Toc162761403"/>
      <w:bookmarkStart w:id="2889" w:name="_Toc170190794"/>
      <w:bookmarkStart w:id="2890" w:name="_Toc112746416"/>
      <w:bookmarkStart w:id="2891" w:name="_Toc112746541"/>
      <w:r>
        <w:t>Subdivision </w:t>
      </w:r>
      <w:r>
        <w:rPr>
          <w:bCs/>
        </w:rPr>
        <w:t>4</w:t>
      </w:r>
      <w:r>
        <w:rPr>
          <w:b w:val="0"/>
        </w:rPr>
        <w:t> — </w:t>
      </w:r>
      <w:r>
        <w:rPr>
          <w:bCs/>
        </w:rPr>
        <w:t>Safety and health</w:t>
      </w:r>
      <w:r>
        <w:t xml:space="preserve"> committees</w:t>
      </w:r>
      <w:bookmarkEnd w:id="2886"/>
      <w:bookmarkEnd w:id="2888"/>
      <w:bookmarkEnd w:id="2889"/>
      <w:bookmarkEnd w:id="2890"/>
      <w:bookmarkEnd w:id="2891"/>
    </w:p>
    <w:p>
      <w:pPr>
        <w:pStyle w:val="yFootnoteheading"/>
        <w:rPr>
          <w:ins w:id="2892" w:author="svcMRProcess" w:date="2020-02-19T21:14:00Z"/>
        </w:rPr>
      </w:pPr>
      <w:ins w:id="2893" w:author="svcMRProcess" w:date="2020-02-19T21:14:00Z">
        <w:r>
          <w:tab/>
          <w:t>[Heading inserted by No. 13 of 2005 s. 47.]</w:t>
        </w:r>
      </w:ins>
    </w:p>
    <w:p>
      <w:pPr>
        <w:pStyle w:val="yHeading5"/>
      </w:pPr>
      <w:bookmarkStart w:id="2894" w:name="_Toc170190795"/>
      <w:r>
        <w:rPr>
          <w:rStyle w:val="CharSClsNo"/>
        </w:rPr>
        <w:t>40</w:t>
      </w:r>
      <w:r>
        <w:t>.</w:t>
      </w:r>
      <w:r>
        <w:rPr>
          <w:b w:val="0"/>
        </w:rPr>
        <w:tab/>
      </w:r>
      <w:r>
        <w:t>Safety and health committees</w:t>
      </w:r>
      <w:bookmarkEnd w:id="2894"/>
    </w:p>
    <w:p>
      <w:pPr>
        <w:pStyle w:val="ySubsection"/>
      </w:pPr>
      <w:r>
        <w:tab/>
        <w:t>(1)</w:t>
      </w:r>
      <w:r>
        <w:tab/>
        <w:t xml:space="preserve">A safety and health committee must be established in relation to the members of the workforce at a facility if — </w:t>
      </w:r>
    </w:p>
    <w:p>
      <w:pPr>
        <w:pStyle w:val="yIndenta"/>
      </w:pPr>
      <w:r>
        <w:tab/>
        <w:t>(a)</w:t>
      </w:r>
      <w:r>
        <w:tab/>
        <w:t xml:space="preserve">the number of those members normally present at the facility is not less than 50 (whether or not those members are all at work at the facility at the same time); </w:t>
      </w:r>
    </w:p>
    <w:p>
      <w:pPr>
        <w:pStyle w:val="yIndenta"/>
      </w:pPr>
      <w:r>
        <w:tab/>
        <w:t>(b)</w:t>
      </w:r>
      <w:r>
        <w:tab/>
        <w:t>the members of the workforce are included in one or more designated work groups; and</w:t>
      </w:r>
    </w:p>
    <w:p>
      <w:pPr>
        <w:pStyle w:val="yIndenta"/>
      </w:pPr>
      <w:r>
        <w:tab/>
        <w:t>(c)</w:t>
      </w:r>
      <w:r>
        <w:tab/>
        <w:t>the operator is requested to establish the committee by the safety and health representative for the designated work group or for one of the designated work groups.</w:t>
      </w:r>
    </w:p>
    <w:p>
      <w:pPr>
        <w:pStyle w:val="ySubsection"/>
      </w:pPr>
      <w:r>
        <w:tab/>
        <w:t>(2)</w:t>
      </w:r>
      <w:r>
        <w:tab/>
        <w:t xml:space="preserve">The safety and health committee consists of — </w:t>
      </w:r>
    </w:p>
    <w:p>
      <w:pPr>
        <w:pStyle w:val="yIndenta"/>
      </w:pPr>
      <w:r>
        <w:tab/>
        <w:t>(a)</w:t>
      </w:r>
      <w:r>
        <w:tab/>
        <w:t>the number of members specified in an agreement reached between the operator and the members of the workforce; or</w:t>
      </w:r>
    </w:p>
    <w:p>
      <w:pPr>
        <w:pStyle w:val="yIndenta"/>
      </w:pPr>
      <w:r>
        <w:tab/>
        <w:t>(b)</w:t>
      </w:r>
      <w:r>
        <w:tab/>
        <w:t xml:space="preserve">if there is no such agreement — an equal number of — </w:t>
      </w:r>
    </w:p>
    <w:p>
      <w:pPr>
        <w:pStyle w:val="yIndenti0"/>
      </w:pPr>
      <w:r>
        <w:tab/>
        <w:t>(i)</w:t>
      </w:r>
      <w:r>
        <w:tab/>
        <w:t>members, chosen by the members of the workforce, to represent the interests of members of the workforce; and</w:t>
      </w:r>
    </w:p>
    <w:p>
      <w:pPr>
        <w:pStyle w:val="yIndenti0"/>
      </w:pPr>
      <w:r>
        <w:tab/>
        <w:t>(ii)</w:t>
      </w:r>
      <w:r>
        <w:tab/>
        <w:t>members, chosen by the operator, to represent the interests of the operator and the employer (other than the operator) of members of the workforce.</w:t>
      </w:r>
    </w:p>
    <w:p>
      <w:pPr>
        <w:pStyle w:val="ySubsection"/>
      </w:pPr>
      <w:r>
        <w:tab/>
        <w:t>(3)</w:t>
      </w:r>
      <w:r>
        <w:tab/>
        <w:t xml:space="preserve">The agreement referred to in subclause (2)(a) may — </w:t>
      </w:r>
    </w:p>
    <w:p>
      <w:pPr>
        <w:pStyle w:val="yIndenta"/>
      </w:pPr>
      <w:r>
        <w:tab/>
        <w:t>(a)</w:t>
      </w:r>
      <w:r>
        <w:tab/>
        <w:t>specify the persons who are to be members to represent the interests of the operator and employers (other than the operator) of members of the workforce; and</w:t>
      </w:r>
    </w:p>
    <w:p>
      <w:pPr>
        <w:pStyle w:val="yIndenta"/>
      </w:pPr>
      <w:r>
        <w:tab/>
        <w:t>(b)</w:t>
      </w:r>
      <w:r>
        <w:tab/>
        <w:t>provide for the way in which persons who are to be members to represent the interests of members of the workforce are to be chosen.</w:t>
      </w:r>
    </w:p>
    <w:p>
      <w:pPr>
        <w:pStyle w:val="y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ySubsection"/>
      </w:pPr>
      <w:r>
        <w:tab/>
        <w:t>(5)</w:t>
      </w:r>
      <w:r>
        <w:tab/>
        <w:t>A safety and health committee must hold a meeting at least once every 3 months.</w:t>
      </w:r>
    </w:p>
    <w:p>
      <w:pPr>
        <w:pStyle w:val="ySubsection"/>
      </w:pPr>
      <w:r>
        <w:tab/>
        <w:t>(6)</w:t>
      </w:r>
      <w:r>
        <w:tab/>
        <w:t>The procedure at meetings of a safety and health committee must, except to the extent provided for by the regulations, be the procedure agreed upon by the committee.</w:t>
      </w:r>
    </w:p>
    <w:p>
      <w:pPr>
        <w:pStyle w:val="ySubsection"/>
      </w:pPr>
      <w:r>
        <w:tab/>
        <w:t>(7)</w:t>
      </w:r>
      <w:r>
        <w:tab/>
        <w:t>A safety and health committee must cause minutes of its meetings to be kept, and must retain those minutes for a period of not less than 3 years.</w:t>
      </w:r>
    </w:p>
    <w:p>
      <w:pPr>
        <w:pStyle w:val="y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yFootnotesection"/>
        <w:rPr>
          <w:ins w:id="2895" w:author="svcMRProcess" w:date="2020-02-19T21:14:00Z"/>
        </w:rPr>
      </w:pPr>
      <w:ins w:id="2896" w:author="svcMRProcess" w:date="2020-02-19T21:14:00Z">
        <w:r>
          <w:tab/>
          <w:t>[Clause 40 inserted by No. 13 of 2005 s. 47.]</w:t>
        </w:r>
      </w:ins>
    </w:p>
    <w:p>
      <w:pPr>
        <w:pStyle w:val="yHeading5"/>
      </w:pPr>
      <w:bookmarkStart w:id="2897" w:name="_Toc170190796"/>
      <w:r>
        <w:rPr>
          <w:rStyle w:val="CharSClsNo"/>
        </w:rPr>
        <w:t>41</w:t>
      </w:r>
      <w:r>
        <w:t>.</w:t>
      </w:r>
      <w:r>
        <w:rPr>
          <w:b w:val="0"/>
        </w:rPr>
        <w:tab/>
      </w:r>
      <w:r>
        <w:t>Functions of safety and health committees</w:t>
      </w:r>
      <w:bookmarkEnd w:id="2897"/>
    </w:p>
    <w:p>
      <w:pPr>
        <w:pStyle w:val="ySubsection"/>
      </w:pPr>
      <w:r>
        <w:tab/>
        <w:t>(1)</w:t>
      </w:r>
      <w:r>
        <w:tab/>
        <w:t xml:space="preserve">A safety and health committee has the following functions — </w:t>
      </w:r>
    </w:p>
    <w:p>
      <w:pPr>
        <w:pStyle w:val="yIndenta"/>
      </w:pPr>
      <w:r>
        <w:tab/>
        <w:t>(a)</w:t>
      </w:r>
      <w:r>
        <w:tab/>
        <w:t xml:space="preserve">to assist the operator of the facility concerned — </w:t>
      </w:r>
    </w:p>
    <w:p>
      <w:pPr>
        <w:pStyle w:val="yIndenti0"/>
      </w:pPr>
      <w:r>
        <w:tab/>
        <w:t>(i)</w:t>
      </w:r>
      <w:r>
        <w:tab/>
        <w:t>to develop and implement measures designed to protect; and</w:t>
      </w:r>
    </w:p>
    <w:p>
      <w:pPr>
        <w:pStyle w:val="yIndenti0"/>
      </w:pPr>
      <w:r>
        <w:tab/>
        <w:t>(ii)</w:t>
      </w:r>
      <w:r>
        <w:tab/>
        <w:t>to review and update measures used to protect,</w:t>
      </w:r>
    </w:p>
    <w:p>
      <w:pPr>
        <w:pStyle w:val="yIndenta"/>
      </w:pPr>
      <w:r>
        <w:tab/>
      </w:r>
      <w:r>
        <w:tab/>
        <w:t>the safety and health at work of members of the workforce;</w:t>
      </w:r>
    </w:p>
    <w:p>
      <w:pPr>
        <w:pStyle w:val="yIndenta"/>
      </w:pPr>
      <w:r>
        <w:tab/>
        <w:t>(b)</w:t>
      </w:r>
      <w:r>
        <w:tab/>
        <w:t>to facilitate cooperation between the operator of the facility, employers (other than the operator) of members of the workforce, and members of the workforce, in relation to occupational safety and health matters;</w:t>
      </w:r>
    </w:p>
    <w:p>
      <w:pPr>
        <w:pStyle w:val="yIndenta"/>
      </w:pPr>
      <w:r>
        <w:tab/>
        <w:t>(c)</w:t>
      </w:r>
      <w:r>
        <w:tab/>
        <w:t>to assist the operator to disseminate among members of the workforce, in appropriate languages, information relating to safety and health at work;</w:t>
      </w:r>
    </w:p>
    <w:p>
      <w:pPr>
        <w:pStyle w:val="yIndenta"/>
      </w:pPr>
      <w:r>
        <w:tab/>
        <w:t>(d)</w:t>
      </w:r>
      <w:r>
        <w:tab/>
        <w:t>any prescribed functions;</w:t>
      </w:r>
    </w:p>
    <w:p>
      <w:pPr>
        <w:pStyle w:val="yIndenta"/>
      </w:pPr>
      <w:r>
        <w:tab/>
        <w:t>(e)</w:t>
      </w:r>
      <w:r>
        <w:tab/>
        <w:t>any other functions that are agreed between the operator and the safety and health committee.</w:t>
      </w:r>
    </w:p>
    <w:p>
      <w:pPr>
        <w:pStyle w:val="ySubsection"/>
      </w:pPr>
      <w:r>
        <w:tab/>
        <w:t>(2)</w:t>
      </w:r>
      <w:r>
        <w:tab/>
        <w:t>A safety and health committee has power to do all things necessary or convenient to be done for, or in connection with, the performance of its functions.</w:t>
      </w:r>
    </w:p>
    <w:p>
      <w:pPr>
        <w:pStyle w:val="ySubsection"/>
      </w:pPr>
      <w:r>
        <w:tab/>
        <w:t>(3)</w:t>
      </w:r>
      <w:r>
        <w:tab/>
        <w:t xml:space="preserve">This Schedule does not — </w:t>
      </w:r>
    </w:p>
    <w:p>
      <w:pPr>
        <w:pStyle w:val="yIndenta"/>
      </w:pPr>
      <w:r>
        <w:tab/>
        <w:t>(a)</w:t>
      </w:r>
      <w:r>
        <w:tab/>
        <w:t>impose an obligation on a person to do any act, because the person is a member of a safety and health committee, in connection with the performance of a function conferred on the committee; or</w:t>
      </w:r>
    </w:p>
    <w:p>
      <w:pPr>
        <w:pStyle w:val="yIndenta"/>
      </w:pPr>
      <w:r>
        <w:tab/>
        <w:t>(b)</w:t>
      </w:r>
      <w:r>
        <w:tab/>
        <w:t xml:space="preserve">render such a person liable in civil proceedings because of — </w:t>
      </w:r>
    </w:p>
    <w:p>
      <w:pPr>
        <w:pStyle w:val="yIndenti0"/>
      </w:pPr>
      <w:r>
        <w:tab/>
        <w:t>(i)</w:t>
      </w:r>
      <w:r>
        <w:tab/>
        <w:t>a failure to do such an act; or</w:t>
      </w:r>
    </w:p>
    <w:p>
      <w:pPr>
        <w:pStyle w:val="yIndenti0"/>
      </w:pPr>
      <w:r>
        <w:tab/>
        <w:t>(ii)</w:t>
      </w:r>
      <w:r>
        <w:tab/>
        <w:t>the manner in which such an act was done.</w:t>
      </w:r>
    </w:p>
    <w:p>
      <w:pPr>
        <w:pStyle w:val="yFootnotesection"/>
        <w:rPr>
          <w:ins w:id="2898" w:author="svcMRProcess" w:date="2020-02-19T21:14:00Z"/>
        </w:rPr>
      </w:pPr>
      <w:ins w:id="2899" w:author="svcMRProcess" w:date="2020-02-19T21:14:00Z">
        <w:r>
          <w:tab/>
          <w:t>[Clause 41 inserted by No. 13 of 2005 s. 47.]</w:t>
        </w:r>
      </w:ins>
    </w:p>
    <w:p>
      <w:pPr>
        <w:pStyle w:val="yHeading5"/>
      </w:pPr>
      <w:bookmarkStart w:id="2900" w:name="_Toc170190797"/>
      <w:r>
        <w:rPr>
          <w:rStyle w:val="CharSClsNo"/>
        </w:rPr>
        <w:t>42</w:t>
      </w:r>
      <w:r>
        <w:t>.</w:t>
      </w:r>
      <w:r>
        <w:rPr>
          <w:b w:val="0"/>
        </w:rPr>
        <w:tab/>
      </w:r>
      <w:r>
        <w:t>Duties of the operator and other employers in relation to safety and health committees</w:t>
      </w:r>
      <w:bookmarkEnd w:id="2900"/>
    </w:p>
    <w:p>
      <w:pPr>
        <w:pStyle w:val="ySubsection"/>
      </w:pPr>
      <w:r>
        <w:tab/>
        <w:t>(1)</w:t>
      </w:r>
      <w:r>
        <w:tab/>
        <w:t xml:space="preserve">If there is a safety and health committee, the operator and any employer (other than the operator) of a member of the workforce must — </w:t>
      </w:r>
    </w:p>
    <w:p>
      <w:pPr>
        <w:pStyle w:val="yIndenta"/>
      </w:pPr>
      <w:r>
        <w:tab/>
        <w:t>(a)</w:t>
      </w:r>
      <w:r>
        <w:tab/>
        <w:t>make available to the committee any information possessed by the operator or that employer relating to risks to safety and health to members of the workforce; and</w:t>
      </w:r>
    </w:p>
    <w:p>
      <w:pPr>
        <w:pStyle w:val="y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ySubsection"/>
      </w:pPr>
      <w:r>
        <w:tab/>
        <w:t>(2)</w:t>
      </w:r>
      <w:r>
        <w:tab/>
        <w:t>Subclause (1)(a) has effect subject to subclauses (3) and (4).</w:t>
      </w:r>
    </w:p>
    <w:p>
      <w:pPr>
        <w:pStyle w:val="ySubsection"/>
      </w:pPr>
      <w:r>
        <w:tab/>
        <w:t>(3)</w:t>
      </w:r>
      <w:r>
        <w:tab/>
        <w:t xml:space="preserve">The operator or any employer (other than the operator) of a member of the workforce must not make available to a safety and health committee information of a confidential nature relating to a person who is or was a member of the workforce, unless — </w:t>
      </w:r>
    </w:p>
    <w:p>
      <w:pPr>
        <w:pStyle w:val="yIndenta"/>
      </w:pPr>
      <w:r>
        <w:tab/>
        <w:t>(a)</w:t>
      </w:r>
      <w:r>
        <w:tab/>
        <w:t>the person has authorised the information to be made available to the committee; or</w:t>
      </w:r>
    </w:p>
    <w:p>
      <w:pPr>
        <w:pStyle w:val="yIndenta"/>
      </w:pPr>
      <w:r>
        <w:tab/>
        <w:t>(b)</w:t>
      </w:r>
      <w:r>
        <w:tab/>
        <w:t>the information is in a form that does not identify the person or enable the identity of the person to be discovered.</w:t>
      </w:r>
    </w:p>
    <w:p>
      <w:pPr>
        <w:pStyle w:val="y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yFootnotesection"/>
        <w:rPr>
          <w:ins w:id="2901" w:author="svcMRProcess" w:date="2020-02-19T21:14:00Z"/>
        </w:rPr>
      </w:pPr>
      <w:bookmarkStart w:id="2902" w:name="_Toc131393933"/>
      <w:ins w:id="2903" w:author="svcMRProcess" w:date="2020-02-19T21:14:00Z">
        <w:r>
          <w:tab/>
          <w:t>[Clause 42 inserted by No. 13 of 2005 s. 47.]</w:t>
        </w:r>
      </w:ins>
    </w:p>
    <w:p>
      <w:pPr>
        <w:pStyle w:val="yHeading4"/>
      </w:pPr>
      <w:bookmarkStart w:id="2904" w:name="_Toc162761407"/>
      <w:bookmarkStart w:id="2905" w:name="_Toc170190798"/>
      <w:bookmarkStart w:id="2906" w:name="_Toc112746417"/>
      <w:bookmarkStart w:id="2907" w:name="_Toc112746542"/>
      <w:r>
        <w:t>Subdivision </w:t>
      </w:r>
      <w:r>
        <w:rPr>
          <w:bCs/>
        </w:rPr>
        <w:t>5</w:t>
      </w:r>
      <w:r>
        <w:rPr>
          <w:b w:val="0"/>
        </w:rPr>
        <w:t> — </w:t>
      </w:r>
      <w:r>
        <w:rPr>
          <w:bCs/>
        </w:rPr>
        <w:t>Emergency</w:t>
      </w:r>
      <w:r>
        <w:t xml:space="preserve"> procedures</w:t>
      </w:r>
      <w:bookmarkEnd w:id="2902"/>
      <w:bookmarkEnd w:id="2904"/>
      <w:bookmarkEnd w:id="2905"/>
      <w:bookmarkEnd w:id="2906"/>
      <w:bookmarkEnd w:id="2907"/>
    </w:p>
    <w:p>
      <w:pPr>
        <w:pStyle w:val="yFootnoteheading"/>
        <w:rPr>
          <w:ins w:id="2908" w:author="svcMRProcess" w:date="2020-02-19T21:14:00Z"/>
        </w:rPr>
      </w:pPr>
      <w:ins w:id="2909" w:author="svcMRProcess" w:date="2020-02-19T21:14:00Z">
        <w:r>
          <w:tab/>
          <w:t>[Heading inserted by No. 13 of 2005 s. 47.]</w:t>
        </w:r>
      </w:ins>
    </w:p>
    <w:p>
      <w:pPr>
        <w:pStyle w:val="yHeading5"/>
      </w:pPr>
      <w:bookmarkStart w:id="2910" w:name="_Toc170190799"/>
      <w:r>
        <w:rPr>
          <w:rStyle w:val="CharSClsNo"/>
        </w:rPr>
        <w:t>43</w:t>
      </w:r>
      <w:r>
        <w:t>.</w:t>
      </w:r>
      <w:r>
        <w:rPr>
          <w:b w:val="0"/>
        </w:rPr>
        <w:tab/>
      </w:r>
      <w:r>
        <w:t>Action by safety and health representatives</w:t>
      </w:r>
      <w:bookmarkEnd w:id="2910"/>
    </w:p>
    <w:p>
      <w:pPr>
        <w:pStyle w:val="ySubsection"/>
      </w:pPr>
      <w:r>
        <w:tab/>
        <w:t>(1)</w:t>
      </w:r>
      <w:r>
        <w:tab/>
        <w:t xml:space="preserve">If a safety and health representative for a designated work group has reasonable cause to believe that there is an imminent and serious danger to the safety or health of any person at or near the facility unless a group member or group members cease to perform particular work, the representative must — </w:t>
      </w:r>
    </w:p>
    <w:p>
      <w:pPr>
        <w:pStyle w:val="yIndenta"/>
      </w:pPr>
      <w:r>
        <w:tab/>
        <w:t>(a)</w:t>
      </w:r>
      <w:r>
        <w:tab/>
        <w:t xml:space="preserve">inform a person (a </w:t>
      </w:r>
      <w:r>
        <w:rPr>
          <w:b/>
        </w:rPr>
        <w:t>“</w:t>
      </w:r>
      <w:r>
        <w:rPr>
          <w:rStyle w:val="CharDefText"/>
        </w:rPr>
        <w:t>supervisor</w:t>
      </w:r>
      <w:r>
        <w:rPr>
          <w:b/>
        </w:rPr>
        <w:t>”</w:t>
      </w:r>
      <w:r>
        <w:t>) supervising the group member or group members in the performance of the work of the danger; or</w:t>
      </w:r>
    </w:p>
    <w:p>
      <w:pPr>
        <w:pStyle w:val="yIndenta"/>
      </w:pPr>
      <w:r>
        <w:tab/>
        <w:t>(b)</w:t>
      </w:r>
      <w:r>
        <w:tab/>
        <w:t xml:space="preserve">if no supervisor can be contacted immediately — </w:t>
      </w:r>
    </w:p>
    <w:p>
      <w:pPr>
        <w:pStyle w:val="yIndenti0"/>
      </w:pPr>
      <w:r>
        <w:tab/>
        <w:t>(i)</w:t>
      </w:r>
      <w:r>
        <w:tab/>
        <w:t>direct the group member or group members to cease, in a safe manner, to perform the work; and</w:t>
      </w:r>
    </w:p>
    <w:p>
      <w:pPr>
        <w:pStyle w:val="yIndenti0"/>
      </w:pPr>
      <w:r>
        <w:tab/>
        <w:t>(ii)</w:t>
      </w:r>
      <w:r>
        <w:tab/>
        <w:t>as soon as practicable, inform a supervisor that the direction has been given.</w:t>
      </w:r>
    </w:p>
    <w:p>
      <w:pPr>
        <w:pStyle w:val="ySubsection"/>
      </w:pPr>
      <w:r>
        <w:tab/>
        <w:t>(2)</w:t>
      </w:r>
      <w:r>
        <w:tab/>
        <w:t>If a supervisor is informed under subclause (1)(a) of a danger to the safety or health of any person at or near the facility, the supervisor must take the action he or she thinks appropriate to remove that danger, which may include directing a group member or group members to cease, in a safe manner, to perform the work.</w:t>
      </w:r>
    </w:p>
    <w:p>
      <w:pPr>
        <w:pStyle w:val="ySubsection"/>
      </w:pPr>
      <w:r>
        <w:tab/>
        <w:t>(3)</w:t>
      </w:r>
      <w:r>
        <w:tab/>
        <w:t xml:space="preserve">If — </w:t>
      </w:r>
    </w:p>
    <w:p>
      <w:pPr>
        <w:pStyle w:val="yIndenta"/>
      </w:pPr>
      <w:r>
        <w:tab/>
        <w:t>(a)</w:t>
      </w:r>
      <w:r>
        <w:tab/>
        <w:t>a safety and health representative has informed a supervisor under subclause (1)(a) of a danger; and</w:t>
      </w:r>
    </w:p>
    <w:p>
      <w:pPr>
        <w:pStyle w:val="yIndenta"/>
      </w:pPr>
      <w:r>
        <w:tab/>
        <w:t>(b)</w:t>
      </w:r>
      <w:r>
        <w:tab/>
        <w:t>the representative has reasonable cause to believe that, despite any action taken by the supervisor in accordance with subclause (2), there continues to be an imminent and serious danger to the safety or health of any person at or near the facility unless the group member or group members cease to perform particular work,</w:t>
      </w:r>
    </w:p>
    <w:p>
      <w:pPr>
        <w:pStyle w:val="ySubsection"/>
      </w:pPr>
      <w:r>
        <w:tab/>
      </w:r>
      <w:r>
        <w:tab/>
        <w:t xml:space="preserve">the representative must — </w:t>
      </w:r>
    </w:p>
    <w:p>
      <w:pPr>
        <w:pStyle w:val="yIndenta"/>
      </w:pPr>
      <w:r>
        <w:tab/>
        <w:t>(c)</w:t>
      </w:r>
      <w:r>
        <w:tab/>
        <w:t>direct the group member or group members to cease, in a safe manner, to perform the work; and</w:t>
      </w:r>
    </w:p>
    <w:p>
      <w:pPr>
        <w:pStyle w:val="yIndenta"/>
      </w:pPr>
      <w:r>
        <w:tab/>
        <w:t>(d)</w:t>
      </w:r>
      <w:r>
        <w:tab/>
        <w:t>as soon as practicable, inform the supervisor that the direction has been given.</w:t>
      </w:r>
    </w:p>
    <w:p>
      <w:pPr>
        <w:pStyle w:val="ySubsection"/>
      </w:pPr>
      <w:r>
        <w:tab/>
        <w:t>(4)</w:t>
      </w:r>
      <w:r>
        <w:tab/>
        <w:t xml:space="preserve">If — </w:t>
      </w:r>
    </w:p>
    <w:p>
      <w:pPr>
        <w:pStyle w:val="y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yIndenta"/>
      </w:pPr>
      <w:r>
        <w:tab/>
        <w:t>(b)</w:t>
      </w:r>
      <w:r>
        <w:tab/>
        <w:t>a safety and health representative gives a direction under subclause (3)(c),</w:t>
      </w:r>
    </w:p>
    <w:p>
      <w:pPr>
        <w:pStyle w:val="ySubsection"/>
      </w:pPr>
      <w:r>
        <w:tab/>
      </w:r>
      <w:r>
        <w:tab/>
        <w:t>the representative or the supervisor may request the Safety Authority or an OHS inspector that an inspection be conducted of the work that is the subject of the direction.</w:t>
      </w:r>
    </w:p>
    <w:p>
      <w:pPr>
        <w:pStyle w:val="ySubsection"/>
      </w:pPr>
      <w:r>
        <w:tab/>
        <w:t>(5)</w:t>
      </w:r>
      <w:r>
        <w:tab/>
        <w:t>As soon as possible after a request is made, an inspection must be conducted of the work that is the subject of the direction, and the OHS inspector conducting the inspection must make decisions, and exercise powers, under Division 4 as the OHS inspector considers necessary in relation to the work.</w:t>
      </w:r>
    </w:p>
    <w:p>
      <w:pPr>
        <w:pStyle w:val="ySubsection"/>
      </w:pPr>
      <w:r>
        <w:tab/>
        <w:t>(6)</w:t>
      </w:r>
      <w:r>
        <w:tab/>
        <w:t>This clause does not limit the power of a safety and health representative under clause 33(1)(a)(iii) to request an OHS inspector or the Safety Authority that an inspection be conducted at the workplace.</w:t>
      </w:r>
    </w:p>
    <w:p>
      <w:pPr>
        <w:pStyle w:val="yFootnotesection"/>
        <w:rPr>
          <w:ins w:id="2911" w:author="svcMRProcess" w:date="2020-02-19T21:14:00Z"/>
        </w:rPr>
      </w:pPr>
      <w:ins w:id="2912" w:author="svcMRProcess" w:date="2020-02-19T21:14:00Z">
        <w:r>
          <w:tab/>
          <w:t>[Clause 43 inserted by No. 13 of 2005 s. 47.]</w:t>
        </w:r>
      </w:ins>
    </w:p>
    <w:p>
      <w:pPr>
        <w:pStyle w:val="yHeading5"/>
      </w:pPr>
      <w:bookmarkStart w:id="2913" w:name="_Toc170190800"/>
      <w:r>
        <w:rPr>
          <w:rStyle w:val="CharSClsNo"/>
        </w:rPr>
        <w:t>44</w:t>
      </w:r>
      <w:r>
        <w:t>.</w:t>
      </w:r>
      <w:r>
        <w:rPr>
          <w:b w:val="0"/>
        </w:rPr>
        <w:tab/>
      </w:r>
      <w:r>
        <w:t>Directions to perform other work</w:t>
      </w:r>
      <w:bookmarkEnd w:id="2913"/>
    </w:p>
    <w:p>
      <w:pPr>
        <w:pStyle w:val="ySubsection"/>
      </w:pPr>
      <w:r>
        <w:tab/>
      </w:r>
      <w:r>
        <w:tab/>
        <w:t xml:space="preserve">If — </w:t>
      </w:r>
    </w:p>
    <w:p>
      <w:pPr>
        <w:pStyle w:val="yIndenta"/>
      </w:pPr>
      <w:r>
        <w:tab/>
        <w:t>(a)</w:t>
      </w:r>
      <w:r>
        <w:tab/>
        <w:t>a group member who is an employee has ceased to perform work, in accordance with the direction of a safety and health representative under clause 43(1)(b) or (3)(c); and</w:t>
      </w:r>
    </w:p>
    <w:p>
      <w:pPr>
        <w:pStyle w:val="yIndenta"/>
      </w:pPr>
      <w:r>
        <w:tab/>
        <w:t>(b)</w:t>
      </w:r>
      <w:r>
        <w:tab/>
        <w:t xml:space="preserve">the cessation of work does not continue after — </w:t>
      </w:r>
    </w:p>
    <w:p>
      <w:pPr>
        <w:pStyle w:val="yIndenti0"/>
      </w:pPr>
      <w:r>
        <w:tab/>
        <w:t>(i)</w:t>
      </w:r>
      <w:r>
        <w:tab/>
        <w:t>the safety and health representative has agreed with a person supervising work at the workplace where the work was being performed that the cessation of work was not, or is no longer, necessary; or</w:t>
      </w:r>
    </w:p>
    <w:p>
      <w:pPr>
        <w:pStyle w:val="yIndenti0"/>
      </w:pPr>
      <w:r>
        <w:tab/>
        <w:t>(ii)</w:t>
      </w:r>
      <w:r>
        <w:tab/>
        <w:t>an OHS inspector has, under clause 43(5), made a decision to the effect that the employee should perform the work,</w:t>
      </w:r>
    </w:p>
    <w:p>
      <w:pPr>
        <w:pStyle w:val="y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yFootnotesection"/>
        <w:rPr>
          <w:ins w:id="2914" w:author="svcMRProcess" w:date="2020-02-19T21:14:00Z"/>
        </w:rPr>
      </w:pPr>
      <w:bookmarkStart w:id="2915" w:name="_Toc131393934"/>
      <w:ins w:id="2916" w:author="svcMRProcess" w:date="2020-02-19T21:14:00Z">
        <w:r>
          <w:tab/>
          <w:t>[Clause 44 inserted by No. 13 of 2005 s. 47.]</w:t>
        </w:r>
      </w:ins>
    </w:p>
    <w:p>
      <w:pPr>
        <w:pStyle w:val="yHeading4"/>
        <w:rPr>
          <w:bCs/>
        </w:rPr>
      </w:pPr>
      <w:bookmarkStart w:id="2917" w:name="_Toc162761410"/>
      <w:bookmarkStart w:id="2918" w:name="_Toc170190801"/>
      <w:bookmarkStart w:id="2919" w:name="_Toc112746418"/>
      <w:bookmarkStart w:id="2920" w:name="_Toc112746543"/>
      <w:r>
        <w:t>Subdivision </w:t>
      </w:r>
      <w:r>
        <w:rPr>
          <w:bCs/>
        </w:rPr>
        <w:t>6 — Exemptions</w:t>
      </w:r>
      <w:bookmarkEnd w:id="2915"/>
      <w:bookmarkEnd w:id="2917"/>
      <w:bookmarkEnd w:id="2918"/>
      <w:bookmarkEnd w:id="2919"/>
      <w:bookmarkEnd w:id="2920"/>
    </w:p>
    <w:p>
      <w:pPr>
        <w:pStyle w:val="yFootnoteheading"/>
        <w:rPr>
          <w:ins w:id="2921" w:author="svcMRProcess" w:date="2020-02-19T21:14:00Z"/>
        </w:rPr>
      </w:pPr>
      <w:ins w:id="2922" w:author="svcMRProcess" w:date="2020-02-19T21:14:00Z">
        <w:r>
          <w:tab/>
          <w:t>[Heading inserted by No. 13 of 2005 s. 47.]</w:t>
        </w:r>
      </w:ins>
    </w:p>
    <w:p>
      <w:pPr>
        <w:pStyle w:val="yHeading5"/>
      </w:pPr>
      <w:bookmarkStart w:id="2923" w:name="_Toc170190802"/>
      <w:r>
        <w:rPr>
          <w:rStyle w:val="CharSClsNo"/>
        </w:rPr>
        <w:t>45</w:t>
      </w:r>
      <w:r>
        <w:t>.</w:t>
      </w:r>
      <w:r>
        <w:rPr>
          <w:b w:val="0"/>
        </w:rPr>
        <w:tab/>
      </w:r>
      <w:r>
        <w:t>Exemptions</w:t>
      </w:r>
      <w:bookmarkEnd w:id="2923"/>
    </w:p>
    <w:p>
      <w:pPr>
        <w:pStyle w:val="ySubsection"/>
      </w:pPr>
      <w:r>
        <w:tab/>
        <w:t>(1)</w:t>
      </w:r>
      <w:r>
        <w:tab/>
        <w:t>The Safety Authority may, in accordance with the regulations, make a written order exempting a specified person or class of person from any or all of the provisions of this Division (other than this clause).</w:t>
      </w:r>
    </w:p>
    <w:p>
      <w:pPr>
        <w:pStyle w:val="ySubsection"/>
      </w:pPr>
      <w:r>
        <w:tab/>
        <w:t>(2)</w:t>
      </w:r>
      <w:r>
        <w:tab/>
        <w:t>The Safety Authority must not make an order under subclause (1) unless it is satisfied on reasonable grounds that it is impracticable for the person to comply with the provision or provisions.</w:t>
      </w:r>
    </w:p>
    <w:p>
      <w:pPr>
        <w:pStyle w:val="yFootnotesection"/>
        <w:rPr>
          <w:ins w:id="2924" w:author="svcMRProcess" w:date="2020-02-19T21:14:00Z"/>
        </w:rPr>
      </w:pPr>
      <w:bookmarkStart w:id="2925" w:name="_Toc131393935"/>
      <w:ins w:id="2926" w:author="svcMRProcess" w:date="2020-02-19T21:14:00Z">
        <w:r>
          <w:tab/>
          <w:t>[Clause 45 inserted by No. 13 of 2005 s. 47.]</w:t>
        </w:r>
      </w:ins>
    </w:p>
    <w:p>
      <w:pPr>
        <w:pStyle w:val="yHeading3"/>
      </w:pPr>
      <w:bookmarkStart w:id="2927" w:name="_Toc162761412"/>
      <w:bookmarkStart w:id="2928" w:name="_Toc170190803"/>
      <w:bookmarkStart w:id="2929" w:name="_Toc112746419"/>
      <w:bookmarkStart w:id="2930" w:name="_Toc112746544"/>
      <w:r>
        <w:rPr>
          <w:rStyle w:val="CharSDivNo"/>
        </w:rPr>
        <w:t>Division 4</w:t>
      </w:r>
      <w:r>
        <w:rPr>
          <w:b w:val="0"/>
        </w:rPr>
        <w:t> — </w:t>
      </w:r>
      <w:r>
        <w:rPr>
          <w:rStyle w:val="CharSDivText"/>
        </w:rPr>
        <w:t>Inspections</w:t>
      </w:r>
      <w:bookmarkEnd w:id="2925"/>
      <w:bookmarkEnd w:id="2927"/>
      <w:bookmarkEnd w:id="2928"/>
      <w:bookmarkEnd w:id="2929"/>
      <w:bookmarkEnd w:id="2930"/>
    </w:p>
    <w:p>
      <w:pPr>
        <w:pStyle w:val="yFootnoteheading"/>
        <w:rPr>
          <w:ins w:id="2931" w:author="svcMRProcess" w:date="2020-02-19T21:14:00Z"/>
        </w:rPr>
      </w:pPr>
      <w:ins w:id="2932" w:author="svcMRProcess" w:date="2020-02-19T21:14:00Z">
        <w:r>
          <w:tab/>
          <w:t>[Heading inserted by No. 13 of 2005 s. 47.]</w:t>
        </w:r>
      </w:ins>
    </w:p>
    <w:p>
      <w:pPr>
        <w:pStyle w:val="yHeading4"/>
      </w:pPr>
      <w:bookmarkStart w:id="2933" w:name="_Toc131393936"/>
      <w:bookmarkStart w:id="2934" w:name="_Toc162761413"/>
      <w:bookmarkStart w:id="2935" w:name="_Toc170190804"/>
      <w:bookmarkStart w:id="2936" w:name="_Toc112746420"/>
      <w:bookmarkStart w:id="2937" w:name="_Toc112746545"/>
      <w:r>
        <w:t>Subdivision 1</w:t>
      </w:r>
      <w:r>
        <w:rPr>
          <w:b w:val="0"/>
        </w:rPr>
        <w:t> — </w:t>
      </w:r>
      <w:r>
        <w:t>Introduction</w:t>
      </w:r>
      <w:bookmarkEnd w:id="2933"/>
      <w:bookmarkEnd w:id="2934"/>
      <w:bookmarkEnd w:id="2935"/>
      <w:bookmarkEnd w:id="2936"/>
      <w:bookmarkEnd w:id="2937"/>
    </w:p>
    <w:p>
      <w:pPr>
        <w:pStyle w:val="yFootnoteheading"/>
        <w:rPr>
          <w:ins w:id="2938" w:author="svcMRProcess" w:date="2020-02-19T21:14:00Z"/>
        </w:rPr>
      </w:pPr>
      <w:ins w:id="2939" w:author="svcMRProcess" w:date="2020-02-19T21:14:00Z">
        <w:r>
          <w:tab/>
          <w:t>[Heading inserted by No. 13 of 2005 s. 47.]</w:t>
        </w:r>
      </w:ins>
    </w:p>
    <w:p>
      <w:pPr>
        <w:pStyle w:val="yHeading5"/>
      </w:pPr>
      <w:bookmarkStart w:id="2940" w:name="_Toc170190805"/>
      <w:r>
        <w:rPr>
          <w:rStyle w:val="CharSClsNo"/>
        </w:rPr>
        <w:t>46</w:t>
      </w:r>
      <w:r>
        <w:t>.</w:t>
      </w:r>
      <w:r>
        <w:rPr>
          <w:b w:val="0"/>
        </w:rPr>
        <w:tab/>
      </w:r>
      <w:r>
        <w:t>Simplified outline</w:t>
      </w:r>
      <w:bookmarkEnd w:id="2940"/>
    </w:p>
    <w:p>
      <w:pPr>
        <w:pStyle w:val="ySubsection"/>
      </w:pPr>
      <w:r>
        <w:tab/>
      </w:r>
      <w:r>
        <w:tab/>
        <w:t>The following is a simplified outline of this Division:</w:t>
      </w:r>
    </w:p>
    <w:p>
      <w:pPr>
        <w:pStyle w:val="ySubsection"/>
        <w:numPr>
          <w:ilvl w:val="0"/>
          <w:numId w:val="4"/>
        </w:numPr>
        <w:tabs>
          <w:tab w:val="clear" w:pos="595"/>
          <w:tab w:val="clear" w:pos="720"/>
          <w:tab w:val="clear" w:pos="879"/>
          <w:tab w:val="right" w:pos="1134"/>
          <w:tab w:val="left" w:pos="1418"/>
          <w:tab w:val="num" w:pos="1560"/>
        </w:tabs>
        <w:ind w:left="1134" w:hanging="283"/>
      </w:pPr>
      <w:r>
        <w:t xml:space="preserve">An OHS inspector may conduct an inspection — </w:t>
      </w:r>
    </w:p>
    <w:p>
      <w:pPr>
        <w:pStyle w:val="yIndenta"/>
      </w:pPr>
      <w:r>
        <w:tab/>
        <w:t>(a)</w:t>
      </w:r>
      <w:r>
        <w:tab/>
        <w:t>to ascertain whether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issue a prohibition notice to the operator of a facility in order to remove an immediate threat to the safety and health of any person.</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issue an improvement notice specifying action that is to be taken to prevent contravention of a listed OSH law.</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must prepare a report about an inspection and give the report to the Safety Authority.</w:t>
      </w:r>
    </w:p>
    <w:p>
      <w:pPr>
        <w:pStyle w:val="yFootnotesection"/>
        <w:rPr>
          <w:ins w:id="2941" w:author="svcMRProcess" w:date="2020-02-19T21:14:00Z"/>
        </w:rPr>
      </w:pPr>
      <w:ins w:id="2942" w:author="svcMRProcess" w:date="2020-02-19T21:14:00Z">
        <w:r>
          <w:tab/>
          <w:t>[Clause 46 inserted by No. 13 of 2005 s. 47.]</w:t>
        </w:r>
      </w:ins>
    </w:p>
    <w:p>
      <w:pPr>
        <w:pStyle w:val="yHeading5"/>
      </w:pPr>
      <w:bookmarkStart w:id="2943" w:name="_Toc170190806"/>
      <w:r>
        <w:rPr>
          <w:rStyle w:val="CharSClsNo"/>
        </w:rPr>
        <w:t>47</w:t>
      </w:r>
      <w:r>
        <w:t>.</w:t>
      </w:r>
      <w:r>
        <w:rPr>
          <w:b w:val="0"/>
        </w:rPr>
        <w:tab/>
      </w:r>
      <w:r>
        <w:t>Powers, functions and duties of OHS inspectors</w:t>
      </w:r>
      <w:bookmarkEnd w:id="2943"/>
    </w:p>
    <w:p>
      <w:pPr>
        <w:pStyle w:val="ySubsection"/>
      </w:pPr>
      <w:r>
        <w:tab/>
        <w:t>(1)</w:t>
      </w:r>
      <w:r>
        <w:tab/>
        <w:t>An OHS inspector has the powers, functions and duties conferred or imposed by each listed OSH law.</w:t>
      </w:r>
    </w:p>
    <w:p>
      <w:pPr>
        <w:pStyle w:val="ySubsection"/>
      </w:pPr>
      <w:r>
        <w:tab/>
        <w:t>(2)</w:t>
      </w:r>
      <w:r>
        <w:tab/>
        <w:t>The Safety Authority may give written directions specifying the manner in which, and the conditions subject to which, powers conferred on OHS inspectors by a listed OSH law are to be exercised.  If it does so, the powers of OHS inspectors must be exercised in accordance with those directions.</w:t>
      </w:r>
    </w:p>
    <w:p>
      <w:pPr>
        <w:pStyle w:val="ySubsection"/>
      </w:pPr>
      <w:r>
        <w:tab/>
        <w:t>(3)</w:t>
      </w:r>
      <w:r>
        <w:tab/>
        <w:t>The Safety Authority may, by notice in writing, impose restrictions, not inconsistent with any direction in force under subclause (2), on the powers that are conferred on a particular OHS inspector by a listed OSH law.  If it does so, the powers of the OHS inspector are taken to have been restricted accordingly.</w:t>
      </w:r>
    </w:p>
    <w:p>
      <w:pPr>
        <w:pStyle w:val="yFootnotesection"/>
        <w:rPr>
          <w:ins w:id="2944" w:author="svcMRProcess" w:date="2020-02-19T21:14:00Z"/>
        </w:rPr>
      </w:pPr>
      <w:bookmarkStart w:id="2945" w:name="_Toc131393937"/>
      <w:ins w:id="2946" w:author="svcMRProcess" w:date="2020-02-19T21:14:00Z">
        <w:r>
          <w:tab/>
          <w:t>[Clause 47 inserted by No. 13 of 2005 s. 47.]</w:t>
        </w:r>
      </w:ins>
    </w:p>
    <w:p>
      <w:pPr>
        <w:pStyle w:val="yHeading4"/>
      </w:pPr>
      <w:bookmarkStart w:id="2947" w:name="_Toc162761416"/>
      <w:bookmarkStart w:id="2948" w:name="_Toc170190807"/>
      <w:bookmarkStart w:id="2949" w:name="_Toc112746421"/>
      <w:bookmarkStart w:id="2950" w:name="_Toc112746546"/>
      <w:r>
        <w:t>Subdivision 2</w:t>
      </w:r>
      <w:r>
        <w:rPr>
          <w:b w:val="0"/>
        </w:rPr>
        <w:t> — </w:t>
      </w:r>
      <w:r>
        <w:t>Inspections</w:t>
      </w:r>
      <w:bookmarkEnd w:id="2945"/>
      <w:bookmarkEnd w:id="2947"/>
      <w:bookmarkEnd w:id="2948"/>
      <w:bookmarkEnd w:id="2949"/>
      <w:bookmarkEnd w:id="2950"/>
    </w:p>
    <w:p>
      <w:pPr>
        <w:pStyle w:val="yFootnoteheading"/>
        <w:rPr>
          <w:ins w:id="2951" w:author="svcMRProcess" w:date="2020-02-19T21:14:00Z"/>
        </w:rPr>
      </w:pPr>
      <w:ins w:id="2952" w:author="svcMRProcess" w:date="2020-02-19T21:14:00Z">
        <w:r>
          <w:tab/>
          <w:t>[Heading inserted by No. 13 of 2005 s. 47.]</w:t>
        </w:r>
      </w:ins>
    </w:p>
    <w:p>
      <w:pPr>
        <w:pStyle w:val="yHeading5"/>
      </w:pPr>
      <w:bookmarkStart w:id="2953" w:name="_Toc170190808"/>
      <w:r>
        <w:rPr>
          <w:rStyle w:val="CharSClsNo"/>
        </w:rPr>
        <w:t>48</w:t>
      </w:r>
      <w:r>
        <w:t>.</w:t>
      </w:r>
      <w:r>
        <w:rPr>
          <w:b w:val="0"/>
        </w:rPr>
        <w:tab/>
      </w:r>
      <w:r>
        <w:t>Inspections</w:t>
      </w:r>
      <w:bookmarkEnd w:id="2953"/>
    </w:p>
    <w:p>
      <w:pPr>
        <w:pStyle w:val="ySubsection"/>
      </w:pPr>
      <w:r>
        <w:tab/>
        <w:t>(1)</w:t>
      </w:r>
      <w:r>
        <w:tab/>
        <w:t xml:space="preserve">An OHS inspector may, at any time, conduct an inspection — </w:t>
      </w:r>
    </w:p>
    <w:p>
      <w:pPr>
        <w:pStyle w:val="yIndenta"/>
      </w:pPr>
      <w:r>
        <w:tab/>
        <w:t>(a)</w:t>
      </w:r>
      <w:r>
        <w:tab/>
        <w:t xml:space="preserve">to ascertain whether a requirement of, or any requirement properly made under, a listed OSH law is being complied with; </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a facility.</w:t>
      </w:r>
    </w:p>
    <w:p>
      <w:pPr>
        <w:pStyle w:val="ySubsection"/>
      </w:pPr>
      <w:r>
        <w:tab/>
        <w:t>(2)</w:t>
      </w:r>
      <w:r>
        <w:tab/>
        <w:t xml:space="preserve">The Safety Authority may direct an OHS inspector to conduct an inspection — </w:t>
      </w:r>
    </w:p>
    <w:p>
      <w:pPr>
        <w:pStyle w:val="yIndenta"/>
      </w:pPr>
      <w:r>
        <w:tab/>
        <w:t>(a)</w:t>
      </w:r>
      <w:r>
        <w:tab/>
        <w:t xml:space="preserve">to ascertain whether a requirement of, or any requirement properly made under, a listed OSH law is being complied with; </w:t>
      </w:r>
    </w:p>
    <w:p>
      <w:pPr>
        <w:pStyle w:val="yIndenta"/>
      </w:pPr>
      <w:r>
        <w:tab/>
        <w:t>(b)</w:t>
      </w:r>
      <w:r>
        <w:tab/>
        <w:t>concerning a contravention or a possible contravention of a listed OSH law; or</w:t>
      </w:r>
    </w:p>
    <w:p>
      <w:pPr>
        <w:pStyle w:val="yIndenta"/>
      </w:pPr>
      <w:r>
        <w:tab/>
        <w:t>(c)</w:t>
      </w:r>
      <w:r>
        <w:tab/>
        <w:t xml:space="preserve">concerning an accident or dangerous occurrence that has happened at a facility, </w:t>
      </w:r>
    </w:p>
    <w:p>
      <w:pPr>
        <w:pStyle w:val="ySubsection"/>
      </w:pPr>
      <w:r>
        <w:tab/>
      </w:r>
      <w:r>
        <w:tab/>
        <w:t>and the OHS inspector must, unless the Safety Authority revokes the direction, conduct an inspection accordingly.</w:t>
      </w:r>
    </w:p>
    <w:p>
      <w:pPr>
        <w:pStyle w:val="yFootnotesection"/>
        <w:rPr>
          <w:ins w:id="2954" w:author="svcMRProcess" w:date="2020-02-19T21:14:00Z"/>
        </w:rPr>
      </w:pPr>
      <w:bookmarkStart w:id="2955" w:name="_Toc131393938"/>
      <w:ins w:id="2956" w:author="svcMRProcess" w:date="2020-02-19T21:14:00Z">
        <w:r>
          <w:tab/>
          <w:t>[Clause 48 inserted by No. 13 of 2005 s. 47.]</w:t>
        </w:r>
      </w:ins>
    </w:p>
    <w:p>
      <w:pPr>
        <w:pStyle w:val="yHeading4"/>
      </w:pPr>
      <w:bookmarkStart w:id="2957" w:name="_Toc162761418"/>
      <w:bookmarkStart w:id="2958" w:name="_Toc170190809"/>
      <w:bookmarkStart w:id="2959" w:name="_Toc112746422"/>
      <w:bookmarkStart w:id="2960" w:name="_Toc112746547"/>
      <w:r>
        <w:t>Subdivision </w:t>
      </w:r>
      <w:r>
        <w:rPr>
          <w:bCs/>
        </w:rPr>
        <w:t xml:space="preserve">3 — Powers </w:t>
      </w:r>
      <w:r>
        <w:t>of OHS inspectors in relation to the conduct of inspections</w:t>
      </w:r>
      <w:bookmarkEnd w:id="2955"/>
      <w:bookmarkEnd w:id="2957"/>
      <w:bookmarkEnd w:id="2958"/>
      <w:bookmarkEnd w:id="2959"/>
      <w:bookmarkEnd w:id="2960"/>
    </w:p>
    <w:p>
      <w:pPr>
        <w:pStyle w:val="yFootnoteheading"/>
        <w:rPr>
          <w:ins w:id="2961" w:author="svcMRProcess" w:date="2020-02-19T21:14:00Z"/>
        </w:rPr>
      </w:pPr>
      <w:ins w:id="2962" w:author="svcMRProcess" w:date="2020-02-19T21:14:00Z">
        <w:r>
          <w:tab/>
          <w:t>[Heading inserted by No. 13 of 2005 s. 47.]</w:t>
        </w:r>
      </w:ins>
    </w:p>
    <w:p>
      <w:pPr>
        <w:pStyle w:val="yHeading5"/>
      </w:pPr>
      <w:bookmarkStart w:id="2963" w:name="_Toc170190810"/>
      <w:r>
        <w:rPr>
          <w:rStyle w:val="CharSClsNo"/>
        </w:rPr>
        <w:t>49</w:t>
      </w:r>
      <w:r>
        <w:t>.</w:t>
      </w:r>
      <w:r>
        <w:rPr>
          <w:b w:val="0"/>
        </w:rPr>
        <w:tab/>
      </w:r>
      <w:r>
        <w:t>Powers of entry and search — facilities</w:t>
      </w:r>
      <w:bookmarkEnd w:id="2963"/>
    </w:p>
    <w:p>
      <w:pPr>
        <w:pStyle w:val="ySubsection"/>
      </w:pPr>
      <w:r>
        <w:tab/>
        <w:t>(1)</w:t>
      </w:r>
      <w:r>
        <w:tab/>
        <w:t xml:space="preserve">An OHS inspector may, for the purposes of an inspection, at any reasonable time during the day or night — </w:t>
      </w:r>
    </w:p>
    <w:p>
      <w:pPr>
        <w:pStyle w:val="yIndenta"/>
      </w:pPr>
      <w:r>
        <w:tab/>
        <w:t>(a)</w:t>
      </w:r>
      <w:r>
        <w:tab/>
        <w:t xml:space="preserve">enter the facility to which the inspection relates and do all or any of the following — </w:t>
      </w:r>
    </w:p>
    <w:p>
      <w:pPr>
        <w:pStyle w:val="yIndenti0"/>
      </w:pPr>
      <w:r>
        <w:tab/>
        <w:t>(i)</w:t>
      </w:r>
      <w:r>
        <w:tab/>
        <w:t>search the facility;</w:t>
      </w:r>
    </w:p>
    <w:p>
      <w:pPr>
        <w:pStyle w:val="yIndenti0"/>
      </w:pPr>
      <w:r>
        <w:tab/>
        <w:t>(ii)</w:t>
      </w:r>
      <w:r>
        <w:tab/>
        <w:t>inspect, examine, take measurements of, or conduct tests concerning, any workplace at the facility or any plant, substance or thing at the facility;</w:t>
      </w:r>
    </w:p>
    <w:p>
      <w:pPr>
        <w:pStyle w:val="yIndenti0"/>
      </w:pPr>
      <w:r>
        <w:tab/>
        <w:t>(iii)</w:t>
      </w:r>
      <w:r>
        <w:tab/>
        <w:t>take photographs of, make video recordings of, or make sketches of, any workplace at the facility or any plant, substance or thing at the facility;</w:t>
      </w:r>
    </w:p>
    <w:p>
      <w:pPr>
        <w:pStyle w:val="yIndenti0"/>
      </w:pPr>
      <w:r>
        <w:tab/>
        <w:t>(iv)</w:t>
      </w:r>
      <w:r>
        <w:tab/>
        <w:t>inspect, take extracts from, or make copies of, any documents at the facility that the OHS inspector has reasonable grounds to believe relate, or are likely to relate, to the subject matter of the inspection;</w:t>
      </w:r>
    </w:p>
    <w:p>
      <w:pPr>
        <w:pStyle w:val="yIndenta"/>
      </w:pPr>
      <w:r>
        <w:tab/>
      </w:r>
      <w:r>
        <w:tab/>
        <w:t>and</w:t>
      </w:r>
    </w:p>
    <w:p>
      <w:pPr>
        <w:pStyle w:val="yIndenta"/>
      </w:pPr>
      <w:r>
        <w:tab/>
        <w:t>(b)</w:t>
      </w:r>
      <w:r>
        <w:tab/>
        <w:t>inspect the seabed and subsoil in the vicinity of the facility to which the inspection relates.</w:t>
      </w:r>
    </w:p>
    <w:p>
      <w:pPr>
        <w:pStyle w:val="ySubsection"/>
      </w:pPr>
      <w:r>
        <w:tab/>
        <w:t>(2)</w:t>
      </w:r>
      <w:r>
        <w:tab/>
        <w:t xml:space="preserve">Immediately on entering a facility for the purposes of an inspection, an OHS inspector must take reasonable steps to notify the purpose of entering the facility to — </w:t>
      </w:r>
    </w:p>
    <w:p>
      <w:pPr>
        <w:pStyle w:val="yIndenta"/>
      </w:pPr>
      <w:r>
        <w:tab/>
        <w:t>(a)</w:t>
      </w:r>
      <w:r>
        <w:tab/>
        <w:t>the operator’s representative at the facility; and</w:t>
      </w:r>
    </w:p>
    <w:p>
      <w:pPr>
        <w:pStyle w:val="yIndenta"/>
      </w:pPr>
      <w:r>
        <w:tab/>
        <w:t>(b)</w:t>
      </w:r>
      <w:r>
        <w:tab/>
        <w:t>if there is a safety and health representative for a designated work group having a group member likely to be affected by the matter the subject of the inspection — that representative,</w:t>
      </w:r>
    </w:p>
    <w:p>
      <w:pPr>
        <w:pStyle w:val="ySubsection"/>
      </w:pPr>
      <w:r>
        <w:tab/>
      </w:r>
      <w:r>
        <w:tab/>
        <w:t xml:space="preserve">and must, on being requested to do so by the person referred to in paragraph (a) or (b), produce for inspection by that person — </w:t>
      </w:r>
    </w:p>
    <w:p>
      <w:pPr>
        <w:pStyle w:val="yIndenta"/>
      </w:pPr>
      <w:r>
        <w:tab/>
        <w:t>(c)</w:t>
      </w:r>
      <w:r>
        <w:tab/>
        <w:t xml:space="preserve">the OHS inspector’s identity card; </w:t>
      </w:r>
    </w:p>
    <w:p>
      <w:pPr>
        <w:pStyle w:val="yIndenta"/>
      </w:pPr>
      <w:r>
        <w:tab/>
        <w:t>(d)</w:t>
      </w:r>
      <w:r>
        <w:tab/>
        <w:t>a copy of the Safety Authority’s written direction (if any) to conduct the inspection; and</w:t>
      </w:r>
    </w:p>
    <w:p>
      <w:pPr>
        <w:pStyle w:val="yIndenta"/>
      </w:pPr>
      <w:r>
        <w:tab/>
        <w:t>(e)</w:t>
      </w:r>
      <w:r>
        <w:tab/>
        <w:t>a copy of the restrictions (if any) imposed on the powers of the OHS inspector under clause 47(3).</w:t>
      </w:r>
    </w:p>
    <w:p>
      <w:pPr>
        <w:pStyle w:val="ySubsection"/>
      </w:pPr>
      <w:r>
        <w:tab/>
        <w:t>(3)</w:t>
      </w:r>
      <w:r>
        <w:tab/>
        <w:t>If there is a safety and health representative for a designated work group having a group member likely to be affected by the matter the subject of the inspection, the OHS inspector must afford the safety and health representative a reasonable opportunity to consult on the matter the subject of the inspection.</w:t>
      </w:r>
    </w:p>
    <w:p>
      <w:pPr>
        <w:pStyle w:val="yFootnotesection"/>
        <w:rPr>
          <w:ins w:id="2964" w:author="svcMRProcess" w:date="2020-02-19T21:14:00Z"/>
        </w:rPr>
      </w:pPr>
      <w:ins w:id="2965" w:author="svcMRProcess" w:date="2020-02-19T21:14:00Z">
        <w:r>
          <w:tab/>
          <w:t>[Clause 49 inserted by No. 13 of 2005 s. 47.]</w:t>
        </w:r>
      </w:ins>
    </w:p>
    <w:p>
      <w:pPr>
        <w:pStyle w:val="yHeading5"/>
      </w:pPr>
      <w:bookmarkStart w:id="2966" w:name="_Toc170190811"/>
      <w:r>
        <w:rPr>
          <w:rStyle w:val="CharSClsNo"/>
        </w:rPr>
        <w:t>50</w:t>
      </w:r>
      <w:r>
        <w:t>.</w:t>
      </w:r>
      <w:r>
        <w:rPr>
          <w:b w:val="0"/>
        </w:rPr>
        <w:tab/>
      </w:r>
      <w:r>
        <w:t>Powers of entry and search — regulated business premises (other than facilities)</w:t>
      </w:r>
      <w:bookmarkEnd w:id="2966"/>
    </w:p>
    <w:p>
      <w:pPr>
        <w:pStyle w:val="ySubsection"/>
      </w:pPr>
      <w:r>
        <w:tab/>
        <w:t>(1)</w:t>
      </w:r>
      <w:r>
        <w:tab/>
        <w:t xml:space="preserve">An OHS inspector may, for the purposes of an inspection — </w:t>
      </w:r>
    </w:p>
    <w:p>
      <w:pPr>
        <w:pStyle w:val="yIndenta"/>
      </w:pPr>
      <w:r>
        <w:tab/>
        <w:t>(a)</w:t>
      </w:r>
      <w:r>
        <w:tab/>
        <w:t>at any reasonable time, enter any regulated business premises (other than a facility)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pPr>
      <w:r>
        <w:tab/>
        <w:t>(2)</w:t>
      </w:r>
      <w:r>
        <w:tab/>
        <w:t xml:space="preserve">Immediately on entering premises referred to in subclause (1), an OHS inspector must take reasonable steps to notify the purpose of the entry to the occupier of those premises, and must, on being requested to do so by the occupier, produce for inspection by the occupier — </w:t>
      </w:r>
    </w:p>
    <w:p>
      <w:pPr>
        <w:pStyle w:val="yIndenta"/>
      </w:pPr>
      <w:r>
        <w:tab/>
        <w:t>(a)</w:t>
      </w:r>
      <w:r>
        <w:tab/>
        <w:t xml:space="preserve">the OHS inspector’s identity card; </w:t>
      </w:r>
    </w:p>
    <w:p>
      <w:pPr>
        <w:pStyle w:val="yIndenta"/>
      </w:pPr>
      <w:r>
        <w:tab/>
        <w:t>(b)</w:t>
      </w:r>
      <w:r>
        <w:tab/>
        <w:t>a copy of the Safety Authority’s written direction (if any) to conduct the inspection; and</w:t>
      </w:r>
    </w:p>
    <w:p>
      <w:pPr>
        <w:pStyle w:val="yIndenta"/>
      </w:pPr>
      <w:r>
        <w:tab/>
        <w:t>(c)</w:t>
      </w:r>
      <w:r>
        <w:tab/>
        <w:t>a copy of the restrictions (if any) imposed on the powers of the OHS inspector under clause 47(3).</w:t>
      </w:r>
    </w:p>
    <w:p>
      <w:pPr>
        <w:pStyle w:val="yFootnotesection"/>
        <w:rPr>
          <w:ins w:id="2967" w:author="svcMRProcess" w:date="2020-02-19T21:14:00Z"/>
        </w:rPr>
      </w:pPr>
      <w:ins w:id="2968" w:author="svcMRProcess" w:date="2020-02-19T21:14:00Z">
        <w:r>
          <w:tab/>
          <w:t>[Clause 50 inserted by No. 13 of 2005 s. 47.]</w:t>
        </w:r>
      </w:ins>
    </w:p>
    <w:p>
      <w:pPr>
        <w:pStyle w:val="yHeading5"/>
      </w:pPr>
      <w:bookmarkStart w:id="2969" w:name="_Toc170190812"/>
      <w:r>
        <w:rPr>
          <w:rStyle w:val="CharSClsNo"/>
        </w:rPr>
        <w:t>51</w:t>
      </w:r>
      <w:r>
        <w:t>.</w:t>
      </w:r>
      <w:r>
        <w:rPr>
          <w:b w:val="0"/>
        </w:rPr>
        <w:tab/>
      </w:r>
      <w:r>
        <w:t>Powers of entry and search — premises (other than regulated business premises)</w:t>
      </w:r>
      <w:bookmarkEnd w:id="2969"/>
    </w:p>
    <w:p>
      <w:pPr>
        <w:pStyle w:val="ySubsection"/>
      </w:pPr>
      <w:r>
        <w:tab/>
        <w:t>(1)</w:t>
      </w:r>
      <w:r>
        <w:tab/>
        <w:t xml:space="preserve">An OHS inspector may, for the purposes of an inspection — </w:t>
      </w:r>
    </w:p>
    <w:p>
      <w:pPr>
        <w:pStyle w:val="yIndenta"/>
      </w:pPr>
      <w:r>
        <w:tab/>
        <w:t>(a)</w:t>
      </w:r>
      <w:r>
        <w:tab/>
        <w:t>enter any premises (other than regulated business premises)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pPr>
      <w:r>
        <w:tab/>
        <w:t>(2)</w:t>
      </w:r>
      <w:r>
        <w:tab/>
        <w:t xml:space="preserve">An OHS inspector may exercise the powers referred to in subclause (1) to enter premises only — </w:t>
      </w:r>
    </w:p>
    <w:p>
      <w:pPr>
        <w:pStyle w:val="yIndenta"/>
      </w:pPr>
      <w:r>
        <w:tab/>
        <w:t>(a)</w:t>
      </w:r>
      <w:r>
        <w:tab/>
        <w:t xml:space="preserve">if the premises are not a residence — </w:t>
      </w:r>
    </w:p>
    <w:p>
      <w:pPr>
        <w:pStyle w:val="yIndenti0"/>
      </w:pPr>
      <w:r>
        <w:tab/>
        <w:t>(i)</w:t>
      </w:r>
      <w:r>
        <w:tab/>
        <w:t xml:space="preserve">in accordance with a warrant under clause 52; </w:t>
      </w:r>
    </w:p>
    <w:p>
      <w:pPr>
        <w:pStyle w:val="yIndenti0"/>
      </w:pPr>
      <w:r>
        <w:tab/>
        <w:t>(ii)</w:t>
      </w:r>
      <w:r>
        <w:tab/>
        <w:t xml:space="preserve">with the consent of the occupier of the premises; </w:t>
      </w:r>
    </w:p>
    <w:p>
      <w:pPr>
        <w:pStyle w:val="yIndenta"/>
      </w:pPr>
      <w:r>
        <w:tab/>
      </w:r>
      <w:r>
        <w:tab/>
        <w:t>or</w:t>
      </w:r>
    </w:p>
    <w:p>
      <w:pPr>
        <w:pStyle w:val="yIndenta"/>
      </w:pPr>
      <w:r>
        <w:tab/>
        <w:t>(b)</w:t>
      </w:r>
      <w:r>
        <w:tab/>
        <w:t>if the premises are a residence — with the consent of the occupier of the premises.</w:t>
      </w:r>
    </w:p>
    <w:p>
      <w:pPr>
        <w:pStyle w:val="ySubsection"/>
      </w:pPr>
      <w:r>
        <w:tab/>
        <w:t>(3)</w:t>
      </w:r>
      <w:r>
        <w:tab/>
        <w:t xml:space="preserve">Immediately on entering premises referred to in subclause (1), an OHS inspector must — </w:t>
      </w:r>
    </w:p>
    <w:p>
      <w:pPr>
        <w:pStyle w:val="yIndenta"/>
      </w:pPr>
      <w:r>
        <w:tab/>
        <w:t>(a)</w:t>
      </w:r>
      <w:r>
        <w:tab/>
        <w:t xml:space="preserve">take reasonable steps to notify the purpose of the entry to the occupier of those premises; </w:t>
      </w:r>
    </w:p>
    <w:p>
      <w:pPr>
        <w:pStyle w:val="yIndenta"/>
      </w:pPr>
      <w:r>
        <w:tab/>
        <w:t>(b)</w:t>
      </w:r>
      <w:r>
        <w:tab/>
        <w:t>take reasonable steps to produce, for inspection by the occupier, the OHS inspector’s identity card; and</w:t>
      </w:r>
    </w:p>
    <w:p>
      <w:pPr>
        <w:pStyle w:val="yIndenta"/>
      </w:pPr>
      <w:r>
        <w:tab/>
        <w:t>(c)</w:t>
      </w:r>
      <w:r>
        <w:tab/>
        <w:t xml:space="preserve">on being requested to do so by the occupier, produce, for inspection by the occupier — </w:t>
      </w:r>
    </w:p>
    <w:p>
      <w:pPr>
        <w:pStyle w:val="yIndenti0"/>
      </w:pPr>
      <w:r>
        <w:tab/>
        <w:t>(i)</w:t>
      </w:r>
      <w:r>
        <w:tab/>
        <w:t>a copy of the Safety Authority’s written direction (if any) to conduct the inspection; and</w:t>
      </w:r>
    </w:p>
    <w:p>
      <w:pPr>
        <w:pStyle w:val="yIndenti0"/>
      </w:pPr>
      <w:r>
        <w:tab/>
        <w:t>(ii)</w:t>
      </w:r>
      <w:r>
        <w:tab/>
        <w:t>a copy of the restrictions (if any) imposed on the powers of the OHS inspector under clause 47(3).</w:t>
      </w:r>
    </w:p>
    <w:p>
      <w:pPr>
        <w:pStyle w:val="ySubsection"/>
      </w:pPr>
      <w:r>
        <w:tab/>
        <w:t>(4)</w:t>
      </w:r>
      <w:r>
        <w:tab/>
        <w:t xml:space="preserve">If — </w:t>
      </w:r>
    </w:p>
    <w:p>
      <w:pPr>
        <w:pStyle w:val="yIndenta"/>
      </w:pPr>
      <w:r>
        <w:tab/>
        <w:t>(a)</w:t>
      </w:r>
      <w:r>
        <w:tab/>
        <w:t>an OHS inspector enters premises in accordance with a warrant under clause 52; and</w:t>
      </w:r>
    </w:p>
    <w:p>
      <w:pPr>
        <w:pStyle w:val="yIndenta"/>
      </w:pPr>
      <w:r>
        <w:tab/>
        <w:t>(b)</w:t>
      </w:r>
      <w:r>
        <w:tab/>
        <w:t>the occupier of the premises is present at the premises,</w:t>
      </w:r>
    </w:p>
    <w:p>
      <w:pPr>
        <w:pStyle w:val="ySubsection"/>
      </w:pPr>
      <w:r>
        <w:tab/>
      </w:r>
      <w:r>
        <w:tab/>
        <w:t>the OHS inspector must make a copy of the warrant available to the occupier.</w:t>
      </w:r>
    </w:p>
    <w:p>
      <w:pPr>
        <w:pStyle w:val="ySubsection"/>
      </w:pPr>
      <w:r>
        <w:tab/>
        <w:t>(5)</w:t>
      </w:r>
      <w:r>
        <w:tab/>
        <w:t xml:space="preserve">Before obtaining the consent of a person as mentioned in subclause (2)(a) or (b), an OHS inspector must inform the person that — </w:t>
      </w:r>
    </w:p>
    <w:p>
      <w:pPr>
        <w:pStyle w:val="yIndenta"/>
      </w:pPr>
      <w:r>
        <w:tab/>
        <w:t>(a)</w:t>
      </w:r>
      <w:r>
        <w:tab/>
        <w:t>the person may refuse consent; and</w:t>
      </w:r>
    </w:p>
    <w:p>
      <w:pPr>
        <w:pStyle w:val="yIndenta"/>
      </w:pPr>
      <w:r>
        <w:tab/>
        <w:t>(b)</w:t>
      </w:r>
      <w:r>
        <w:tab/>
        <w:t>the consent may be withdrawn.</w:t>
      </w:r>
    </w:p>
    <w:p>
      <w:pPr>
        <w:pStyle w:val="ySubsection"/>
      </w:pPr>
      <w:r>
        <w:tab/>
        <w:t>(6)</w:t>
      </w:r>
      <w:r>
        <w:tab/>
        <w:t>The consent of a person is not effective for the purposes of subclause (2) unless the consent is voluntary.</w:t>
      </w:r>
    </w:p>
    <w:p>
      <w:pPr>
        <w:pStyle w:val="yFootnotesection"/>
        <w:rPr>
          <w:ins w:id="2970" w:author="svcMRProcess" w:date="2020-02-19T21:14:00Z"/>
        </w:rPr>
      </w:pPr>
      <w:ins w:id="2971" w:author="svcMRProcess" w:date="2020-02-19T21:14:00Z">
        <w:r>
          <w:tab/>
          <w:t>[Clause 51 inserted by No. 13 of 2005 s. 47.]</w:t>
        </w:r>
      </w:ins>
    </w:p>
    <w:p>
      <w:pPr>
        <w:pStyle w:val="yHeading5"/>
      </w:pPr>
      <w:bookmarkStart w:id="2972" w:name="_Toc170190813"/>
      <w:r>
        <w:rPr>
          <w:rStyle w:val="CharSClsNo"/>
        </w:rPr>
        <w:t>52</w:t>
      </w:r>
      <w:r>
        <w:t>.</w:t>
      </w:r>
      <w:r>
        <w:rPr>
          <w:b w:val="0"/>
        </w:rPr>
        <w:tab/>
      </w:r>
      <w:r>
        <w:t>Warrant to enter premises (other than regulated business premises)</w:t>
      </w:r>
      <w:bookmarkEnd w:id="2972"/>
    </w:p>
    <w:p>
      <w:pPr>
        <w:pStyle w:val="ySubsection"/>
      </w:pPr>
      <w:r>
        <w:tab/>
        <w:t>(1)</w:t>
      </w:r>
      <w:r>
        <w:tab/>
        <w:t>An OHS inspector may apply to a magistrate for a warrant authorising the inspector, with any assistance as the inspector thinks necessary, to exercise the powers referred to in clause 51(1) in relation to particular premises (other than a residence).</w:t>
      </w:r>
    </w:p>
    <w:p>
      <w:pPr>
        <w:pStyle w:val="ySubsection"/>
      </w:pPr>
      <w:r>
        <w:tab/>
        <w:t>(2)</w:t>
      </w:r>
      <w:r>
        <w:tab/>
        <w:t>The application must be supported by evidence on oath (whether oral or by affidavit) that sets out the grounds on which the inspector is applying for the warrant.</w:t>
      </w:r>
    </w:p>
    <w:p>
      <w:pPr>
        <w:pStyle w:val="ySubsection"/>
      </w:pPr>
      <w:r>
        <w:tab/>
        <w:t>(3)</w:t>
      </w:r>
      <w:r>
        <w:tab/>
        <w:t>If the magistrate is satisfied that there are reasonable grounds for issuing the warrant, the magistrate may issue the warrant.</w:t>
      </w:r>
    </w:p>
    <w:p>
      <w:pPr>
        <w:pStyle w:val="ySubsection"/>
      </w:pPr>
      <w:r>
        <w:tab/>
        <w:t>(4)</w:t>
      </w:r>
      <w:r>
        <w:tab/>
        <w:t xml:space="preserve">A warrant issued under subclause (3) must state — </w:t>
      </w:r>
    </w:p>
    <w:p>
      <w:pPr>
        <w:pStyle w:val="yIndenta"/>
      </w:pPr>
      <w:r>
        <w:tab/>
        <w:t>(a)</w:t>
      </w:r>
      <w:r>
        <w:tab/>
        <w:t xml:space="preserve">the name of the inspector; </w:t>
      </w:r>
    </w:p>
    <w:p>
      <w:pPr>
        <w:pStyle w:val="yIndenta"/>
      </w:pPr>
      <w:r>
        <w:tab/>
        <w:t>(b)</w:t>
      </w:r>
      <w:r>
        <w:tab/>
        <w:t xml:space="preserve">whether the inspection may be carried out at any time or only during specified hours of the day; </w:t>
      </w:r>
    </w:p>
    <w:p>
      <w:pPr>
        <w:pStyle w:val="yIndenta"/>
      </w:pPr>
      <w:r>
        <w:tab/>
        <w:t>(c)</w:t>
      </w:r>
      <w:r>
        <w:tab/>
        <w:t>the day on which the warrant ceases to have effect; and</w:t>
      </w:r>
    </w:p>
    <w:p>
      <w:pPr>
        <w:pStyle w:val="yIndenta"/>
      </w:pPr>
      <w:r>
        <w:tab/>
        <w:t>(d)</w:t>
      </w:r>
      <w:r>
        <w:tab/>
        <w:t>the purposes for which the warrant is issued.</w:t>
      </w:r>
    </w:p>
    <w:p>
      <w:pPr>
        <w:pStyle w:val="ySubsection"/>
      </w:pPr>
      <w:r>
        <w:tab/>
        <w:t>(5)</w:t>
      </w:r>
      <w:r>
        <w:tab/>
        <w:t>The day specified under subclause (4)(c) is not to be more than 7 days after the day on which the warrant is issued.</w:t>
      </w:r>
    </w:p>
    <w:p>
      <w:pPr>
        <w:pStyle w:val="ySubsection"/>
      </w:pPr>
      <w:r>
        <w:tab/>
        <w:t>(6)</w:t>
      </w:r>
      <w:r>
        <w:tab/>
        <w:t>The purposes specified under subclause (4)(d) must include the identification of the premises in relation to which the warrant is issued.</w:t>
      </w:r>
    </w:p>
    <w:p>
      <w:pPr>
        <w:pStyle w:val="yFootnotesection"/>
        <w:rPr>
          <w:ins w:id="2973" w:author="svcMRProcess" w:date="2020-02-19T21:14:00Z"/>
        </w:rPr>
      </w:pPr>
      <w:ins w:id="2974" w:author="svcMRProcess" w:date="2020-02-19T21:14:00Z">
        <w:r>
          <w:tab/>
          <w:t>[Clause 52 inserted by No. 13 of 2005 s. 47.]</w:t>
        </w:r>
      </w:ins>
    </w:p>
    <w:p>
      <w:pPr>
        <w:pStyle w:val="yHeading5"/>
      </w:pPr>
      <w:bookmarkStart w:id="2975" w:name="_Toc170190814"/>
      <w:r>
        <w:rPr>
          <w:rStyle w:val="CharSClsNo"/>
        </w:rPr>
        <w:t>53</w:t>
      </w:r>
      <w:r>
        <w:t>.</w:t>
      </w:r>
      <w:r>
        <w:rPr>
          <w:b w:val="0"/>
        </w:rPr>
        <w:tab/>
      </w:r>
      <w:r>
        <w:t>Obstructing or hindering OHS inspector</w:t>
      </w:r>
      <w:bookmarkEnd w:id="2975"/>
    </w:p>
    <w:p>
      <w:pPr>
        <w:pStyle w:val="ySubsection"/>
      </w:pPr>
      <w:r>
        <w:tab/>
      </w:r>
      <w:r>
        <w:tab/>
        <w:t>A person must not, without reasonable excuse, obstruct or hinder an OHS inspector in the exercise of an OHS inspector’s powers under clause 49, 50 or 51.</w:t>
      </w:r>
    </w:p>
    <w:p>
      <w:pPr>
        <w:pStyle w:val="yPenstart"/>
      </w:pPr>
      <w:r>
        <w:tab/>
        <w:t>Penalty:</w:t>
      </w:r>
      <w:del w:id="2976" w:author="svcMRProcess" w:date="2020-02-19T21:14:00Z">
        <w:r>
          <w:tab/>
        </w:r>
      </w:del>
      <w:ins w:id="2977" w:author="svcMRProcess" w:date="2020-02-19T21:14:00Z">
        <w:r>
          <w:t xml:space="preserve"> </w:t>
        </w:r>
      </w:ins>
      <w:r>
        <w:t>$5 500.</w:t>
      </w:r>
    </w:p>
    <w:p>
      <w:pPr>
        <w:pStyle w:val="yFootnotesection"/>
        <w:rPr>
          <w:ins w:id="2978" w:author="svcMRProcess" w:date="2020-02-19T21:14:00Z"/>
        </w:rPr>
      </w:pPr>
      <w:ins w:id="2979" w:author="svcMRProcess" w:date="2020-02-19T21:14:00Z">
        <w:r>
          <w:tab/>
          <w:t>[Clause 53 inserted by No. 13 of 2005 s. 47.]</w:t>
        </w:r>
      </w:ins>
    </w:p>
    <w:p>
      <w:pPr>
        <w:pStyle w:val="yHeading5"/>
      </w:pPr>
      <w:bookmarkStart w:id="2980" w:name="_Toc170190815"/>
      <w:r>
        <w:rPr>
          <w:rStyle w:val="CharSClsNo"/>
        </w:rPr>
        <w:t>54</w:t>
      </w:r>
      <w:r>
        <w:t>.</w:t>
      </w:r>
      <w:r>
        <w:rPr>
          <w:b w:val="0"/>
        </w:rPr>
        <w:tab/>
      </w:r>
      <w:r>
        <w:t>Power to require assistance and information</w:t>
      </w:r>
      <w:bookmarkEnd w:id="2980"/>
    </w:p>
    <w:p>
      <w:pPr>
        <w:pStyle w:val="ySubsection"/>
      </w:pPr>
      <w:r>
        <w:tab/>
        <w:t>(1)</w:t>
      </w:r>
      <w:r>
        <w:tab/>
        <w:t xml:space="preserve">An OHS inspector may, to the extent that it is reasonably necessary to do so in connection with the conduct of an inspection, require — </w:t>
      </w:r>
    </w:p>
    <w:p>
      <w:pPr>
        <w:pStyle w:val="yIndenta"/>
      </w:pPr>
      <w:r>
        <w:tab/>
        <w:t>(a)</w:t>
      </w:r>
      <w:r>
        <w:tab/>
        <w:t xml:space="preserve">the operator of a facility; </w:t>
      </w:r>
    </w:p>
    <w:p>
      <w:pPr>
        <w:pStyle w:val="yIndenta"/>
      </w:pPr>
      <w:r>
        <w:tab/>
        <w:t>(b)</w:t>
      </w:r>
      <w:r>
        <w:tab/>
        <w:t xml:space="preserve">the person in charge of operations at a workplace in relation to a facility; </w:t>
      </w:r>
    </w:p>
    <w:p>
      <w:pPr>
        <w:pStyle w:val="yIndenta"/>
      </w:pPr>
      <w:r>
        <w:tab/>
        <w:t>(c)</w:t>
      </w:r>
      <w:r>
        <w:tab/>
        <w:t>a member of the workforce at a facility; or</w:t>
      </w:r>
    </w:p>
    <w:p>
      <w:pPr>
        <w:pStyle w:val="yIndenta"/>
      </w:pPr>
      <w:r>
        <w:tab/>
        <w:t>(d)</w:t>
      </w:r>
      <w:r>
        <w:tab/>
        <w:t>any person representing a person referred to in paragraph (a) or (b),</w:t>
      </w:r>
    </w:p>
    <w:p>
      <w:pPr>
        <w:pStyle w:val="ySubsection"/>
      </w:pPr>
      <w:r>
        <w:tab/>
      </w:r>
      <w:r>
        <w:tab/>
        <w:t xml:space="preserve">to provide the OHS inspector with reasonable assistance and amenities — </w:t>
      </w:r>
    </w:p>
    <w:p>
      <w:pPr>
        <w:pStyle w:val="yIndenta"/>
      </w:pPr>
      <w:r>
        <w:tab/>
        <w:t>(e)</w:t>
      </w:r>
      <w:r>
        <w:tab/>
        <w:t>that is or are reasonably connected with the conduct of the inspection at or near the facility; or</w:t>
      </w:r>
    </w:p>
    <w:p>
      <w:pPr>
        <w:pStyle w:val="yIndenta"/>
      </w:pPr>
      <w:r>
        <w:tab/>
        <w:t>(f)</w:t>
      </w:r>
      <w:r>
        <w:tab/>
        <w:t>for the effective exercise of the OHS inspector’s powers under this Schedule in connection with the conduct of the inspection at or near the facility.</w:t>
      </w:r>
    </w:p>
    <w:p>
      <w:pPr>
        <w:pStyle w:val="ySubsection"/>
      </w:pPr>
      <w:r>
        <w:tab/>
        <w:t>(2)</w:t>
      </w:r>
      <w:r>
        <w:tab/>
        <w:t xml:space="preserve">The reasonable assistance referred to in subclause (1) includes, so far as the operator of the facility is concerned — </w:t>
      </w:r>
    </w:p>
    <w:p>
      <w:pPr>
        <w:pStyle w:val="yIndenta"/>
      </w:pPr>
      <w:r>
        <w:tab/>
        <w:t>(a)</w:t>
      </w:r>
      <w:r>
        <w:tab/>
        <w:t>appropriate transport to or from the facility for the OHS inspector and for any equipment required by the OHS inspector, or any article of which the OHS inspector has taken possession; and</w:t>
      </w:r>
    </w:p>
    <w:p>
      <w:pPr>
        <w:pStyle w:val="yIndenta"/>
      </w:pPr>
      <w:r>
        <w:tab/>
        <w:t>(b)</w:t>
      </w:r>
      <w:r>
        <w:tab/>
        <w:t>reasonable accommodation and means of subsistence while the OHS inspector is at the facility.</w:t>
      </w:r>
    </w:p>
    <w:p>
      <w:pPr>
        <w:pStyle w:val="ySubsection"/>
      </w:pPr>
      <w:r>
        <w:tab/>
        <w:t>(3)</w:t>
      </w:r>
      <w:r>
        <w:tab/>
        <w:t>A person must not fail, without reasonable excuse, to comply with a requirement under this clause.</w:t>
      </w:r>
    </w:p>
    <w:p>
      <w:pPr>
        <w:pStyle w:val="yPenstart"/>
      </w:pPr>
      <w:r>
        <w:tab/>
        <w:t>Penalty:</w:t>
      </w:r>
      <w:del w:id="2981" w:author="svcMRProcess" w:date="2020-02-19T21:14:00Z">
        <w:r>
          <w:tab/>
        </w:r>
      </w:del>
      <w:ins w:id="2982" w:author="svcMRProcess" w:date="2020-02-19T21:14:00Z">
        <w:r>
          <w:t xml:space="preserve"> </w:t>
        </w:r>
      </w:ins>
      <w:r>
        <w:t>$3 300 or imprisonment for 6 months or both.</w:t>
      </w:r>
    </w:p>
    <w:p>
      <w:pPr>
        <w:pStyle w:val="yFootnotesection"/>
        <w:rPr>
          <w:ins w:id="2983" w:author="svcMRProcess" w:date="2020-02-19T21:14:00Z"/>
        </w:rPr>
      </w:pPr>
      <w:ins w:id="2984" w:author="svcMRProcess" w:date="2020-02-19T21:14:00Z">
        <w:r>
          <w:tab/>
          <w:t>[Clause 54 inserted by No. 13 of 2005 s. 47.]</w:t>
        </w:r>
      </w:ins>
    </w:p>
    <w:p>
      <w:pPr>
        <w:pStyle w:val="yHeading5"/>
      </w:pPr>
      <w:bookmarkStart w:id="2985" w:name="_Toc170190816"/>
      <w:r>
        <w:rPr>
          <w:rStyle w:val="CharSClsNo"/>
        </w:rPr>
        <w:t>55</w:t>
      </w:r>
      <w:r>
        <w:t>.</w:t>
      </w:r>
      <w:r>
        <w:rPr>
          <w:b w:val="0"/>
        </w:rPr>
        <w:tab/>
      </w:r>
      <w:r>
        <w:t>Power to require the answering of questions and the production of documents or articles</w:t>
      </w:r>
      <w:bookmarkEnd w:id="2985"/>
    </w:p>
    <w:p>
      <w:pPr>
        <w:pStyle w:val="ySubsection"/>
      </w:pPr>
      <w:r>
        <w:tab/>
        <w:t>(1)</w:t>
      </w:r>
      <w:r>
        <w:tab/>
        <w:t xml:space="preserve">If — </w:t>
      </w:r>
    </w:p>
    <w:p>
      <w:pPr>
        <w:pStyle w:val="yIndenta"/>
      </w:pPr>
      <w:r>
        <w:tab/>
        <w:t>(a)</w:t>
      </w:r>
      <w:r>
        <w:tab/>
        <w:t>an OHS inspector believes on reasonable grounds that a person is capable of answering a question that is reasonably connected with the conduct of an inspection; and</w:t>
      </w:r>
    </w:p>
    <w:p>
      <w:pPr>
        <w:pStyle w:val="yIndenta"/>
      </w:pPr>
      <w:r>
        <w:tab/>
        <w:t>(b)</w:t>
      </w:r>
      <w:r>
        <w:tab/>
        <w:t xml:space="preserve">the person is — </w:t>
      </w:r>
    </w:p>
    <w:p>
      <w:pPr>
        <w:pStyle w:val="yIndenti0"/>
      </w:pPr>
      <w:r>
        <w:tab/>
        <w:t>(i)</w:t>
      </w:r>
      <w:r>
        <w:tab/>
        <w:t xml:space="preserve">the operator of a facility; </w:t>
      </w:r>
    </w:p>
    <w:p>
      <w:pPr>
        <w:pStyle w:val="yIndenti0"/>
      </w:pPr>
      <w:r>
        <w:tab/>
        <w:t>(ii)</w:t>
      </w:r>
      <w:r>
        <w:tab/>
        <w:t xml:space="preserve">the person in charge of operations at a workplace in relation to a facility; </w:t>
      </w:r>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Indenta"/>
      </w:pPr>
      <w:r>
        <w:tab/>
      </w:r>
      <w:r>
        <w:tab/>
        <w:t>the OHS inspector may, to the extent that it is reasonably necessary to do so in connection with the conduct of the inspection, require the person to answer the question put by the OHS inspector.</w:t>
      </w:r>
    </w:p>
    <w:p>
      <w:pPr>
        <w:pStyle w:val="ySubsection"/>
      </w:pPr>
      <w:r>
        <w:tab/>
        <w:t>(2)</w:t>
      </w:r>
      <w:r>
        <w:tab/>
        <w:t xml:space="preserve">If, at the time when a requirement under subclause (1) is imposed on a person, the person is not physically present on regulated business premises, the person is not obliged to comply with the requirement unless the requirement — </w:t>
      </w:r>
    </w:p>
    <w:p>
      <w:pPr>
        <w:pStyle w:val="yIndenta"/>
      </w:pPr>
      <w:r>
        <w:tab/>
        <w:t>(a)</w:t>
      </w:r>
      <w:r>
        <w:tab/>
        <w:t xml:space="preserve">is in writing; </w:t>
      </w:r>
    </w:p>
    <w:p>
      <w:pPr>
        <w:pStyle w:val="yIndenta"/>
      </w:pPr>
      <w:r>
        <w:tab/>
        <w:t>(b)</w:t>
      </w:r>
      <w:r>
        <w:tab/>
        <w:t>specifies the day on or before which the question is to be answered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(3)</w:t>
      </w:r>
      <w:r>
        <w:tab/>
        <w:t xml:space="preserve">If — </w:t>
      </w:r>
    </w:p>
    <w:p>
      <w:pPr>
        <w:pStyle w:val="yIndenta"/>
      </w:pPr>
      <w:r>
        <w:tab/>
        <w:t>(a)</w:t>
      </w:r>
      <w:r>
        <w:tab/>
        <w:t>an OHS inspector believes on reasonable grounds that a person is capable of producing a document or article that is reasonably connected with the conduct of an inspection; and</w:t>
      </w:r>
    </w:p>
    <w:p>
      <w:pPr>
        <w:pStyle w:val="yIndenta"/>
      </w:pPr>
      <w:r>
        <w:tab/>
        <w:t>(b)</w:t>
      </w:r>
      <w:r>
        <w:tab/>
        <w:t xml:space="preserve">the person is — </w:t>
      </w:r>
    </w:p>
    <w:p>
      <w:pPr>
        <w:pStyle w:val="yIndenti0"/>
      </w:pPr>
      <w:r>
        <w:tab/>
        <w:t>(i)</w:t>
      </w:r>
      <w:r>
        <w:tab/>
        <w:t xml:space="preserve">the operator of a facility; </w:t>
      </w:r>
    </w:p>
    <w:p>
      <w:pPr>
        <w:pStyle w:val="yIndenti0"/>
      </w:pPr>
      <w:r>
        <w:tab/>
        <w:t>(ii)</w:t>
      </w:r>
      <w:r>
        <w:tab/>
        <w:t xml:space="preserve">the person in charge of operations at a workplace in relation to a facility; </w:t>
      </w:r>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Subsection"/>
      </w:pPr>
      <w:r>
        <w:tab/>
      </w:r>
      <w:r>
        <w:tab/>
        <w:t>the OHS inspector may, to the extent that it is reasonably necessary to do so in connection with the conduct of the inspection, require the person to produce the document or article.</w:t>
      </w:r>
    </w:p>
    <w:p>
      <w:pPr>
        <w:pStyle w:val="ySubsection"/>
      </w:pPr>
      <w:r>
        <w:tab/>
        <w:t>(4)</w:t>
      </w:r>
      <w:r>
        <w:tab/>
        <w:t xml:space="preserve">If, at the time when a requirement under subclause (3) is imposed on a person, the person is not physically present on regulated business premises, the person is not obliged to comply with the requirement unless the requirement — </w:t>
      </w:r>
    </w:p>
    <w:p>
      <w:pPr>
        <w:pStyle w:val="yIndenta"/>
      </w:pPr>
      <w:r>
        <w:tab/>
        <w:t>(a)</w:t>
      </w:r>
      <w:r>
        <w:tab/>
        <w:t xml:space="preserve">is in writing; </w:t>
      </w:r>
    </w:p>
    <w:p>
      <w:pPr>
        <w:pStyle w:val="yIndenta"/>
      </w:pPr>
      <w:r>
        <w:tab/>
        <w:t>(b)</w:t>
      </w:r>
      <w:r>
        <w:tab/>
        <w:t>specifies the day on or before which the document or article is to be produced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(5)</w:t>
      </w:r>
      <w:r>
        <w:tab/>
        <w:t xml:space="preserve">A person must not — </w:t>
      </w:r>
    </w:p>
    <w:p>
      <w:pPr>
        <w:pStyle w:val="yIndenta"/>
      </w:pPr>
      <w:r>
        <w:tab/>
        <w:t>(a)</w:t>
      </w:r>
      <w:r>
        <w:tab/>
        <w:t>fail, without reasonable excuse, to comply with a requirement under this clause; or</w:t>
      </w:r>
    </w:p>
    <w:p>
      <w:pPr>
        <w:pStyle w:val="yIndenta"/>
      </w:pPr>
      <w:r>
        <w:tab/>
        <w:t>(b)</w:t>
      </w:r>
      <w:r>
        <w:tab/>
        <w:t>in purported compliance with a requirement under this clause, give information that is false or misleading in a material particular.</w:t>
      </w:r>
    </w:p>
    <w:p>
      <w:pPr>
        <w:pStyle w:val="yPenstart"/>
      </w:pPr>
      <w:r>
        <w:tab/>
        <w:t>Penalty:</w:t>
      </w:r>
      <w:del w:id="2986" w:author="svcMRProcess" w:date="2020-02-19T21:14:00Z">
        <w:r>
          <w:tab/>
        </w:r>
      </w:del>
      <w:ins w:id="2987" w:author="svcMRProcess" w:date="2020-02-19T21:14:00Z">
        <w:r>
          <w:t xml:space="preserve"> </w:t>
        </w:r>
      </w:ins>
      <w:r>
        <w:t>$3 300 or imprisonment for 6 months or both.</w:t>
      </w:r>
    </w:p>
    <w:p>
      <w:pPr>
        <w:pStyle w:val="yFootnotesection"/>
        <w:rPr>
          <w:ins w:id="2988" w:author="svcMRProcess" w:date="2020-02-19T21:14:00Z"/>
        </w:rPr>
      </w:pPr>
      <w:ins w:id="2989" w:author="svcMRProcess" w:date="2020-02-19T21:14:00Z">
        <w:r>
          <w:tab/>
          <w:t>[Clause 55 inserted by No. 13 of 2005 s. 47.]</w:t>
        </w:r>
      </w:ins>
    </w:p>
    <w:p>
      <w:pPr>
        <w:pStyle w:val="yHeading5"/>
      </w:pPr>
      <w:bookmarkStart w:id="2990" w:name="_Toc170190817"/>
      <w:r>
        <w:rPr>
          <w:rStyle w:val="CharSClsNo"/>
        </w:rPr>
        <w:t>56</w:t>
      </w:r>
      <w:r>
        <w:t>.</w:t>
      </w:r>
      <w:r>
        <w:rPr>
          <w:b w:val="0"/>
        </w:rPr>
        <w:tab/>
      </w:r>
      <w:r>
        <w:t>Privilege against self</w:t>
      </w:r>
      <w:r>
        <w:noBreakHyphen/>
        <w:t>incrimination</w:t>
      </w:r>
      <w:bookmarkEnd w:id="2990"/>
    </w:p>
    <w:p>
      <w:pPr>
        <w:pStyle w:val="ySubsection"/>
      </w:pPr>
      <w:r>
        <w:tab/>
        <w:t>(1)</w:t>
      </w:r>
      <w:r>
        <w:tab/>
        <w:t>A person is not excused from answering a question or producing a document or article when required to do so under clause 55 on the ground that the answer to the question, or the production of the document or article, may tend to incriminate the person or make the person liable to a penalty.</w:t>
      </w:r>
    </w:p>
    <w:p>
      <w:pPr>
        <w:pStyle w:val="ySubsection"/>
      </w:pPr>
      <w:r>
        <w:tab/>
        <w:t>(2)</w:t>
      </w:r>
      <w:r>
        <w:tab/>
        <w:t xml:space="preserve">However — </w:t>
      </w:r>
    </w:p>
    <w:p>
      <w:pPr>
        <w:pStyle w:val="yIndenta"/>
      </w:pPr>
      <w:r>
        <w:tab/>
        <w:t>(a)</w:t>
      </w:r>
      <w:r>
        <w:tab/>
        <w:t xml:space="preserve">the answer given or document or article produced; </w:t>
      </w:r>
    </w:p>
    <w:p>
      <w:pPr>
        <w:pStyle w:val="yIndenta"/>
      </w:pPr>
      <w:r>
        <w:tab/>
        <w:t>(b)</w:t>
      </w:r>
      <w:r>
        <w:tab/>
        <w:t>answering the question or producing the document or article; or</w:t>
      </w:r>
    </w:p>
    <w:p>
      <w:pPr>
        <w:pStyle w:val="yIndenta"/>
      </w:pPr>
      <w:r>
        <w:tab/>
        <w:t>(c)</w:t>
      </w:r>
      <w:r>
        <w:tab/>
        <w:t>any information, document or thing obtained as a direct or indirect consequence of the answering of the question or the production of the document or article,</w:t>
      </w:r>
    </w:p>
    <w:p>
      <w:pPr>
        <w:pStyle w:val="ySubsection"/>
      </w:pPr>
      <w:r>
        <w:tab/>
      </w:r>
      <w:r>
        <w:tab/>
        <w:t xml:space="preserve">is not admissible in evidence against the person — </w:t>
      </w:r>
    </w:p>
    <w:p>
      <w:pPr>
        <w:pStyle w:val="yIndenta"/>
      </w:pPr>
      <w:r>
        <w:tab/>
        <w:t>(d)</w:t>
      </w:r>
      <w:r>
        <w:tab/>
        <w:t>in any civil proceedings; or</w:t>
      </w:r>
    </w:p>
    <w:p>
      <w:pPr>
        <w:pStyle w:val="yIndenta"/>
      </w:pPr>
      <w:r>
        <w:tab/>
        <w:t>(e)</w:t>
      </w:r>
      <w:r>
        <w:tab/>
        <w:t>in any criminal proceedings other than proceedings for an offence against clause 55.</w:t>
      </w:r>
    </w:p>
    <w:p>
      <w:pPr>
        <w:pStyle w:val="yFootnotesection"/>
        <w:rPr>
          <w:ins w:id="2991" w:author="svcMRProcess" w:date="2020-02-19T21:14:00Z"/>
        </w:rPr>
      </w:pPr>
      <w:ins w:id="2992" w:author="svcMRProcess" w:date="2020-02-19T21:14:00Z">
        <w:r>
          <w:tab/>
          <w:t>[Clause 56 inserted by No. 13 of 2005 s. 47.]</w:t>
        </w:r>
      </w:ins>
    </w:p>
    <w:p>
      <w:pPr>
        <w:pStyle w:val="yHeading5"/>
      </w:pPr>
      <w:bookmarkStart w:id="2993" w:name="_Toc170190818"/>
      <w:r>
        <w:rPr>
          <w:rStyle w:val="CharSClsNo"/>
        </w:rPr>
        <w:t>57</w:t>
      </w:r>
      <w:r>
        <w:t>.</w:t>
      </w:r>
      <w:r>
        <w:rPr>
          <w:b w:val="0"/>
        </w:rPr>
        <w:tab/>
      </w:r>
      <w:r>
        <w:t>Power to take possession of plant, take samples of substances etc.</w:t>
      </w:r>
      <w:bookmarkEnd w:id="2993"/>
    </w:p>
    <w:p>
      <w:pPr>
        <w:pStyle w:val="ySubsection"/>
      </w:pPr>
      <w:r>
        <w:tab/>
        <w:t>(1)</w:t>
      </w:r>
      <w:r>
        <w:tab/>
        <w:t xml:space="preserve">In conducting an inspection, an OHS inspector may, to the extent that it is reasonably necessary for the purposes of inspecting, examining, taking measurements of or conducting tests concerning, any plant, substance or thing at a facility in connection with the inspection — </w:t>
      </w:r>
    </w:p>
    <w:p>
      <w:pPr>
        <w:pStyle w:val="yIndenta"/>
      </w:pPr>
      <w:r>
        <w:tab/>
        <w:t>(a)</w:t>
      </w:r>
      <w:r>
        <w:tab/>
        <w:t>take possession of the plant, substance or thing and remove it from the facility; or</w:t>
      </w:r>
    </w:p>
    <w:p>
      <w:pPr>
        <w:pStyle w:val="yIndenta"/>
      </w:pPr>
      <w:r>
        <w:tab/>
        <w:t>(b)</w:t>
      </w:r>
      <w:r>
        <w:tab/>
        <w:t>take a sample of the substance or thing and remove that sample from the facility.</w:t>
      </w:r>
    </w:p>
    <w:p>
      <w:pPr>
        <w:pStyle w:val="ySubsection"/>
      </w:pPr>
      <w:r>
        <w:tab/>
        <w:t>(2)</w:t>
      </w:r>
      <w:r>
        <w:tab/>
        <w:t xml:space="preserve">On taking possession of plant, a substance or a thing, or taking a sample of a substance or thing, the OHS inspector must, by notice in writing, inform — </w:t>
      </w:r>
    </w:p>
    <w:p>
      <w:pPr>
        <w:pStyle w:val="yIndenta"/>
      </w:pPr>
      <w:r>
        <w:tab/>
        <w:t>(a)</w:t>
      </w:r>
      <w:r>
        <w:tab/>
        <w:t xml:space="preserve">the operator of the facility; </w:t>
      </w:r>
    </w:p>
    <w:p>
      <w:pPr>
        <w:pStyle w:val="yIndenta"/>
      </w:pPr>
      <w:r>
        <w:tab/>
        <w:t>(b)</w:t>
      </w:r>
      <w:r>
        <w:tab/>
        <w:t xml:space="preserve">if the plant, substance or thing is used for the performance of work by an employer of a member or members of the workforce at the facility other than the operator of the facility — that employer; </w:t>
      </w:r>
    </w:p>
    <w:p>
      <w:pPr>
        <w:pStyle w:val="yIndenta"/>
      </w:pPr>
      <w:r>
        <w:tab/>
        <w:t>(c)</w:t>
      </w:r>
      <w:r>
        <w:tab/>
        <w:t>if the plant, substance or thing is owned by a person other than a person mentioned in paragraph (a) or (b) — that person; and</w:t>
      </w:r>
    </w:p>
    <w:p>
      <w:pPr>
        <w:pStyle w:val="yIndenta"/>
      </w:pPr>
      <w:r>
        <w:tab/>
        <w:t>(d)</w:t>
      </w:r>
      <w:r>
        <w:tab/>
        <w:t>if there is a safety and health representative for a designated work group that includes a member of the workforce who is affected by the matter to which the inspection relates — that representative,</w:t>
      </w:r>
    </w:p>
    <w:p>
      <w:pPr>
        <w:pStyle w:val="ySubsection"/>
      </w:pPr>
      <w:r>
        <w:tab/>
      </w:r>
      <w:r>
        <w:tab/>
        <w:t>of the taking of possession or the taking of the sample, as the case may be, and the reasons for it.</w:t>
      </w:r>
    </w:p>
    <w:p>
      <w:pPr>
        <w:pStyle w:val="ySubsection"/>
      </w:pPr>
      <w:r>
        <w:tab/>
        <w:t>(3)</w:t>
      </w:r>
      <w:r>
        <w:tab/>
        <w:t>If the OHS inspector gives the notice to the operator of the facility to which the inspection relates, the operator’s representative at the facility must cause the notice to be displayed in a prominent place at the workplace from which the plant, substance or thing was removed.</w:t>
      </w:r>
    </w:p>
    <w:p>
      <w:pPr>
        <w:pStyle w:val="ySubsection"/>
      </w:pPr>
      <w:r>
        <w:tab/>
        <w:t>(4)</w:t>
      </w:r>
      <w:r>
        <w:tab/>
        <w:t xml:space="preserve">If the OHS inspector takes possession of plant, a substance or a thing at a workplace for the purpose of inspecting, examining, taking measurements of or conducting tests concerning, the plant, substance or thing, the OHS inspector must — </w:t>
      </w:r>
    </w:p>
    <w:p>
      <w:pPr>
        <w:pStyle w:val="yIndenta"/>
      </w:pPr>
      <w:r>
        <w:tab/>
        <w:t>(a)</w:t>
      </w:r>
      <w:r>
        <w:tab/>
        <w:t>ensure that the inspection, examination, measuring or testing is conducted as soon as practicable; and</w:t>
      </w:r>
    </w:p>
    <w:p>
      <w:pPr>
        <w:pStyle w:val="yIndenta"/>
      </w:pPr>
      <w:r>
        <w:tab/>
        <w:t>(b)</w:t>
      </w:r>
      <w:r>
        <w:tab/>
        <w:t>return it to the workplace as soon as practicable afterwards.</w:t>
      </w:r>
    </w:p>
    <w:p>
      <w:pPr>
        <w:pStyle w:val="ySubsection"/>
      </w:pPr>
      <w:r>
        <w:tab/>
        <w:t>(5)</w:t>
      </w:r>
      <w:r>
        <w:tab/>
        <w:t>As soon as practicable after completing any such inspection, examination, measurement or testing, the OHS inspector must give a written statement setting out the results to each person whom the OHS inspector is required to notify under subclause (2).</w:t>
      </w:r>
    </w:p>
    <w:p>
      <w:pPr>
        <w:pStyle w:val="yFootnotesection"/>
        <w:rPr>
          <w:ins w:id="2994" w:author="svcMRProcess" w:date="2020-02-19T21:14:00Z"/>
        </w:rPr>
      </w:pPr>
      <w:ins w:id="2995" w:author="svcMRProcess" w:date="2020-02-19T21:14:00Z">
        <w:r>
          <w:tab/>
          <w:t>[Clause 57 inserted by No. 13 of 2005 s. 47.]</w:t>
        </w:r>
      </w:ins>
    </w:p>
    <w:p>
      <w:pPr>
        <w:pStyle w:val="yHeading5"/>
      </w:pPr>
      <w:bookmarkStart w:id="2996" w:name="_Toc170190819"/>
      <w:r>
        <w:rPr>
          <w:rStyle w:val="CharSClsNo"/>
        </w:rPr>
        <w:t>58</w:t>
      </w:r>
      <w:r>
        <w:t>.</w:t>
      </w:r>
      <w:r>
        <w:rPr>
          <w:b w:val="0"/>
        </w:rPr>
        <w:tab/>
      </w:r>
      <w:r>
        <w:t>Power to direct that workplace etc. not be disturbed</w:t>
      </w:r>
      <w:bookmarkEnd w:id="2996"/>
    </w:p>
    <w:p>
      <w:pPr>
        <w:pStyle w:val="ySubsection"/>
      </w:pPr>
      <w:r>
        <w:tab/>
        <w:t>(1)</w:t>
      </w:r>
      <w:r>
        <w:tab/>
        <w:t xml:space="preserve">An OHS inspector may give a direction under subclause (2) if, in conducting an inspection, the OHS inspector has reasonable grounds to believe that it is reasonably necessary to do so in order to — </w:t>
      </w:r>
    </w:p>
    <w:p>
      <w:pPr>
        <w:pStyle w:val="yIndenta"/>
      </w:pPr>
      <w:r>
        <w:tab/>
        <w:t>(a)</w:t>
      </w:r>
      <w:r>
        <w:tab/>
        <w:t>remove an immediate threat to the safety or health of any person; or</w:t>
      </w:r>
    </w:p>
    <w:p>
      <w:pPr>
        <w:pStyle w:val="yIndenta"/>
      </w:pPr>
      <w:r>
        <w:tab/>
        <w:t>(b)</w:t>
      </w:r>
      <w:r>
        <w:tab/>
        <w:t>allow the inspection, examination or taking of measurements of, or conducting of tests concerning, a facility or any plant, substance or thing at the facility.</w:t>
      </w:r>
    </w:p>
    <w:p>
      <w:pPr>
        <w:pStyle w:val="ySubsection"/>
      </w:pPr>
      <w:r>
        <w:tab/>
        <w:t>(2)</w:t>
      </w:r>
      <w:r>
        <w:tab/>
        <w:t xml:space="preserve">If subclause (1) applies, the OHS inspector may direct, by written notice given to the operator’s representative at the facility, that the operator must ensure that — </w:t>
      </w:r>
    </w:p>
    <w:p>
      <w:pPr>
        <w:pStyle w:val="yIndenta"/>
      </w:pPr>
      <w:r>
        <w:tab/>
        <w:t>(a)</w:t>
      </w:r>
      <w:r>
        <w:tab/>
        <w:t>a particular workplace; or</w:t>
      </w:r>
    </w:p>
    <w:p>
      <w:pPr>
        <w:pStyle w:val="yIndenta"/>
      </w:pPr>
      <w:r>
        <w:tab/>
        <w:t>(b)</w:t>
      </w:r>
      <w:r>
        <w:tab/>
        <w:t>particular plant, or a particular substance or thing,</w:t>
      </w:r>
    </w:p>
    <w:p>
      <w:pPr>
        <w:pStyle w:val="ySubsection"/>
      </w:pPr>
      <w:r>
        <w:tab/>
      </w:r>
      <w:r>
        <w:tab/>
        <w:t>not be disturbed for a period specified in the direction.</w:t>
      </w:r>
    </w:p>
    <w:p>
      <w:pPr>
        <w:pStyle w:val="ySubsection"/>
      </w:pPr>
      <w:r>
        <w:tab/>
        <w:t>(3)</w:t>
      </w:r>
      <w:r>
        <w:tab/>
        <w:t>The period specified in the direction must be a period that the OHS inspector has reasonable grounds to believe is necessary in order to remove the threat or to allow the inspection, examination, measuring or testing to take place.</w:t>
      </w:r>
    </w:p>
    <w:p>
      <w:pPr>
        <w:pStyle w:val="ySubsection"/>
      </w:pPr>
      <w:r>
        <w:tab/>
        <w:t>(4)</w:t>
      </w:r>
      <w:r>
        <w:tab/>
        <w:t>The direction may be renewed by another direction in the same terms.</w:t>
      </w:r>
    </w:p>
    <w:p>
      <w:pPr>
        <w:pStyle w:val="ySubsection"/>
      </w:pPr>
      <w:r>
        <w:tab/>
        <w:t>(5)</w:t>
      </w:r>
      <w:r>
        <w:tab/>
        <w:t xml:space="preserve">If an OHS inspector gives a notice to the operator’s representative under subclause (2), the operator’s representative must cause the notice to be displayed in a prominent place at the workplace — </w:t>
      </w:r>
    </w:p>
    <w:p>
      <w:pPr>
        <w:pStyle w:val="yIndenta"/>
      </w:pPr>
      <w:r>
        <w:tab/>
        <w:t>(a)</w:t>
      </w:r>
      <w:r>
        <w:tab/>
        <w:t>that is to be left undisturbed; or</w:t>
      </w:r>
    </w:p>
    <w:p>
      <w:pPr>
        <w:pStyle w:val="yIndenta"/>
      </w:pPr>
      <w:r>
        <w:tab/>
        <w:t>(b)</w:t>
      </w:r>
      <w:r>
        <w:tab/>
        <w:t>where the plant, substance or thing that is to be left undisturbed is located.</w:t>
      </w:r>
    </w:p>
    <w:p>
      <w:pPr>
        <w:pStyle w:val="ySubsection"/>
      </w:pPr>
      <w:r>
        <w:tab/>
        <w:t>(6)</w:t>
      </w:r>
      <w:r>
        <w:tab/>
        <w:t xml:space="preserve">As soon as practicable after giving the direction, the OHS inspector must take reasonable steps to notify — </w:t>
      </w:r>
    </w:p>
    <w:p>
      <w:pPr>
        <w:pStyle w:val="yIndenta"/>
      </w:pPr>
      <w:r>
        <w:tab/>
        <w:t>(a)</w:t>
      </w:r>
      <w:r>
        <w:tab/>
        <w:t>if the workplace, plant, substance or thing to which the direction relates is owned by a person other than the operator of the facility — that person; and</w:t>
      </w:r>
    </w:p>
    <w:p>
      <w:pPr>
        <w:pStyle w:val="yIndenta"/>
      </w:pPr>
      <w:r>
        <w:tab/>
        <w:t>(b)</w:t>
      </w:r>
      <w:r>
        <w:tab/>
        <w:t xml:space="preserve">if there is a safety and health representative for a designated work group that includes a group member performing work — </w:t>
      </w:r>
    </w:p>
    <w:p>
      <w:pPr>
        <w:pStyle w:val="yIndenti0"/>
      </w:pPr>
      <w:r>
        <w:tab/>
        <w:t>(i)</w:t>
      </w:r>
      <w:r>
        <w:tab/>
        <w:t>at a workplace; or</w:t>
      </w:r>
    </w:p>
    <w:p>
      <w:pPr>
        <w:pStyle w:val="yIndenti0"/>
      </w:pPr>
      <w:r>
        <w:tab/>
        <w:t>(ii)</w:t>
      </w:r>
      <w:r>
        <w:tab/>
        <w:t>involving the plant, substance or thing,</w:t>
      </w:r>
    </w:p>
    <w:p>
      <w:pPr>
        <w:pStyle w:val="yIndenta"/>
      </w:pPr>
      <w:r>
        <w:tab/>
      </w:r>
      <w:r>
        <w:tab/>
        <w:t>to which the direction relates — that representative,</w:t>
      </w:r>
    </w:p>
    <w:p>
      <w:pPr>
        <w:pStyle w:val="ySubsection"/>
      </w:pPr>
      <w:r>
        <w:tab/>
      </w:r>
      <w:r>
        <w:tab/>
        <w:t>of the direction and the reasons for giving it.</w:t>
      </w:r>
    </w:p>
    <w:p>
      <w:pPr>
        <w:pStyle w:val="ySubsection"/>
      </w:pPr>
      <w:r>
        <w:tab/>
        <w:t>(7)</w:t>
      </w:r>
      <w:r>
        <w:tab/>
        <w:t>The operator of a facility to which a direction concerning a workplace, plant, substance or a thing relates must ensure that the direction is complied with.</w:t>
      </w:r>
    </w:p>
    <w:p>
      <w:pPr>
        <w:pStyle w:val="yPenstart"/>
      </w:pPr>
      <w:r>
        <w:tab/>
        <w:t>Penalty:</w:t>
      </w:r>
      <w:del w:id="2997" w:author="svcMRProcess" w:date="2020-02-19T21:14:00Z">
        <w:r>
          <w:tab/>
        </w:r>
      </w:del>
      <w:ins w:id="2998" w:author="svcMRProcess" w:date="2020-02-19T21:14:00Z">
        <w:r>
          <w:t xml:space="preserve"> </w:t>
        </w:r>
      </w:ins>
      <w:r>
        <w:t>$27 500.</w:t>
      </w:r>
    </w:p>
    <w:p>
      <w:pPr>
        <w:pStyle w:val="ySubsection"/>
      </w:pPr>
      <w:r>
        <w:tab/>
        <w:t>(8)</w:t>
      </w:r>
      <w:r>
        <w:tab/>
        <w:t>A direction under subclause (2) must be accompanied by a statement setting out the reasons for the direction.</w:t>
      </w:r>
    </w:p>
    <w:p>
      <w:pPr>
        <w:pStyle w:val="yFootnotesection"/>
        <w:rPr>
          <w:ins w:id="2999" w:author="svcMRProcess" w:date="2020-02-19T21:14:00Z"/>
        </w:rPr>
      </w:pPr>
      <w:ins w:id="3000" w:author="svcMRProcess" w:date="2020-02-19T21:14:00Z">
        <w:r>
          <w:tab/>
          <w:t>[Clause 58 inserted by No. 13 of 2005 s. 47.]</w:t>
        </w:r>
      </w:ins>
    </w:p>
    <w:p>
      <w:pPr>
        <w:pStyle w:val="yHeading5"/>
      </w:pPr>
      <w:bookmarkStart w:id="3001" w:name="_Toc170190820"/>
      <w:r>
        <w:rPr>
          <w:rStyle w:val="CharSClsNo"/>
        </w:rPr>
        <w:t>59</w:t>
      </w:r>
      <w:r>
        <w:t>.</w:t>
      </w:r>
      <w:r>
        <w:rPr>
          <w:b w:val="0"/>
        </w:rPr>
        <w:tab/>
      </w:r>
      <w:r>
        <w:t>Power to issue prohibition notices</w:t>
      </w:r>
      <w:bookmarkEnd w:id="3001"/>
    </w:p>
    <w:p>
      <w:pPr>
        <w:pStyle w:val="ySubsection"/>
      </w:pPr>
      <w:r>
        <w:tab/>
        <w:t>(1)</w:t>
      </w:r>
      <w:r>
        <w:tab/>
        <w:t>If, having conducted an inspection, an OHS inspector is satisfied on reasonable grounds that it is reasonably necessary to issue a prohibition notice to the operator of a facility in order to remove an immediate threat to the safety or health of any person, the OHS inspector may issue a prohibition notice, in writing, to the operator.</w:t>
      </w:r>
    </w:p>
    <w:p>
      <w:pPr>
        <w:pStyle w:val="ySubsection"/>
      </w:pPr>
      <w:r>
        <w:tab/>
        <w:t>(2)</w:t>
      </w:r>
      <w:r>
        <w:tab/>
        <w:t>The notice must be issued to the operator by giving it to the operator’s representative at the facility.</w:t>
      </w:r>
    </w:p>
    <w:p>
      <w:pPr>
        <w:pStyle w:val="ySubsection"/>
      </w:pPr>
      <w:r>
        <w:tab/>
        <w:t>(3)</w:t>
      </w:r>
      <w:r>
        <w:tab/>
        <w:t xml:space="preserve">The notice must — </w:t>
      </w:r>
    </w:p>
    <w:p>
      <w:pPr>
        <w:pStyle w:val="yIndenta"/>
      </w:pPr>
      <w:r>
        <w:tab/>
        <w:t>(a)</w:t>
      </w:r>
      <w:r>
        <w:tab/>
        <w:t>specify the activity in respect of which, in the OHS inspector’s opinion, the threat to safety or health has arisen, and set out the reasons for that opinion; and</w:t>
      </w:r>
    </w:p>
    <w:p>
      <w:pPr>
        <w:pStyle w:val="yIndenta"/>
      </w:pPr>
      <w:r>
        <w:tab/>
        <w:t>(b)</w:t>
      </w:r>
      <w:r>
        <w:tab/>
        <w:t xml:space="preserve">either — </w:t>
      </w:r>
    </w:p>
    <w:p>
      <w:pPr>
        <w:pStyle w:val="yIndenti0"/>
      </w:pPr>
      <w:r>
        <w:tab/>
        <w:t>(i)</w:t>
      </w:r>
      <w:r>
        <w:tab/>
        <w:t>direct the operator to ensure that the activity is not engaged in; or</w:t>
      </w:r>
    </w:p>
    <w:p>
      <w:pPr>
        <w:pStyle w:val="yIndenti0"/>
      </w:pPr>
      <w:r>
        <w:tab/>
        <w:t>(ii)</w:t>
      </w:r>
      <w:r>
        <w:tab/>
        <w:t>direct the operator to ensure that the activity is not engaged in in a specified manner.</w:t>
      </w:r>
    </w:p>
    <w:p>
      <w:pPr>
        <w:pStyle w:val="ySubsection"/>
      </w:pPr>
      <w:r>
        <w:tab/>
        <w:t>(4)</w:t>
      </w:r>
      <w:r>
        <w:tab/>
        <w:t xml:space="preserve">A specified manner may relate to any one or more of the following — </w:t>
      </w:r>
    </w:p>
    <w:p>
      <w:pPr>
        <w:pStyle w:val="yIndenta"/>
      </w:pPr>
      <w:r>
        <w:tab/>
        <w:t>(a)</w:t>
      </w:r>
      <w:r>
        <w:tab/>
        <w:t>any workplace, or part of a workplace, at which the activity is not to be engaged in;</w:t>
      </w:r>
    </w:p>
    <w:p>
      <w:pPr>
        <w:pStyle w:val="yIndenta"/>
      </w:pPr>
      <w:r>
        <w:tab/>
        <w:t>(b)</w:t>
      </w:r>
      <w:r>
        <w:tab/>
        <w:t>any plant or substance that is not to be used in connection with the activity;</w:t>
      </w:r>
    </w:p>
    <w:p>
      <w:pPr>
        <w:pStyle w:val="yIndenta"/>
      </w:pPr>
      <w:r>
        <w:tab/>
        <w:t>(c)</w:t>
      </w:r>
      <w:r>
        <w:tab/>
        <w:t>any procedure that is not to be followed in connection with the activity.</w:t>
      </w:r>
    </w:p>
    <w:p>
      <w:pPr>
        <w:pStyle w:val="ySubsection"/>
      </w:pPr>
      <w:r>
        <w:tab/>
        <w:t>(5)</w:t>
      </w:r>
      <w:r>
        <w:tab/>
        <w:t>The notice may specify action that may be taken to satisfy an OHS inspector that adequate action has been taken to remove the threat to safety and health.</w:t>
      </w:r>
    </w:p>
    <w:p>
      <w:pPr>
        <w:pStyle w:val="ySubsection"/>
      </w:pPr>
      <w:r>
        <w:tab/>
        <w:t>(6)</w:t>
      </w:r>
      <w:r>
        <w:tab/>
        <w:t xml:space="preserve">The operator’s representative at the facility must — </w:t>
      </w:r>
    </w:p>
    <w:p>
      <w:pPr>
        <w:pStyle w:val="yIndenta"/>
      </w:pPr>
      <w:r>
        <w:tab/>
        <w:t>(a)</w:t>
      </w:r>
      <w:r>
        <w:tab/>
        <w:t>give a copy of the notice to each safety and health representative (if any) for any designated work group having group members performing work that is affected by the notice; and</w:t>
      </w:r>
    </w:p>
    <w:p>
      <w:pPr>
        <w:pStyle w:val="yIndenta"/>
      </w:pPr>
      <w:r>
        <w:tab/>
        <w:t>(b)</w:t>
      </w:r>
      <w:r>
        <w:tab/>
        <w:t>cause a copy of the notice to be displayed at a prominent place at or near each workplace at which that work is performed.</w:t>
      </w:r>
    </w:p>
    <w:p>
      <w:pPr>
        <w:pStyle w:val="ySubsection"/>
      </w:pPr>
      <w:r>
        <w:tab/>
        <w:t>(7)</w:t>
      </w:r>
      <w:r>
        <w:tab/>
        <w:t>If the notice relates to any workplace, plant, substance or thing that is owned by a person other than the operator, the OHS inspector must, upon issuing the notice, give a copy of the notice to that person.</w:t>
      </w:r>
    </w:p>
    <w:p>
      <w:pPr>
        <w:pStyle w:val="yFootnotesection"/>
        <w:rPr>
          <w:ins w:id="3002" w:author="svcMRProcess" w:date="2020-02-19T21:14:00Z"/>
        </w:rPr>
      </w:pPr>
      <w:ins w:id="3003" w:author="svcMRProcess" w:date="2020-02-19T21:14:00Z">
        <w:r>
          <w:tab/>
          <w:t>[Clause 59 inserted by No. 13 of 2005 s. 47.]</w:t>
        </w:r>
      </w:ins>
    </w:p>
    <w:p>
      <w:pPr>
        <w:pStyle w:val="yHeading5"/>
      </w:pPr>
      <w:bookmarkStart w:id="3004" w:name="_Toc170190821"/>
      <w:r>
        <w:rPr>
          <w:rStyle w:val="CharSClsNo"/>
        </w:rPr>
        <w:t>60</w:t>
      </w:r>
      <w:r>
        <w:t>.</w:t>
      </w:r>
      <w:r>
        <w:rPr>
          <w:b w:val="0"/>
        </w:rPr>
        <w:tab/>
      </w:r>
      <w:r>
        <w:t>Compliance with prohibition notice</w:t>
      </w:r>
      <w:bookmarkEnd w:id="3004"/>
    </w:p>
    <w:p>
      <w:pPr>
        <w:pStyle w:val="ySubsection"/>
      </w:pPr>
      <w:r>
        <w:tab/>
        <w:t>(1)</w:t>
      </w:r>
      <w:r>
        <w:tab/>
        <w:t>An operator must ensure that a prohibition notice issued to the operator is complied with.</w:t>
      </w:r>
    </w:p>
    <w:p>
      <w:pPr>
        <w:pStyle w:val="yPenstart"/>
      </w:pPr>
      <w:r>
        <w:tab/>
        <w:t>Penalty:</w:t>
      </w:r>
      <w:del w:id="3005" w:author="svcMRProcess" w:date="2020-02-19T21:14:00Z">
        <w:r>
          <w:tab/>
        </w:r>
      </w:del>
      <w:ins w:id="3006" w:author="svcMRProcess" w:date="2020-02-19T21:14:00Z">
        <w:r>
          <w:t xml:space="preserve"> </w:t>
        </w:r>
      </w:ins>
      <w:r>
        <w:t>$27 500.</w:t>
      </w:r>
    </w:p>
    <w:p>
      <w:pPr>
        <w:pStyle w:val="ySubsection"/>
      </w:pPr>
      <w:r>
        <w:tab/>
        <w:t>(2)</w:t>
      </w:r>
      <w:r>
        <w:tab/>
        <w:t>If an OHS inspector is satisfied that action taken by the operator to remove the threat to safety and health in respect of which the notice was issued is not adequate, the OHS inspector must inform the operator accordingly.</w:t>
      </w:r>
    </w:p>
    <w:p>
      <w:pPr>
        <w:pStyle w:val="ySubsection"/>
      </w:pPr>
      <w:r>
        <w:tab/>
        <w:t>(3)</w:t>
      </w:r>
      <w:r>
        <w:tab/>
        <w:t>A prohibition notice ceases to have effect when an OHS inspector notifies the operator that the OHS inspector is satisfied that the operator has taken adequate action to remove the threat to safety or health.</w:t>
      </w:r>
    </w:p>
    <w:p>
      <w:pPr>
        <w:pStyle w:val="ySubsection"/>
      </w:pPr>
      <w:r>
        <w:tab/>
        <w:t>(4)</w:t>
      </w:r>
      <w:r>
        <w:tab/>
        <w:t>In making a decision under subclause (2), an OHS inspector may exercise any of the powers of an OHS inspector conducting an inspection that the inspector considers necessary for the purposes of making the decision.</w:t>
      </w:r>
    </w:p>
    <w:p>
      <w:pPr>
        <w:pStyle w:val="yFootnotesection"/>
        <w:rPr>
          <w:ins w:id="3007" w:author="svcMRProcess" w:date="2020-02-19T21:14:00Z"/>
        </w:rPr>
      </w:pPr>
      <w:ins w:id="3008" w:author="svcMRProcess" w:date="2020-02-19T21:14:00Z">
        <w:r>
          <w:tab/>
          <w:t>[Clause 60 inserted by No. 13 of 2005 s. 47.]</w:t>
        </w:r>
      </w:ins>
    </w:p>
    <w:p>
      <w:pPr>
        <w:pStyle w:val="yHeading5"/>
      </w:pPr>
      <w:bookmarkStart w:id="3009" w:name="_Toc170190822"/>
      <w:r>
        <w:rPr>
          <w:rStyle w:val="CharSClsNo"/>
        </w:rPr>
        <w:t>61</w:t>
      </w:r>
      <w:r>
        <w:t>.</w:t>
      </w:r>
      <w:r>
        <w:rPr>
          <w:b w:val="0"/>
        </w:rPr>
        <w:tab/>
      </w:r>
      <w:r>
        <w:t>Power to issue improvement notices</w:t>
      </w:r>
      <w:bookmarkEnd w:id="3009"/>
    </w:p>
    <w:p>
      <w:pPr>
        <w:pStyle w:val="ySubsection"/>
      </w:pPr>
      <w:r>
        <w:tab/>
        <w:t>(1)</w:t>
      </w:r>
      <w:r>
        <w:tab/>
        <w:t xml:space="preserve">If, in conducting an inspection, an OHS inspector believes on reasonable grounds that a person — </w:t>
      </w:r>
    </w:p>
    <w:p>
      <w:pPr>
        <w:pStyle w:val="yIndenta"/>
      </w:pPr>
      <w:r>
        <w:tab/>
        <w:t>(a)</w:t>
      </w:r>
      <w:r>
        <w:tab/>
        <w:t>is contravening a listed OSH law; or</w:t>
      </w:r>
    </w:p>
    <w:p>
      <w:pPr>
        <w:pStyle w:val="yIndenta"/>
      </w:pPr>
      <w:r>
        <w:tab/>
        <w:t>(b)</w:t>
      </w:r>
      <w:r>
        <w:tab/>
        <w:t>has contravened a provision of a listed OSH law and is likely to contravene that provision again,</w:t>
      </w:r>
    </w:p>
    <w:p>
      <w:pPr>
        <w:pStyle w:val="ySubsection"/>
      </w:pPr>
      <w:r>
        <w:tab/>
      </w:r>
      <w:r>
        <w:tab/>
        <w:t xml:space="preserve">the OHS inspector may issue an improvement notice, in writing, to the person (the </w:t>
      </w:r>
      <w:r>
        <w:rPr>
          <w:b/>
        </w:rPr>
        <w:t>“</w:t>
      </w:r>
      <w:r>
        <w:rPr>
          <w:rStyle w:val="CharDefText"/>
        </w:rPr>
        <w:t>responsible person</w:t>
      </w:r>
      <w:r>
        <w:rPr>
          <w:b/>
        </w:rPr>
        <w:t>”</w:t>
      </w:r>
      <w:r>
        <w:t>).</w:t>
      </w:r>
    </w:p>
    <w:p>
      <w:pPr>
        <w:pStyle w:val="ySubsection"/>
      </w:pPr>
      <w:r>
        <w:tab/>
        <w:t>(2)</w:t>
      </w:r>
      <w:r>
        <w:tab/>
        <w:t>If the responsible person is the operator, the improvement notice may be issued to the operator by giving it to the operator’s representative at the facility.</w:t>
      </w:r>
    </w:p>
    <w:p>
      <w:pPr>
        <w:pStyle w:val="ySubsection"/>
      </w:pPr>
      <w:r>
        <w:tab/>
        <w:t>(3)</w:t>
      </w:r>
      <w:r>
        <w:tab/>
        <w:t xml:space="preserve">If the responsible person is an employer (other than the operator) of members of the workforce, but it is not practicable to give the notice to that employer — </w:t>
      </w:r>
    </w:p>
    <w:p>
      <w:pPr>
        <w:pStyle w:val="yIndenta"/>
      </w:pPr>
      <w:r>
        <w:tab/>
        <w:t>(a)</w:t>
      </w:r>
      <w:r>
        <w:tab/>
        <w:t>the improvement notice may be issued to the employer by giving it to the operator’s representative at the facility; and</w:t>
      </w:r>
    </w:p>
    <w:p>
      <w:pPr>
        <w:pStyle w:val="yIndenta"/>
      </w:pPr>
      <w:r>
        <w:tab/>
        <w:t>(b)</w:t>
      </w:r>
      <w:r>
        <w:tab/>
        <w:t>if the notice is so issued — the operator must ensure that a copy of the notice is given to the employer as soon as practicable afterwards.</w:t>
      </w:r>
    </w:p>
    <w:p>
      <w:pPr>
        <w:pStyle w:val="ySubsection"/>
      </w:pPr>
      <w:r>
        <w:tab/>
        <w:t>(4)</w:t>
      </w:r>
      <w:r>
        <w:tab/>
        <w:t xml:space="preserve">The notice — </w:t>
      </w:r>
    </w:p>
    <w:p>
      <w:pPr>
        <w:pStyle w:val="yIndenta"/>
      </w:pPr>
      <w:r>
        <w:tab/>
        <w:t>(a)</w:t>
      </w:r>
      <w:r>
        <w:tab/>
        <w:t xml:space="preserve">must specify the contravention that the OHS inspector believes is occurring or is likely to occur, and set out the reasons for that belief; </w:t>
      </w:r>
    </w:p>
    <w:p>
      <w:pPr>
        <w:pStyle w:val="yIndenta"/>
      </w:pPr>
      <w:r>
        <w:tab/>
        <w:t>(b)</w:t>
      </w:r>
      <w:r>
        <w:tab/>
        <w:t>must specify a reasonable period within which the responsible person is to take the action necessary to prevent any further contravention or to prevent the likely contravention, as the case may be; and</w:t>
      </w:r>
    </w:p>
    <w:p>
      <w:pPr>
        <w:pStyle w:val="yIndenta"/>
      </w:pPr>
      <w:r>
        <w:tab/>
        <w:t>(c)</w:t>
      </w:r>
      <w:r>
        <w:tab/>
        <w:t>may specify action that the responsible person is to take during the period specified in the notice.</w:t>
      </w:r>
    </w:p>
    <w:p>
      <w:pPr>
        <w:pStyle w:val="ySubsection"/>
      </w:pPr>
      <w:r>
        <w:tab/>
        <w:t>(5)</w:t>
      </w:r>
      <w:r>
        <w:tab/>
        <w:t>If the OHS inspector believes on reasonable grounds that it is appropriate to do so, the OHS inspector may, in writing and before the end of the period, extend the period specified in the notice.</w:t>
      </w:r>
    </w:p>
    <w:p>
      <w:pPr>
        <w:pStyle w:val="y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 at the facility.</w:t>
      </w:r>
    </w:p>
    <w:p>
      <w:pPr>
        <w:pStyle w:val="ySubsection"/>
      </w:pPr>
      <w:r>
        <w:tab/>
        <w:t>(7)</w:t>
      </w:r>
      <w:r>
        <w:tab/>
        <w:t xml:space="preserve">If a notice is issued to the operator or to an employer (other than the operator) of members of the workforce, the operator’s representative at the facility must — </w:t>
      </w:r>
    </w:p>
    <w:p>
      <w:pPr>
        <w:pStyle w:val="yIndenta"/>
      </w:pPr>
      <w:r>
        <w:tab/>
        <w:t>(a)</w:t>
      </w:r>
      <w:r>
        <w:tab/>
        <w:t>give a copy of the notice to each safety and health representative for a designated work group having group members performing work that is affected by the notice; and</w:t>
      </w:r>
    </w:p>
    <w:p>
      <w:pPr>
        <w:pStyle w:val="yIndenta"/>
      </w:pPr>
      <w:r>
        <w:tab/>
        <w:t>(b)</w:t>
      </w:r>
      <w:r>
        <w:tab/>
        <w:t>cause a copy of the notice to be displayed in a prominent place at or near each workplace at which the work is being performed.</w:t>
      </w:r>
    </w:p>
    <w:p>
      <w:pPr>
        <w:pStyle w:val="ySubsection"/>
      </w:pPr>
      <w:r>
        <w:tab/>
        <w:t>(8)</w:t>
      </w:r>
      <w:r>
        <w:tab/>
        <w:t xml:space="preserve">On issuing a notice, the OHS inspector must give a copy of the notice to — </w:t>
      </w:r>
    </w:p>
    <w:p>
      <w:pPr>
        <w:pStyle w:val="yIndenta"/>
      </w:pPr>
      <w:r>
        <w:tab/>
        <w:t>(a)</w:t>
      </w:r>
      <w:r>
        <w:tab/>
        <w:t xml:space="preserve">if the notice is — </w:t>
      </w:r>
    </w:p>
    <w:p>
      <w:pPr>
        <w:pStyle w:val="yIndenti0"/>
      </w:pPr>
      <w:r>
        <w:tab/>
        <w:t>(i)</w:t>
      </w:r>
      <w:r>
        <w:tab/>
        <w:t>given to a member of the workforce who is an employee; and</w:t>
      </w:r>
    </w:p>
    <w:p>
      <w:pPr>
        <w:pStyle w:val="yIndenti0"/>
      </w:pPr>
      <w:r>
        <w:tab/>
        <w:t>(ii)</w:t>
      </w:r>
      <w:r>
        <w:tab/>
        <w:t>in connection with work performed by the employee,</w:t>
      </w:r>
    </w:p>
    <w:p>
      <w:pPr>
        <w:pStyle w:val="yIndenta"/>
      </w:pPr>
      <w:r>
        <w:tab/>
      </w:r>
      <w:r>
        <w:tab/>
        <w:t xml:space="preserve">the employer of that employee; </w:t>
      </w:r>
    </w:p>
    <w:p>
      <w:pPr>
        <w:pStyle w:val="yIndenta"/>
      </w:pPr>
      <w:r>
        <w:tab/>
        <w:t>(b)</w:t>
      </w:r>
      <w:r>
        <w:tab/>
        <w:t xml:space="preserve">if the notice relates to any workplace, plant, substance or thing that is owned by a person other than — </w:t>
      </w:r>
    </w:p>
    <w:p>
      <w:pPr>
        <w:pStyle w:val="yIndenti0"/>
      </w:pPr>
      <w:r>
        <w:tab/>
        <w:t>(i)</w:t>
      </w:r>
      <w:r>
        <w:tab/>
        <w:t>a responsible person; or</w:t>
      </w:r>
    </w:p>
    <w:p>
      <w:pPr>
        <w:pStyle w:val="yIndenti0"/>
      </w:pPr>
      <w:r>
        <w:tab/>
        <w:t>(ii)</w:t>
      </w:r>
      <w:r>
        <w:tab/>
        <w:t>a person who is an employer referred to in paragraph (a),</w:t>
      </w:r>
    </w:p>
    <w:p>
      <w:pPr>
        <w:pStyle w:val="yIndenta"/>
      </w:pPr>
      <w:r>
        <w:tab/>
      </w:r>
      <w:r>
        <w:tab/>
        <w:t>that owner; and</w:t>
      </w:r>
    </w:p>
    <w:p>
      <w:pPr>
        <w:pStyle w:val="yIndenta"/>
      </w:pPr>
      <w:r>
        <w:tab/>
        <w:t>(c)</w:t>
      </w:r>
      <w:r>
        <w:tab/>
        <w:t xml:space="preserve">if the notice is issued to a person who owns any workplace, plant, substance or thing, because of which a contravention of a listed OSH law has occurred or is likely to occur — </w:t>
      </w:r>
    </w:p>
    <w:p>
      <w:pPr>
        <w:pStyle w:val="yIndenti0"/>
      </w:pPr>
      <w:r>
        <w:tab/>
        <w:t>(i)</w:t>
      </w:r>
      <w:r>
        <w:tab/>
        <w:t>the operator of the facility; and</w:t>
      </w:r>
    </w:p>
    <w:p>
      <w:pPr>
        <w:pStyle w:val="yIndenti0"/>
      </w:pPr>
      <w:r>
        <w:tab/>
        <w:t>(ii)</w:t>
      </w:r>
      <w:r>
        <w:tab/>
        <w:t>if the employer of employees who work in that workplace or who use that plant, substance or thing is a person other than the operator — that employer.</w:t>
      </w:r>
    </w:p>
    <w:p>
      <w:pPr>
        <w:pStyle w:val="yFootnotesection"/>
        <w:rPr>
          <w:ins w:id="3010" w:author="svcMRProcess" w:date="2020-02-19T21:14:00Z"/>
        </w:rPr>
      </w:pPr>
      <w:ins w:id="3011" w:author="svcMRProcess" w:date="2020-02-19T21:14:00Z">
        <w:r>
          <w:tab/>
          <w:t>[Clause 61 inserted by No. 13 of 2005 s. 47.]</w:t>
        </w:r>
      </w:ins>
    </w:p>
    <w:p>
      <w:pPr>
        <w:pStyle w:val="yHeading5"/>
      </w:pPr>
      <w:bookmarkStart w:id="3012" w:name="_Toc170190823"/>
      <w:r>
        <w:rPr>
          <w:rStyle w:val="CharSClsNo"/>
        </w:rPr>
        <w:t>62</w:t>
      </w:r>
      <w:r>
        <w:t>.</w:t>
      </w:r>
      <w:r>
        <w:rPr>
          <w:b w:val="0"/>
        </w:rPr>
        <w:tab/>
      </w:r>
      <w:r>
        <w:t>Compliance with improvement notice</w:t>
      </w:r>
      <w:bookmarkEnd w:id="3012"/>
    </w:p>
    <w:p>
      <w:pPr>
        <w:pStyle w:val="ySubsection"/>
      </w:pPr>
      <w:r>
        <w:tab/>
      </w:r>
      <w:r>
        <w:tab/>
        <w:t>A person to whom an improvement notice is issued must comply with it to the extent that the notice relates to any matter over which the person has control.</w:t>
      </w:r>
    </w:p>
    <w:p>
      <w:pPr>
        <w:pStyle w:val="yPenstart"/>
      </w:pPr>
      <w:r>
        <w:tab/>
        <w:t>Penalty:</w:t>
      </w:r>
      <w:del w:id="3013" w:author="svcMRProcess" w:date="2020-02-19T21:14:00Z">
        <w:r>
          <w:tab/>
        </w:r>
      </w:del>
      <w:ins w:id="3014" w:author="svcMRProcess" w:date="2020-02-19T21:14:00Z">
        <w:r>
          <w:t xml:space="preserve"> </w:t>
        </w:r>
      </w:ins>
      <w:r>
        <w:t>$11 000.</w:t>
      </w:r>
    </w:p>
    <w:p>
      <w:pPr>
        <w:pStyle w:val="yFootnotesection"/>
        <w:rPr>
          <w:ins w:id="3015" w:author="svcMRProcess" w:date="2020-02-19T21:14:00Z"/>
        </w:rPr>
      </w:pPr>
      <w:ins w:id="3016" w:author="svcMRProcess" w:date="2020-02-19T21:14:00Z">
        <w:r>
          <w:tab/>
          <w:t>[Clause 62 inserted by No. 13 of 2005 s. 47.]</w:t>
        </w:r>
      </w:ins>
    </w:p>
    <w:p>
      <w:pPr>
        <w:pStyle w:val="yHeading5"/>
      </w:pPr>
      <w:bookmarkStart w:id="3017" w:name="_Toc170190824"/>
      <w:r>
        <w:rPr>
          <w:rStyle w:val="CharSClsNo"/>
        </w:rPr>
        <w:t>63</w:t>
      </w:r>
      <w:r>
        <w:t>.</w:t>
      </w:r>
      <w:r>
        <w:rPr>
          <w:b w:val="0"/>
        </w:rPr>
        <w:tab/>
      </w:r>
      <w:r>
        <w:t>Notices not to be tampered with or removed</w:t>
      </w:r>
      <w:bookmarkEnd w:id="3017"/>
    </w:p>
    <w:p>
      <w:pPr>
        <w:pStyle w:val="ySubsection"/>
      </w:pPr>
      <w:r>
        <w:tab/>
        <w:t>(1)</w:t>
      </w:r>
      <w:r>
        <w:tab/>
        <w:t>A person must not, without reasonable excuse, tamper with any notice that has been displayed under clause 57(3), 58(5), 59(6) or 61(7) while that notice is so displayed.</w:t>
      </w:r>
    </w:p>
    <w:p>
      <w:pPr>
        <w:pStyle w:val="ySubsection"/>
      </w:pPr>
      <w:r>
        <w:tab/>
        <w:t>(2)</w:t>
      </w:r>
      <w:r>
        <w:tab/>
        <w:t>If a notice has been displayed under clause 57(3), a person must not, without reasonable excuse, remove the notice until the plant or thing to which the notice relates is returned to the workplace from which it was removed.</w:t>
      </w:r>
    </w:p>
    <w:p>
      <w:pPr>
        <w:pStyle w:val="ySubsection"/>
      </w:pPr>
      <w:r>
        <w:tab/>
        <w:t>(3)</w:t>
      </w:r>
      <w:r>
        <w:tab/>
        <w:t>If a notice has been displayed under clause 58(5), 59(6) or 61(7), a person must not, without reasonable excuse, remove the notice before it has ceased to have effect.</w:t>
      </w:r>
    </w:p>
    <w:p>
      <w:pPr>
        <w:pStyle w:val="yPenstart"/>
      </w:pPr>
      <w:r>
        <w:tab/>
        <w:t>Penalty applicable to subclauses (1), (2) and (3):</w:t>
      </w:r>
      <w:del w:id="3018" w:author="svcMRProcess" w:date="2020-02-19T21:14:00Z">
        <w:r>
          <w:tab/>
        </w:r>
      </w:del>
      <w:ins w:id="3019" w:author="svcMRProcess" w:date="2020-02-19T21:14:00Z">
        <w:r>
          <w:t xml:space="preserve"> </w:t>
        </w:r>
      </w:ins>
      <w:r>
        <w:t>$11 000.</w:t>
      </w:r>
    </w:p>
    <w:p>
      <w:pPr>
        <w:pStyle w:val="yFootnotesection"/>
        <w:rPr>
          <w:ins w:id="3020" w:author="svcMRProcess" w:date="2020-02-19T21:14:00Z"/>
        </w:rPr>
      </w:pPr>
      <w:bookmarkStart w:id="3021" w:name="_Toc131393939"/>
      <w:ins w:id="3022" w:author="svcMRProcess" w:date="2020-02-19T21:14:00Z">
        <w:r>
          <w:tab/>
          <w:t>[Clause 63 inserted by No. 13 of 2005 s. 47.]</w:t>
        </w:r>
      </w:ins>
    </w:p>
    <w:p>
      <w:pPr>
        <w:pStyle w:val="yHeading4"/>
      </w:pPr>
      <w:bookmarkStart w:id="3023" w:name="_Toc162761434"/>
      <w:bookmarkStart w:id="3024" w:name="_Toc170190825"/>
      <w:bookmarkStart w:id="3025" w:name="_Toc112746423"/>
      <w:bookmarkStart w:id="3026" w:name="_Toc112746548"/>
      <w:r>
        <w:t>Subdivision </w:t>
      </w:r>
      <w:r>
        <w:rPr>
          <w:bCs/>
        </w:rPr>
        <w:t>4 — Reports</w:t>
      </w:r>
      <w:r>
        <w:t xml:space="preserve"> on inspections</w:t>
      </w:r>
      <w:bookmarkEnd w:id="3021"/>
      <w:bookmarkEnd w:id="3023"/>
      <w:bookmarkEnd w:id="3024"/>
      <w:bookmarkEnd w:id="3025"/>
      <w:bookmarkEnd w:id="3026"/>
    </w:p>
    <w:p>
      <w:pPr>
        <w:pStyle w:val="yFootnoteheading"/>
        <w:rPr>
          <w:ins w:id="3027" w:author="svcMRProcess" w:date="2020-02-19T21:14:00Z"/>
        </w:rPr>
      </w:pPr>
      <w:ins w:id="3028" w:author="svcMRProcess" w:date="2020-02-19T21:14:00Z">
        <w:r>
          <w:tab/>
          <w:t>[Heading inserted by No. 13 of 2005 s. 47.]</w:t>
        </w:r>
      </w:ins>
    </w:p>
    <w:p>
      <w:pPr>
        <w:pStyle w:val="yHeading5"/>
      </w:pPr>
      <w:bookmarkStart w:id="3029" w:name="_Toc170190826"/>
      <w:r>
        <w:rPr>
          <w:rStyle w:val="CharSClsNo"/>
        </w:rPr>
        <w:t>64</w:t>
      </w:r>
      <w:r>
        <w:t>.</w:t>
      </w:r>
      <w:r>
        <w:rPr>
          <w:b w:val="0"/>
        </w:rPr>
        <w:tab/>
      </w:r>
      <w:r>
        <w:t>Reports on inspections</w:t>
      </w:r>
      <w:bookmarkEnd w:id="3029"/>
    </w:p>
    <w:p>
      <w:pPr>
        <w:pStyle w:val="ySubsection"/>
      </w:pPr>
      <w:r>
        <w:tab/>
        <w:t>(1)</w:t>
      </w:r>
      <w:r>
        <w:tab/>
        <w:t>If an OHS inspector has conducted an inspection, the OHS inspector must, as soon as practicable, prepare a written report relating to the inspection and give the report to the Safety Authority.</w:t>
      </w:r>
    </w:p>
    <w:p>
      <w:pPr>
        <w:pStyle w:val="ySubsection"/>
      </w:pPr>
      <w:r>
        <w:tab/>
        <w:t>(2)</w:t>
      </w:r>
      <w:r>
        <w:tab/>
        <w:t xml:space="preserve">The report must include — </w:t>
      </w:r>
    </w:p>
    <w:p>
      <w:pPr>
        <w:pStyle w:val="yIndenta"/>
      </w:pPr>
      <w:r>
        <w:tab/>
        <w:t>(a)</w:t>
      </w:r>
      <w:r>
        <w:tab/>
        <w:t xml:space="preserve">the OHS inspector’s conclusions from conducting the inspection and the reasons for those conclusions; </w:t>
      </w:r>
    </w:p>
    <w:p>
      <w:pPr>
        <w:pStyle w:val="yIndenta"/>
      </w:pPr>
      <w:r>
        <w:tab/>
        <w:t>(b)</w:t>
      </w:r>
      <w:r>
        <w:tab/>
        <w:t>any recommendations that the OHS inspector wishes to make arising from the inspection; and</w:t>
      </w:r>
    </w:p>
    <w:p>
      <w:pPr>
        <w:pStyle w:val="yIndenta"/>
      </w:pPr>
      <w:r>
        <w:tab/>
        <w:t>(c)</w:t>
      </w:r>
      <w:r>
        <w:tab/>
        <w:t>any other prescribed matters.</w:t>
      </w:r>
    </w:p>
    <w:p>
      <w:pPr>
        <w:pStyle w:val="ySubsection"/>
      </w:pPr>
      <w:r>
        <w:tab/>
        <w:t>(3)</w:t>
      </w:r>
      <w:r>
        <w:tab/>
        <w:t xml:space="preserve">As soon as practicable after receiving the report, the Safety Authority must give a copy of the report, together with any written comments that it wishes to make — </w:t>
      </w:r>
    </w:p>
    <w:p>
      <w:pPr>
        <w:pStyle w:val="yIndenta"/>
      </w:pPr>
      <w:r>
        <w:tab/>
        <w:t>(a)</w:t>
      </w:r>
      <w:r>
        <w:tab/>
        <w:t xml:space="preserve">to the operator of the facility to which the report relates; </w:t>
      </w:r>
    </w:p>
    <w:p>
      <w:pPr>
        <w:pStyle w:val="yIndenta"/>
      </w:pPr>
      <w:r>
        <w:tab/>
        <w:t>(b)</w:t>
      </w:r>
      <w:r>
        <w:tab/>
        <w:t>if the report relates to activities performed by an employee of another person — that other person; and</w:t>
      </w:r>
    </w:p>
    <w:p>
      <w:pPr>
        <w:pStyle w:val="yIndenta"/>
      </w:pPr>
      <w:r>
        <w:tab/>
        <w:t>(c)</w:t>
      </w:r>
      <w:r>
        <w:tab/>
        <w:t>if the report relates to any plant, substance or thing owned by another person — that other person.</w:t>
      </w:r>
    </w:p>
    <w:p>
      <w:pPr>
        <w:pStyle w:val="ySubsection"/>
      </w:pPr>
      <w:r>
        <w:tab/>
        <w:t>(4)</w:t>
      </w:r>
      <w:r>
        <w:tab/>
        <w:t xml:space="preserve">The Safety Authority may, in writing, request the operator or any other person to whom the report is given to provide to the Safety Authority, within a reasonable period specified in the request, details of — </w:t>
      </w:r>
    </w:p>
    <w:p>
      <w:pPr>
        <w:pStyle w:val="yIndenta"/>
      </w:pPr>
      <w:r>
        <w:tab/>
        <w:t>(a)</w:t>
      </w:r>
      <w:r>
        <w:tab/>
        <w:t>any action proposed to be taken as a result of the conclusions or recommendations contained in the report; and</w:t>
      </w:r>
    </w:p>
    <w:p>
      <w:pPr>
        <w:pStyle w:val="yIndenta"/>
      </w:pPr>
      <w:r>
        <w:tab/>
        <w:t>(b)</w:t>
      </w:r>
      <w:r>
        <w:tab/>
        <w:t>if a notice has been issued under clause 59 or 61 in relation to work being performed for the operator or that other person — any action taken, or proposed to be taken, in respect of that notice,</w:t>
      </w:r>
    </w:p>
    <w:p>
      <w:pPr>
        <w:pStyle w:val="ySubsection"/>
      </w:pPr>
      <w:r>
        <w:tab/>
      </w:r>
      <w:r>
        <w:tab/>
        <w:t>and the operator or that other person must comply with the request.</w:t>
      </w:r>
    </w:p>
    <w:p>
      <w:pPr>
        <w:pStyle w:val="ySubsection"/>
      </w:pPr>
      <w:r>
        <w:tab/>
        <w:t>(5)</w:t>
      </w:r>
      <w:r>
        <w:tab/>
        <w:t xml:space="preserve">As soon as practicable after receiving a report, the operator of a facility must give a copy of the report, together with any written comment made by the Safety Authority on the report — </w:t>
      </w:r>
    </w:p>
    <w:p>
      <w:pPr>
        <w:pStyle w:val="yIndenta"/>
      </w:pPr>
      <w:r>
        <w:tab/>
        <w:t>(a)</w:t>
      </w:r>
      <w:r>
        <w:tab/>
        <w:t>if there is at least one safety and health committee in respect of some or all of the members of the workforce — to each such committee; and</w:t>
      </w:r>
    </w:p>
    <w:p>
      <w:pPr>
        <w:pStyle w:val="y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yFootnotesection"/>
        <w:rPr>
          <w:ins w:id="3030" w:author="svcMRProcess" w:date="2020-02-19T21:14:00Z"/>
        </w:rPr>
      </w:pPr>
      <w:bookmarkStart w:id="3031" w:name="_Toc131393940"/>
      <w:ins w:id="3032" w:author="svcMRProcess" w:date="2020-02-19T21:14:00Z">
        <w:r>
          <w:tab/>
          <w:t>[Clause 64 inserted by No. 13 of 2005 s. 47.]</w:t>
        </w:r>
      </w:ins>
    </w:p>
    <w:p>
      <w:pPr>
        <w:pStyle w:val="yHeading4"/>
        <w:rPr>
          <w:bCs/>
        </w:rPr>
      </w:pPr>
      <w:bookmarkStart w:id="3033" w:name="_Toc162761436"/>
      <w:bookmarkStart w:id="3034" w:name="_Toc170190827"/>
      <w:bookmarkStart w:id="3035" w:name="_Toc112746424"/>
      <w:bookmarkStart w:id="3036" w:name="_Toc112746549"/>
      <w:r>
        <w:t>Subdivision </w:t>
      </w:r>
      <w:r>
        <w:rPr>
          <w:bCs/>
        </w:rPr>
        <w:t>5 — Reviews of OHS inspectors’ decisions</w:t>
      </w:r>
      <w:bookmarkEnd w:id="3031"/>
      <w:bookmarkEnd w:id="3033"/>
      <w:bookmarkEnd w:id="3034"/>
      <w:bookmarkEnd w:id="3035"/>
      <w:bookmarkEnd w:id="3036"/>
    </w:p>
    <w:p>
      <w:pPr>
        <w:pStyle w:val="yFootnoteheading"/>
        <w:rPr>
          <w:ins w:id="3037" w:author="svcMRProcess" w:date="2020-02-19T21:14:00Z"/>
        </w:rPr>
      </w:pPr>
      <w:ins w:id="3038" w:author="svcMRProcess" w:date="2020-02-19T21:14:00Z">
        <w:r>
          <w:tab/>
          <w:t>[Heading inserted by No. 13 of 2005 s. 47.]</w:t>
        </w:r>
      </w:ins>
    </w:p>
    <w:p>
      <w:pPr>
        <w:pStyle w:val="yHeading5"/>
      </w:pPr>
      <w:bookmarkStart w:id="3039" w:name="_Toc170190828"/>
      <w:r>
        <w:rPr>
          <w:rStyle w:val="CharSClsNo"/>
        </w:rPr>
        <w:t>65</w:t>
      </w:r>
      <w:r>
        <w:t>.</w:t>
      </w:r>
      <w:r>
        <w:rPr>
          <w:b w:val="0"/>
        </w:rPr>
        <w:tab/>
      </w:r>
      <w:r>
        <w:t>Reviews of decisions of OHS inspectors</w:t>
      </w:r>
      <w:bookmarkEnd w:id="3039"/>
    </w:p>
    <w:p>
      <w:pPr>
        <w:pStyle w:val="ySubsection"/>
      </w:pPr>
      <w:r>
        <w:tab/>
        <w:t>(1)</w:t>
      </w:r>
      <w:r>
        <w:tab/>
        <w:t xml:space="preserve">If an OHS inspector, in conducting an inspection or having conducted an inspection — </w:t>
      </w:r>
    </w:p>
    <w:p>
      <w:pPr>
        <w:pStyle w:val="yIndenta"/>
      </w:pPr>
      <w:r>
        <w:tab/>
        <w:t>(a)</w:t>
      </w:r>
      <w:r>
        <w:tab/>
        <w:t xml:space="preserve">decides, under clause 38, to confirm or vary a provisional improvement notice; </w:t>
      </w:r>
    </w:p>
    <w:p>
      <w:pPr>
        <w:pStyle w:val="yIndenta"/>
      </w:pPr>
      <w:r>
        <w:tab/>
        <w:t>(b)</w:t>
      </w:r>
      <w:r>
        <w:tab/>
        <w:t xml:space="preserve">decides, under clause 57, to take possession of plant, a substance or a thing at a workplace; </w:t>
      </w:r>
    </w:p>
    <w:p>
      <w:pPr>
        <w:pStyle w:val="yIndenta"/>
      </w:pPr>
      <w:r>
        <w:tab/>
        <w:t>(c)</w:t>
      </w:r>
      <w:r>
        <w:tab/>
        <w:t xml:space="preserve">decides, under clause 58, to direct that a workplace, a part of a workplace, plant, a substance or a thing not be disturbed; </w:t>
      </w:r>
    </w:p>
    <w:p>
      <w:pPr>
        <w:pStyle w:val="yIndenta"/>
      </w:pPr>
      <w:r>
        <w:tab/>
        <w:t>(d)</w:t>
      </w:r>
      <w:r>
        <w:tab/>
        <w:t xml:space="preserve">decides, under clause 59, to issue a prohibition notice; </w:t>
      </w:r>
    </w:p>
    <w:p>
      <w:pPr>
        <w:pStyle w:val="yIndenta"/>
      </w:pPr>
      <w:r>
        <w:tab/>
        <w:t>(e)</w:t>
      </w:r>
      <w:r>
        <w:tab/>
        <w:t>decides, under clause 60, that the operator of a facility to whom a prohibition notice has been issued has not taken adequate action to remove the threat to safety and health that caused the notice to be issued; or</w:t>
      </w:r>
    </w:p>
    <w:p>
      <w:pPr>
        <w:pStyle w:val="yIndenta"/>
      </w:pPr>
      <w:r>
        <w:tab/>
        <w:t>(f)</w:t>
      </w:r>
      <w:r>
        <w:tab/>
        <w:t>decides, under clause 61, to issue an improvement notice,</w:t>
      </w:r>
    </w:p>
    <w:p>
      <w:pPr>
        <w:pStyle w:val="ySubsection"/>
      </w:pPr>
      <w:r>
        <w:tab/>
      </w:r>
      <w:r>
        <w:tab/>
        <w:t>a person referred to in subclause (2) may apply in writing to the reviewing authority for a review of the decision.</w:t>
      </w:r>
    </w:p>
    <w:p>
      <w:pPr>
        <w:pStyle w:val="ySubsection"/>
      </w:pPr>
      <w:r>
        <w:tab/>
        <w:t>(2)</w:t>
      </w:r>
      <w:r>
        <w:tab/>
        <w:t xml:space="preserve">The following persons may apply for a review of a decision, as is relevant to the case — </w:t>
      </w:r>
    </w:p>
    <w:p>
      <w:pPr>
        <w:pStyle w:val="yIndenta"/>
      </w:pPr>
      <w:r>
        <w:tab/>
        <w:t>(a)</w:t>
      </w:r>
      <w:r>
        <w:tab/>
        <w:t xml:space="preserve">the operator of the facility or any employer (other than the operator) who is affected by the decision; </w:t>
      </w:r>
    </w:p>
    <w:p>
      <w:pPr>
        <w:pStyle w:val="yIndenta"/>
      </w:pPr>
      <w:r>
        <w:tab/>
        <w:t>(b)</w:t>
      </w:r>
      <w:r>
        <w:tab/>
        <w:t xml:space="preserve">a person to whom a notice has been issued under clause 37(2) or 61(1); </w:t>
      </w:r>
    </w:p>
    <w:p>
      <w:pPr>
        <w:pStyle w:val="yIndenta"/>
      </w:pPr>
      <w:r>
        <w:tab/>
        <w:t>(c)</w:t>
      </w:r>
      <w:r>
        <w:tab/>
        <w:t xml:space="preserve">the safety and health representative for a designated work group having a group member affected by the decision; </w:t>
      </w:r>
    </w:p>
    <w:p>
      <w:pPr>
        <w:pStyle w:val="yIndenta"/>
      </w:pPr>
      <w:r>
        <w:tab/>
        <w:t>(d)</w:t>
      </w:r>
      <w:r>
        <w:tab/>
        <w:t xml:space="preserve">a workforce representative in relation to the designated work group that includes a group member who is affected by the decision and who has requested the workforce representative to apply for a review of the decision; </w:t>
      </w:r>
    </w:p>
    <w:p>
      <w:pPr>
        <w:pStyle w:val="yIndenta"/>
      </w:pPr>
      <w:r>
        <w:tab/>
        <w:t>(e)</w:t>
      </w:r>
      <w:r>
        <w:tab/>
        <w:t xml:space="preserve">if there is no such designated work group, and a member of the workforce affected by the decision has requested a workforce representative in relation to the member to apply for a review of the decision — that workforce representative; </w:t>
      </w:r>
    </w:p>
    <w:p>
      <w:pPr>
        <w:pStyle w:val="yIndenta"/>
      </w:pPr>
      <w:r>
        <w:tab/>
        <w:t>(f)</w:t>
      </w:r>
      <w:r>
        <w:tab/>
        <w:t>a person who owns any workplace, plant, substance or thing to which the decision referred to in subclause (1)(a), (b), (c) or (f) relates.</w:t>
      </w:r>
    </w:p>
    <w:p>
      <w:pPr>
        <w:pStyle w:val="ySubsection"/>
      </w:pPr>
      <w:r>
        <w:tab/>
        <w:t>(3)</w:t>
      </w:r>
      <w:r>
        <w:tab/>
        <w:t xml:space="preserve">If an OHS inspector, having conducted an inspection — </w:t>
      </w:r>
    </w:p>
    <w:p>
      <w:pPr>
        <w:pStyle w:val="yIndenta"/>
      </w:pPr>
      <w:r>
        <w:tab/>
        <w:t>(a)</w:t>
      </w:r>
      <w:r>
        <w:tab/>
        <w:t>decides under clause 38 to cancel a provisional improvement notice; or</w:t>
      </w:r>
    </w:p>
    <w:p>
      <w:pPr>
        <w:pStyle w:val="yIndenta"/>
      </w:pPr>
      <w:r>
        <w:tab/>
        <w:t>(b)</w:t>
      </w:r>
      <w:r>
        <w:tab/>
        <w:t>decides under clause 60 that the operator of a facility to whom a prohibition notice has been issued has taken adequate action to remove the threat to safety and health that caused the notice to be issued,</w:t>
      </w:r>
    </w:p>
    <w:p>
      <w:pPr>
        <w:pStyle w:val="ySubsection"/>
      </w:pPr>
      <w:r>
        <w:tab/>
      </w:r>
      <w:r>
        <w:tab/>
        <w:t xml:space="preserve">the following persons may apply in writing to the reviewing authority for a review of the decision, as is relevant to the case — </w:t>
      </w:r>
    </w:p>
    <w:p>
      <w:pPr>
        <w:pStyle w:val="yIndenta"/>
      </w:pPr>
      <w:r>
        <w:tab/>
        <w:t>(c)</w:t>
      </w:r>
      <w:r>
        <w:tab/>
        <w:t xml:space="preserve">the safety and health representative for a designated work group having a group member affected by the decision; </w:t>
      </w:r>
    </w:p>
    <w:p>
      <w:pPr>
        <w:pStyle w:val="yIndenta"/>
      </w:pPr>
      <w:r>
        <w:tab/>
        <w:t>(d)</w:t>
      </w:r>
      <w:r>
        <w:tab/>
        <w:t xml:space="preserve">a workforce representative in relation to the designated work group that includes a group member who is affected by the decision and who has requested the workforce representative to apply for the review; </w:t>
      </w:r>
    </w:p>
    <w:p>
      <w:pPr>
        <w:pStyle w:val="yIndenta"/>
      </w:pPr>
      <w:r>
        <w:tab/>
        <w:t>(e)</w:t>
      </w:r>
      <w:r>
        <w:tab/>
        <w:t>if there is no such designated work group, and a member of the workforce affected by the decision has requested a workforce representative in relation to the member to apply for the review — that workforce representative.</w:t>
      </w:r>
    </w:p>
    <w:p>
      <w:pPr>
        <w:pStyle w:val="ySubsection"/>
      </w:pPr>
      <w:r>
        <w:tab/>
        <w:t>(4)</w:t>
      </w:r>
      <w:r>
        <w:tab/>
        <w:t xml:space="preserve">An application under subclause (2) or (3) must be made — </w:t>
      </w:r>
    </w:p>
    <w:p>
      <w:pPr>
        <w:pStyle w:val="yIndenta"/>
      </w:pPr>
      <w:r>
        <w:tab/>
        <w:t>(a)</w:t>
      </w:r>
      <w:r>
        <w:tab/>
        <w:t>not later than 7 days after the day on which the person applying received notice of the inspector’s decision; or</w:t>
      </w:r>
    </w:p>
    <w:p>
      <w:pPr>
        <w:pStyle w:val="yIndenta"/>
      </w:pPr>
      <w:r>
        <w:tab/>
        <w:t>(b)</w:t>
      </w:r>
      <w:r>
        <w:tab/>
        <w:t>within such further period as the reviewing authority may allow.</w:t>
      </w:r>
    </w:p>
    <w:p>
      <w:pPr>
        <w:pStyle w:val="ySubsection"/>
      </w:pPr>
      <w:r>
        <w:tab/>
        <w:t>(5)</w:t>
      </w:r>
      <w:r>
        <w:tab/>
        <w:t>A person, other than the operator of the facility concerned, who applies for a review of a decision must, as soon as is practicable, give a copy of the application to the operator.</w:t>
      </w:r>
    </w:p>
    <w:p>
      <w:pPr>
        <w:pStyle w:val="yPenstart"/>
      </w:pPr>
      <w:r>
        <w:tab/>
        <w:t>Penalty: $5 000.</w:t>
      </w:r>
    </w:p>
    <w:p>
      <w:pPr>
        <w:pStyle w:val="ySubsection"/>
      </w:pPr>
      <w:r>
        <w:tab/>
        <w:t>(6)</w:t>
      </w:r>
      <w:r>
        <w:tab/>
        <w:t xml:space="preserve">The reviewing authority is to give notice in writing of the decision on the reference and the reasons for the decision to — </w:t>
      </w:r>
    </w:p>
    <w:p>
      <w:pPr>
        <w:pStyle w:val="yIndenta"/>
      </w:pPr>
      <w:r>
        <w:tab/>
        <w:t>(a)</w:t>
      </w:r>
      <w:r>
        <w:tab/>
        <w:t>the person who referred the matter for review; and</w:t>
      </w:r>
    </w:p>
    <w:p>
      <w:pPr>
        <w:pStyle w:val="yIndenta"/>
      </w:pPr>
      <w:r>
        <w:tab/>
        <w:t>(b)</w:t>
      </w:r>
      <w:r>
        <w:tab/>
        <w:t>if that person is not the operator of the facility concerned, to the operator.</w:t>
      </w:r>
    </w:p>
    <w:p>
      <w:pPr>
        <w:pStyle w:val="y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ySubsection"/>
      </w:pPr>
      <w:r>
        <w:tab/>
        <w:t>(8)</w:t>
      </w:r>
      <w:r>
        <w:tab/>
        <w:t>If the decision to be reviewed is a decision under clause 61 to issue an improvement notice, the operation of the notice is suspended pending determination of the decision, except to the extent that the reviewing authority makes an order to the contrary.</w:t>
      </w:r>
    </w:p>
    <w:p>
      <w:pPr>
        <w:pStyle w:val="ySubsection"/>
      </w:pPr>
      <w:r>
        <w:tab/>
        <w:t>(9)</w:t>
      </w:r>
      <w:r>
        <w:tab/>
        <w:t>If the decision to be reviewed is a decision of an OHS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ySubsection"/>
      </w:pPr>
      <w:r>
        <w:tab/>
        <w:t>(10)</w:t>
      </w:r>
      <w:r>
        <w:tab/>
        <w:t xml:space="preserve">In this clause — </w:t>
      </w:r>
    </w:p>
    <w:p>
      <w:pPr>
        <w:pStyle w:val="y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yFootnotesection"/>
        <w:rPr>
          <w:ins w:id="3040" w:author="svcMRProcess" w:date="2020-02-19T21:14:00Z"/>
        </w:rPr>
      </w:pPr>
      <w:ins w:id="3041" w:author="svcMRProcess" w:date="2020-02-19T21:14:00Z">
        <w:r>
          <w:tab/>
          <w:t>[Clause 65 inserted by No. 13 of 2005 s. 47.]</w:t>
        </w:r>
      </w:ins>
    </w:p>
    <w:p>
      <w:pPr>
        <w:pStyle w:val="yHeading5"/>
      </w:pPr>
      <w:bookmarkStart w:id="3042" w:name="_Toc170190829"/>
      <w:r>
        <w:rPr>
          <w:rStyle w:val="CharSClsNo"/>
        </w:rPr>
        <w:t>66</w:t>
      </w:r>
      <w:r>
        <w:t>.</w:t>
      </w:r>
      <w:r>
        <w:rPr>
          <w:b w:val="0"/>
        </w:rPr>
        <w:tab/>
      </w:r>
      <w:r>
        <w:t>Powers of reviewing authority on review</w:t>
      </w:r>
      <w:bookmarkEnd w:id="3042"/>
    </w:p>
    <w:p>
      <w:pPr>
        <w:pStyle w:val="ySubsection"/>
      </w:pPr>
      <w:r>
        <w:tab/>
        <w:t>(1)</w:t>
      </w:r>
      <w:r>
        <w:tab/>
        <w:t xml:space="preserve">On a review of a decision under clause 65, the reviewing authority may — </w:t>
      </w:r>
    </w:p>
    <w:p>
      <w:pPr>
        <w:pStyle w:val="yIndenta"/>
      </w:pPr>
      <w:r>
        <w:tab/>
        <w:t>(a)</w:t>
      </w:r>
      <w:r>
        <w:tab/>
        <w:t>affirm the decision;</w:t>
      </w:r>
    </w:p>
    <w:p>
      <w:pPr>
        <w:pStyle w:val="yIndenta"/>
      </w:pPr>
      <w:r>
        <w:tab/>
        <w:t>(b)</w:t>
      </w:r>
      <w:r>
        <w:tab/>
        <w:t>affirm the decision with such modifications as the reviewing authority considers appropriate; or</w:t>
      </w:r>
    </w:p>
    <w:p>
      <w:pPr>
        <w:pStyle w:val="yIndenta"/>
      </w:pPr>
      <w:r>
        <w:tab/>
        <w:t>(c)</w:t>
      </w:r>
      <w:r>
        <w:tab/>
        <w:t>revoke the decision and make such other decision with respect to the matter as the reviewing authority thinks fit,</w:t>
      </w:r>
    </w:p>
    <w:p>
      <w:pPr>
        <w:pStyle w:val="ySubsection"/>
      </w:pPr>
      <w:r>
        <w:tab/>
      </w:r>
      <w:r>
        <w:tab/>
        <w:t>and the decision has effect or, as the case may be, ceases to have effect accordingly.</w:t>
      </w:r>
    </w:p>
    <w:p>
      <w:pPr>
        <w:pStyle w:val="ySubsection"/>
      </w:pPr>
      <w:r>
        <w:tab/>
        <w:t>(2)</w:t>
      </w:r>
      <w:r>
        <w:tab/>
        <w:t xml:space="preserve">If — </w:t>
      </w:r>
    </w:p>
    <w:p>
      <w:pPr>
        <w:pStyle w:val="yIndenta"/>
      </w:pPr>
      <w:r>
        <w:tab/>
        <w:t>(a)</w:t>
      </w:r>
      <w:r>
        <w:tab/>
        <w:t>the decision being reviewed is a decision under clause 57 to take possession of plant, a substance or a thing at a workplace; and</w:t>
      </w:r>
    </w:p>
    <w:p>
      <w:pPr>
        <w:pStyle w:val="yIndenta"/>
      </w:pPr>
      <w:r>
        <w:tab/>
        <w:t>(b)</w:t>
      </w:r>
      <w:r>
        <w:tab/>
        <w:t>the decision is not affirmed,</w:t>
      </w:r>
    </w:p>
    <w:p>
      <w:pPr>
        <w:pStyle w:val="ySubsection"/>
      </w:pPr>
      <w:r>
        <w:tab/>
      </w:r>
      <w:r>
        <w:tab/>
        <w:t>the inspector who made the decision must ensure that, to the extent that the decision is not affirmed, the plant, substance or thing is returned to the workplace as soon as practicable.</w:t>
      </w:r>
    </w:p>
    <w:p>
      <w:pPr>
        <w:pStyle w:val="yFootnotesection"/>
        <w:rPr>
          <w:ins w:id="3043" w:author="svcMRProcess" w:date="2020-02-19T21:14:00Z"/>
        </w:rPr>
      </w:pPr>
      <w:bookmarkStart w:id="3044" w:name="_Toc131393941"/>
      <w:ins w:id="3045" w:author="svcMRProcess" w:date="2020-02-19T21:14:00Z">
        <w:r>
          <w:tab/>
          <w:t>[Clause 66 inserted by No. 13 of 2005 s. 47.]</w:t>
        </w:r>
      </w:ins>
    </w:p>
    <w:p>
      <w:pPr>
        <w:pStyle w:val="yHeading3"/>
      </w:pPr>
      <w:bookmarkStart w:id="3046" w:name="_Toc162761439"/>
      <w:bookmarkStart w:id="3047" w:name="_Toc170190830"/>
      <w:bookmarkStart w:id="3048" w:name="_Toc112746425"/>
      <w:bookmarkStart w:id="3049" w:name="_Toc112746550"/>
      <w:r>
        <w:rPr>
          <w:rStyle w:val="CharSDivNo"/>
        </w:rPr>
        <w:t>Division 5</w:t>
      </w:r>
      <w:r>
        <w:rPr>
          <w:b w:val="0"/>
        </w:rPr>
        <w:t> — </w:t>
      </w:r>
      <w:r>
        <w:rPr>
          <w:rStyle w:val="CharSDivText"/>
        </w:rPr>
        <w:t>Referrals to the Tribunal</w:t>
      </w:r>
      <w:bookmarkEnd w:id="3044"/>
      <w:bookmarkEnd w:id="3046"/>
      <w:bookmarkEnd w:id="3047"/>
      <w:bookmarkEnd w:id="3048"/>
      <w:bookmarkEnd w:id="3049"/>
    </w:p>
    <w:p>
      <w:pPr>
        <w:pStyle w:val="yFootnoteheading"/>
        <w:rPr>
          <w:ins w:id="3050" w:author="svcMRProcess" w:date="2020-02-19T21:14:00Z"/>
        </w:rPr>
      </w:pPr>
      <w:ins w:id="3051" w:author="svcMRProcess" w:date="2020-02-19T21:14:00Z">
        <w:r>
          <w:tab/>
          <w:t>[Heading inserted by No. 13 of 2005 s. 47.]</w:t>
        </w:r>
      </w:ins>
    </w:p>
    <w:p>
      <w:pPr>
        <w:pStyle w:val="yHeading5"/>
      </w:pPr>
      <w:bookmarkStart w:id="3052" w:name="_Toc170190831"/>
      <w:r>
        <w:rPr>
          <w:rStyle w:val="CharSClsNo"/>
        </w:rPr>
        <w:t>67</w:t>
      </w:r>
      <w:r>
        <w:t>.</w:t>
      </w:r>
      <w:r>
        <w:rPr>
          <w:b w:val="0"/>
        </w:rPr>
        <w:tab/>
      </w:r>
      <w:r>
        <w:rPr>
          <w:bCs/>
        </w:rPr>
        <w:t>Decision may be referred to Tribunal</w:t>
      </w:r>
      <w:bookmarkEnd w:id="3052"/>
    </w:p>
    <w:p>
      <w:pPr>
        <w:pStyle w:val="ySubsection"/>
      </w:pPr>
      <w:r>
        <w:tab/>
        <w:t>(1)</w:t>
      </w:r>
      <w:r>
        <w:tab/>
        <w:t>If a person given notice of a decision under clause 22(3)(b) or 65(6) is not satisfied with the reviewing authority’s decision under that section, the person may refer the decision to the Tribunal for further review.</w:t>
      </w:r>
    </w:p>
    <w:p>
      <w:pPr>
        <w:pStyle w:val="ySubsection"/>
      </w:pPr>
      <w:r>
        <w:tab/>
        <w:t>(2)</w:t>
      </w:r>
      <w:r>
        <w:tab/>
        <w:t xml:space="preserve">A reference under subclause (1) must be made — </w:t>
      </w:r>
    </w:p>
    <w:p>
      <w:pPr>
        <w:pStyle w:val="yIndenta"/>
      </w:pPr>
      <w:r>
        <w:tab/>
        <w:t>(a)</w:t>
      </w:r>
      <w:r>
        <w:tab/>
        <w:t>not later than 7 days after the day on which the person received notice of the decision; or</w:t>
      </w:r>
    </w:p>
    <w:p>
      <w:pPr>
        <w:pStyle w:val="yIndenta"/>
      </w:pPr>
      <w:r>
        <w:tab/>
        <w:t>(b)</w:t>
      </w:r>
      <w:r>
        <w:tab/>
        <w:t>within such further period as the Tribunal may allow.</w:t>
      </w:r>
    </w:p>
    <w:p>
      <w:pPr>
        <w:pStyle w:val="ySubsection"/>
      </w:pPr>
      <w:r>
        <w:tab/>
        <w:t>(3)</w:t>
      </w:r>
      <w:r>
        <w:tab/>
        <w:t>A person, other than the operator of the facility concerned, who refers a matter for review under this clause must, as soon as is practicable, give a copy of the duly completed prescribed form to the operator.</w:t>
      </w:r>
    </w:p>
    <w:p>
      <w:pPr>
        <w:pStyle w:val="yPenstart"/>
      </w:pPr>
      <w:r>
        <w:tab/>
        <w:t>Penalty applicable to subclause (3): $5 000.</w:t>
      </w:r>
    </w:p>
    <w:p>
      <w:pPr>
        <w:pStyle w:val="yFootnotesection"/>
        <w:rPr>
          <w:ins w:id="3053" w:author="svcMRProcess" w:date="2020-02-19T21:14:00Z"/>
        </w:rPr>
      </w:pPr>
      <w:ins w:id="3054" w:author="svcMRProcess" w:date="2020-02-19T21:14:00Z">
        <w:r>
          <w:tab/>
          <w:t>[Clause 67 inserted by No. 13 of 2005 s. 47.]</w:t>
        </w:r>
      </w:ins>
    </w:p>
    <w:p>
      <w:pPr>
        <w:pStyle w:val="yHeading5"/>
      </w:pPr>
      <w:bookmarkStart w:id="3055" w:name="_Toc170190832"/>
      <w:r>
        <w:rPr>
          <w:rStyle w:val="CharSClsNo"/>
        </w:rPr>
        <w:t>68</w:t>
      </w:r>
      <w:r>
        <w:t>.</w:t>
      </w:r>
      <w:r>
        <w:rPr>
          <w:b w:val="0"/>
        </w:rPr>
        <w:tab/>
      </w:r>
      <w:r>
        <w:t>Determination by Tribunal</w:t>
      </w:r>
      <w:bookmarkEnd w:id="3055"/>
    </w:p>
    <w:p>
      <w:pPr>
        <w:pStyle w:val="ySubsection"/>
      </w:pPr>
      <w:r>
        <w:tab/>
        <w:t>(1)</w:t>
      </w:r>
      <w:r>
        <w:tab/>
        <w:t xml:space="preserve">On a reference under clause 67, the Tribunal is to inquire into the circumstances relating to the decision, and may — </w:t>
      </w:r>
    </w:p>
    <w:p>
      <w:pPr>
        <w:pStyle w:val="yIndenta"/>
      </w:pPr>
      <w:r>
        <w:tab/>
        <w:t>(a)</w:t>
      </w:r>
      <w:r>
        <w:tab/>
        <w:t>affirm the decision of the reviewing authority;</w:t>
      </w:r>
    </w:p>
    <w:p>
      <w:pPr>
        <w:pStyle w:val="yIndenta"/>
      </w:pPr>
      <w:r>
        <w:tab/>
        <w:t>(b)</w:t>
      </w:r>
      <w:r>
        <w:tab/>
        <w:t>affirm the decision of the reviewing authority with such modifications as the Tribunal considers appropriate; or</w:t>
      </w:r>
    </w:p>
    <w:p>
      <w:pPr>
        <w:pStyle w:val="yIndenta"/>
      </w:pPr>
      <w:r>
        <w:tab/>
        <w:t>(c)</w:t>
      </w:r>
      <w:r>
        <w:tab/>
        <w:t>revoke the decision of the reviewing authority and make such other decision with respect to the notice as the Tribunal thinks fit,</w:t>
      </w:r>
    </w:p>
    <w:p>
      <w:pPr>
        <w:pStyle w:val="ySubsection"/>
      </w:pPr>
      <w:r>
        <w:tab/>
      </w:r>
      <w:r>
        <w:tab/>
        <w:t>and the decision has effect or, as the case may be, ceases to have effect accordingly.</w:t>
      </w:r>
    </w:p>
    <w:p>
      <w:pPr>
        <w:pStyle w:val="ySubsection"/>
      </w:pPr>
      <w:r>
        <w:tab/>
        <w:t>(2)</w:t>
      </w:r>
      <w:r>
        <w:tab/>
        <w:t xml:space="preserve">A review under this clause — </w:t>
      </w:r>
    </w:p>
    <w:p>
      <w:pPr>
        <w:pStyle w:val="yIndenta"/>
      </w:pPr>
      <w:r>
        <w:tab/>
        <w:t>(a)</w:t>
      </w:r>
      <w:r>
        <w:tab/>
        <w:t>is to be in the nature of a rehearing; and</w:t>
      </w:r>
    </w:p>
    <w:p>
      <w:pPr>
        <w:pStyle w:val="yIndenta"/>
      </w:pPr>
      <w:r>
        <w:tab/>
        <w:t>(b)</w:t>
      </w:r>
      <w:r>
        <w:tab/>
        <w:t>is to be completed by the Tribunal as quickly as is practicable.</w:t>
      </w:r>
    </w:p>
    <w:p>
      <w:pPr>
        <w:pStyle w:val="ySubsection"/>
      </w:pPr>
      <w:r>
        <w:tab/>
        <w:t>(3)</w:t>
      </w:r>
      <w:r>
        <w:tab/>
        <w:t xml:space="preserve">The Tribunal is to give notice in writing of its decision on the reference and the reasons for the decision to — </w:t>
      </w:r>
    </w:p>
    <w:p>
      <w:pPr>
        <w:pStyle w:val="yIndenta"/>
      </w:pPr>
      <w:r>
        <w:tab/>
        <w:t>(a)</w:t>
      </w:r>
      <w:r>
        <w:tab/>
        <w:t>the person who referred the matter for review; and</w:t>
      </w:r>
    </w:p>
    <w:p>
      <w:pPr>
        <w:pStyle w:val="yIndenta"/>
      </w:pPr>
      <w:r>
        <w:tab/>
        <w:t>(b)</w:t>
      </w:r>
      <w:r>
        <w:tab/>
        <w:t>if that person is not the operator of the facility concerned, to the operator.</w:t>
      </w:r>
    </w:p>
    <w:p>
      <w:pPr>
        <w:pStyle w:val="yFootnotesection"/>
        <w:rPr>
          <w:ins w:id="3056" w:author="svcMRProcess" w:date="2020-02-19T21:14:00Z"/>
        </w:rPr>
      </w:pPr>
      <w:ins w:id="3057" w:author="svcMRProcess" w:date="2020-02-19T21:14:00Z">
        <w:r>
          <w:tab/>
          <w:t>[Clause 68 inserted by No. 13 of 2005 s. 47.]</w:t>
        </w:r>
      </w:ins>
    </w:p>
    <w:p>
      <w:pPr>
        <w:pStyle w:val="yHeading5"/>
      </w:pPr>
      <w:bookmarkStart w:id="3058" w:name="_Toc170190833"/>
      <w:r>
        <w:rPr>
          <w:rStyle w:val="CharSClsNo"/>
        </w:rPr>
        <w:t>69</w:t>
      </w:r>
      <w:r>
        <w:t>.</w:t>
      </w:r>
      <w:r>
        <w:rPr>
          <w:b w:val="0"/>
        </w:rPr>
        <w:tab/>
      </w:r>
      <w:r>
        <w:t>Effect of pending review by Tribunal</w:t>
      </w:r>
      <w:bookmarkEnd w:id="3058"/>
    </w:p>
    <w:p>
      <w:pPr>
        <w:pStyle w:val="y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ySubsection"/>
      </w:pPr>
      <w:r>
        <w:tab/>
        <w:t>(2)</w:t>
      </w:r>
      <w:r>
        <w:tab/>
        <w:t>If the decision to be reviewed concerns a decision under clause 61 to issue an improvement notice, the operation of the notice is suspended pending determination of the review, except to the extent that the Tribunal makes an order to the contrary.</w:t>
      </w:r>
    </w:p>
    <w:p>
      <w:pPr>
        <w:pStyle w:val="ySubsection"/>
      </w:pPr>
      <w:r>
        <w:tab/>
        <w:t>(3)</w:t>
      </w:r>
      <w:r>
        <w:tab/>
        <w:t>If the decision to be reviewed concerns a decision of an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yFootnotesection"/>
        <w:rPr>
          <w:ins w:id="3059" w:author="svcMRProcess" w:date="2020-02-19T21:14:00Z"/>
        </w:rPr>
      </w:pPr>
      <w:ins w:id="3060" w:author="svcMRProcess" w:date="2020-02-19T21:14:00Z">
        <w:r>
          <w:tab/>
          <w:t>[Clause 69 inserted by No. 13 of 2005 s. 47.]</w:t>
        </w:r>
      </w:ins>
    </w:p>
    <w:p>
      <w:pPr>
        <w:pStyle w:val="yHeading5"/>
      </w:pPr>
      <w:bookmarkStart w:id="3061" w:name="_Toc170190834"/>
      <w:r>
        <w:rPr>
          <w:rStyle w:val="CharSClsNo"/>
        </w:rPr>
        <w:t>70</w:t>
      </w:r>
      <w:r>
        <w:t>.</w:t>
      </w:r>
      <w:r>
        <w:rPr>
          <w:b w:val="0"/>
        </w:rPr>
        <w:tab/>
      </w:r>
      <w:r>
        <w:t>Jurisdiction of Tribunal</w:t>
      </w:r>
      <w:bookmarkEnd w:id="3061"/>
    </w:p>
    <w:p>
      <w:pPr>
        <w:pStyle w:val="ySubsection"/>
      </w:pPr>
      <w:r>
        <w:tab/>
        <w:t>(1)</w:t>
      </w:r>
      <w:r>
        <w:tab/>
        <w:t xml:space="preserve">This clause applies where — </w:t>
      </w:r>
    </w:p>
    <w:p>
      <w:pPr>
        <w:pStyle w:val="yIndenta"/>
      </w:pPr>
      <w:r>
        <w:tab/>
        <w:t>(a)</w:t>
      </w:r>
      <w:r>
        <w:tab/>
        <w:t>under clause 67 a matter is referred to the Tribunal; or</w:t>
      </w:r>
    </w:p>
    <w:p>
      <w:pPr>
        <w:pStyle w:val="yIndenta"/>
      </w:pPr>
      <w:r>
        <w:tab/>
        <w:t>(b)</w:t>
      </w:r>
      <w:r>
        <w:tab/>
        <w:t>under clause 31 an application is made to the Tribunal.</w:t>
      </w:r>
    </w:p>
    <w:p>
      <w:pPr>
        <w:pStyle w:val="ySubsection"/>
      </w:pPr>
      <w:r>
        <w:tab/>
        <w:t>(2)</w:t>
      </w:r>
      <w:r>
        <w:tab/>
        <w:t xml:space="preserve">Where this clause applies — </w:t>
      </w:r>
    </w:p>
    <w:p>
      <w:pPr>
        <w:pStyle w:val="yIndenta"/>
      </w:pPr>
      <w:r>
        <w:tab/>
        <w:t>(a)</w:t>
      </w:r>
      <w:r>
        <w:tab/>
        <w:t>the matter or application may be heard and determined; and</w:t>
      </w:r>
    </w:p>
    <w:p>
      <w:pPr>
        <w:pStyle w:val="yIndenta"/>
      </w:pPr>
      <w:r>
        <w:tab/>
        <w:t>(b)</w:t>
      </w:r>
      <w:r>
        <w:tab/>
        <w:t>a determination made by the Tribunal on the matter or application has effect, and may be appealed against and enforced,</w:t>
      </w:r>
    </w:p>
    <w:p>
      <w:pPr>
        <w:pStyle w:val="ySubsection"/>
      </w:pPr>
      <w:r>
        <w:tab/>
      </w:r>
      <w:r>
        <w:tab/>
        <w:t xml:space="preserve">as if it were — </w:t>
      </w:r>
    </w:p>
    <w:p>
      <w:pPr>
        <w:pStyle w:val="yIndenta"/>
      </w:pPr>
      <w:r>
        <w:tab/>
        <w:t>(c)</w:t>
      </w:r>
      <w:r>
        <w:tab/>
        <w:t xml:space="preserve">a matter in respect of which jurisdiction is conferred on the Tribunal by Part VIB of the </w:t>
      </w:r>
      <w:r>
        <w:rPr>
          <w:i/>
        </w:rPr>
        <w:t xml:space="preserve">Occupational </w:t>
      </w:r>
      <w:r>
        <w:rPr>
          <w:rFonts w:ascii="Times" w:hAnsi="Times"/>
          <w:i/>
        </w:rPr>
        <w:t>Safety and</w:t>
      </w:r>
      <w:r>
        <w:rPr>
          <w:i/>
        </w:rPr>
        <w:t xml:space="preserve"> Health Act 1984</w:t>
      </w:r>
      <w:r>
        <w:t>; or</w:t>
      </w:r>
    </w:p>
    <w:p>
      <w:pPr>
        <w:pStyle w:val="yIndenta"/>
      </w:pPr>
      <w:r>
        <w:tab/>
        <w:t>(d)</w:t>
      </w:r>
      <w:r>
        <w:tab/>
        <w:t>a determination made for the purposes of that Part.</w:t>
      </w:r>
    </w:p>
    <w:p>
      <w:pPr>
        <w:pStyle w:val="ySubsection"/>
      </w:pPr>
      <w:r>
        <w:tab/>
        <w:t>(3)</w:t>
      </w:r>
      <w:r>
        <w:tab/>
        <w:t xml:space="preserve">The provisions of — </w:t>
      </w:r>
    </w:p>
    <w:p>
      <w:pPr>
        <w:pStyle w:val="yIndenta"/>
      </w:pPr>
      <w:r>
        <w:tab/>
        <w:t>(a)</w:t>
      </w:r>
      <w:r>
        <w:tab/>
        <w:t xml:space="preserve">Part VIB of the </w:t>
      </w:r>
      <w:r>
        <w:rPr>
          <w:i/>
        </w:rPr>
        <w:t>Occupational Safety and Health Act 1984</w:t>
      </w:r>
      <w:r>
        <w:t>; and</w:t>
      </w:r>
    </w:p>
    <w:p>
      <w:pPr>
        <w:pStyle w:val="yIndenta"/>
      </w:pPr>
      <w:r>
        <w:tab/>
        <w:t>(b)</w:t>
      </w:r>
      <w:r>
        <w:tab/>
        <w:t xml:space="preserve">the </w:t>
      </w:r>
      <w:r>
        <w:rPr>
          <w:i/>
        </w:rPr>
        <w:t>Industrial Relations Act 1979</w:t>
      </w:r>
      <w:r>
        <w:t xml:space="preserve"> applied by that Part,</w:t>
      </w:r>
    </w:p>
    <w:p>
      <w:pPr>
        <w:pStyle w:val="ySubsection"/>
      </w:pPr>
      <w:r>
        <w:tab/>
      </w:r>
      <w:r>
        <w:tab/>
        <w:t>have effect for the purposes of this clause with all necessary changes.</w:t>
      </w:r>
    </w:p>
    <w:p>
      <w:pPr>
        <w:pStyle w:val="y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67 in relation to a decision made under clause 22.</w:t>
      </w:r>
    </w:p>
    <w:p>
      <w:pPr>
        <w:pStyle w:val="yFootnotesection"/>
        <w:rPr>
          <w:ins w:id="3062" w:author="svcMRProcess" w:date="2020-02-19T21:14:00Z"/>
        </w:rPr>
      </w:pPr>
      <w:bookmarkStart w:id="3063" w:name="_Toc131393942"/>
      <w:ins w:id="3064" w:author="svcMRProcess" w:date="2020-02-19T21:14:00Z">
        <w:r>
          <w:tab/>
          <w:t>[Clause 70 inserted by No. 13 of 2005 s. 47.]</w:t>
        </w:r>
      </w:ins>
    </w:p>
    <w:p>
      <w:pPr>
        <w:pStyle w:val="yHeading3"/>
      </w:pPr>
      <w:bookmarkStart w:id="3065" w:name="_Toc162761444"/>
      <w:bookmarkStart w:id="3066" w:name="_Toc170190835"/>
      <w:bookmarkStart w:id="3067" w:name="_Toc112746426"/>
      <w:bookmarkStart w:id="3068" w:name="_Toc112746551"/>
      <w:r>
        <w:rPr>
          <w:rStyle w:val="CharSDivNo"/>
        </w:rPr>
        <w:t>Division 6</w:t>
      </w:r>
      <w:r>
        <w:rPr>
          <w:b w:val="0"/>
        </w:rPr>
        <w:t> — </w:t>
      </w:r>
      <w:r>
        <w:rPr>
          <w:rStyle w:val="CharSDivText"/>
        </w:rPr>
        <w:t>General</w:t>
      </w:r>
      <w:bookmarkEnd w:id="3063"/>
      <w:bookmarkEnd w:id="3065"/>
      <w:bookmarkEnd w:id="3066"/>
      <w:bookmarkEnd w:id="3067"/>
      <w:bookmarkEnd w:id="3068"/>
    </w:p>
    <w:p>
      <w:pPr>
        <w:pStyle w:val="yFootnoteheading"/>
        <w:rPr>
          <w:ins w:id="3069" w:author="svcMRProcess" w:date="2020-02-19T21:14:00Z"/>
        </w:rPr>
      </w:pPr>
      <w:ins w:id="3070" w:author="svcMRProcess" w:date="2020-02-19T21:14:00Z">
        <w:r>
          <w:tab/>
          <w:t>[Heading inserted by No. 13 of 2005 s. 47.]</w:t>
        </w:r>
      </w:ins>
    </w:p>
    <w:p>
      <w:pPr>
        <w:pStyle w:val="yHeading5"/>
      </w:pPr>
      <w:bookmarkStart w:id="3071" w:name="_Toc170190836"/>
      <w:r>
        <w:rPr>
          <w:rStyle w:val="CharSClsNo"/>
        </w:rPr>
        <w:t>71</w:t>
      </w:r>
      <w:r>
        <w:t>.</w:t>
      </w:r>
      <w:r>
        <w:rPr>
          <w:b w:val="0"/>
        </w:rPr>
        <w:tab/>
      </w:r>
      <w:r>
        <w:t>Notifying and reporting accidents and dangerous occurrences</w:t>
      </w:r>
      <w:bookmarkEnd w:id="3071"/>
    </w:p>
    <w:p>
      <w:pPr>
        <w:pStyle w:val="ySubsection"/>
      </w:pPr>
      <w:r>
        <w:tab/>
        <w:t>(1)</w:t>
      </w:r>
      <w:r>
        <w:tab/>
        <w:t xml:space="preserve">If, at or near a facility, there is — </w:t>
      </w:r>
    </w:p>
    <w:p>
      <w:pPr>
        <w:pStyle w:val="yIndenta"/>
      </w:pPr>
      <w:r>
        <w:tab/>
        <w:t>(a)</w:t>
      </w:r>
      <w:r>
        <w:tab/>
        <w:t>an accident that causes the death of, or serious personal injury to, any person;</w:t>
      </w:r>
    </w:p>
    <w:p>
      <w:pPr>
        <w:pStyle w:val="yIndenta"/>
      </w:pPr>
      <w:r>
        <w:tab/>
        <w:t>(b)</w:t>
      </w:r>
      <w:r>
        <w:tab/>
        <w:t>an accident that causes a member of the workforce to be incapacitated from performing work for a period prescribed for the purposes of this paragraph; or</w:t>
      </w:r>
    </w:p>
    <w:p>
      <w:pPr>
        <w:pStyle w:val="yIndenta"/>
      </w:pPr>
      <w:r>
        <w:tab/>
        <w:t>(c)</w:t>
      </w:r>
      <w:r>
        <w:tab/>
        <w:t>a dangerous occurrence,</w:t>
      </w:r>
    </w:p>
    <w:p>
      <w:pPr>
        <w:pStyle w:val="ySubsection"/>
      </w:pPr>
      <w:r>
        <w:tab/>
      </w:r>
      <w:r>
        <w:tab/>
        <w:t>the operator must, in accordance with the regulations, give the Safety Authority notice of, and a report about, the accident or dangerous occurrence.</w:t>
      </w:r>
    </w:p>
    <w:p>
      <w:pPr>
        <w:pStyle w:val="yPenstart"/>
      </w:pPr>
      <w:r>
        <w:tab/>
        <w:t>Penalty: $5 000.</w:t>
      </w:r>
    </w:p>
    <w:p>
      <w:pPr>
        <w:pStyle w:val="ySubsection"/>
      </w:pPr>
      <w:r>
        <w:tab/>
        <w:t>(2)</w:t>
      </w:r>
      <w:r>
        <w:tab/>
        <w:t xml:space="preserve">Regulations made for the purposes of subclause (1) (other than regulations made for the purpose of subclause (1)(b)) may prescribe — </w:t>
      </w:r>
    </w:p>
    <w:p>
      <w:pPr>
        <w:pStyle w:val="yIndenta"/>
      </w:pPr>
      <w:r>
        <w:tab/>
        <w:t>(a)</w:t>
      </w:r>
      <w:r>
        <w:tab/>
        <w:t>the time within which, and the manner in which, notice of an accident or dangerous occurrence is to be given, and the form of the notice; and</w:t>
      </w:r>
    </w:p>
    <w:p>
      <w:pPr>
        <w:pStyle w:val="yIndenta"/>
      </w:pPr>
      <w:r>
        <w:tab/>
        <w:t>(b)</w:t>
      </w:r>
      <w:r>
        <w:tab/>
        <w:t>the time within which, and the manner in which, a report of an accident or dangerous occurrence is to be given, and the form of the report.</w:t>
      </w:r>
    </w:p>
    <w:p>
      <w:pPr>
        <w:pStyle w:val="ySubsection"/>
      </w:pPr>
      <w:r>
        <w:tab/>
        <w:t>(3)</w:t>
      </w:r>
      <w:r>
        <w:tab/>
        <w:t>Subclause (2) does not limit regulations that may be made for the purposes of subclause (1).</w:t>
      </w:r>
    </w:p>
    <w:p>
      <w:pPr>
        <w:pStyle w:val="yFootnotesection"/>
        <w:rPr>
          <w:ins w:id="3072" w:author="svcMRProcess" w:date="2020-02-19T21:14:00Z"/>
        </w:rPr>
      </w:pPr>
      <w:ins w:id="3073" w:author="svcMRProcess" w:date="2020-02-19T21:14:00Z">
        <w:r>
          <w:tab/>
          <w:t>[Clause 71 inserted by No. 13 of 2005 s. 47.]</w:t>
        </w:r>
      </w:ins>
    </w:p>
    <w:p>
      <w:pPr>
        <w:pStyle w:val="yHeading5"/>
      </w:pPr>
      <w:bookmarkStart w:id="3074" w:name="_Toc170190837"/>
      <w:r>
        <w:rPr>
          <w:rStyle w:val="CharSClsNo"/>
        </w:rPr>
        <w:t>72</w:t>
      </w:r>
      <w:r>
        <w:t>.</w:t>
      </w:r>
      <w:r>
        <w:rPr>
          <w:b w:val="0"/>
        </w:rPr>
        <w:tab/>
      </w:r>
      <w:r>
        <w:t>Records of accidents and dangerous occurrences to be kept</w:t>
      </w:r>
      <w:bookmarkEnd w:id="3074"/>
    </w:p>
    <w:p>
      <w:pPr>
        <w:pStyle w:val="ySubsection"/>
      </w:pPr>
      <w:r>
        <w:tab/>
        <w:t>(1)</w:t>
      </w:r>
      <w:r>
        <w:tab/>
        <w:t>The operator of a facility must maintain, in accordance with the regulations, a record of each accident or dangerous occurrence in respect of which the operator is required by clause 68 to notify the Safety Authority.</w:t>
      </w:r>
    </w:p>
    <w:p>
      <w:pPr>
        <w:pStyle w:val="ySubsection"/>
      </w:pPr>
      <w:r>
        <w:tab/>
        <w:t>(2)</w:t>
      </w:r>
      <w:r>
        <w:tab/>
        <w:t xml:space="preserve">Regulations made for the purposes of subclause (1) may prescribe — </w:t>
      </w:r>
    </w:p>
    <w:p>
      <w:pPr>
        <w:pStyle w:val="yIndenta"/>
      </w:pPr>
      <w:r>
        <w:tab/>
        <w:t>(a)</w:t>
      </w:r>
      <w:r>
        <w:tab/>
        <w:t>the nature of the contents of a record maintained under this clause; and</w:t>
      </w:r>
    </w:p>
    <w:p>
      <w:pPr>
        <w:pStyle w:val="yIndenta"/>
      </w:pPr>
      <w:r>
        <w:tab/>
        <w:t>(b)</w:t>
      </w:r>
      <w:r>
        <w:tab/>
        <w:t>the period for which the record must be retained.</w:t>
      </w:r>
    </w:p>
    <w:p>
      <w:pPr>
        <w:pStyle w:val="ySubsection"/>
      </w:pPr>
      <w:r>
        <w:tab/>
        <w:t>(3)</w:t>
      </w:r>
      <w:r>
        <w:tab/>
        <w:t>Subclause (2) does not limit regulations that may be made for the purposes of subclause (1).</w:t>
      </w:r>
    </w:p>
    <w:p>
      <w:pPr>
        <w:pStyle w:val="yFootnotesection"/>
        <w:rPr>
          <w:ins w:id="3075" w:author="svcMRProcess" w:date="2020-02-19T21:14:00Z"/>
        </w:rPr>
      </w:pPr>
      <w:ins w:id="3076" w:author="svcMRProcess" w:date="2020-02-19T21:14:00Z">
        <w:r>
          <w:tab/>
          <w:t>[Clause 72 inserted by No. 13 of 2005 s. 47.]</w:t>
        </w:r>
      </w:ins>
    </w:p>
    <w:p>
      <w:pPr>
        <w:pStyle w:val="yHeading5"/>
      </w:pPr>
      <w:bookmarkStart w:id="3077" w:name="_Toc170190838"/>
      <w:r>
        <w:rPr>
          <w:rStyle w:val="CharSClsNo"/>
        </w:rPr>
        <w:t>73</w:t>
      </w:r>
      <w:r>
        <w:rPr>
          <w:bCs/>
        </w:rPr>
        <w:t>.</w:t>
      </w:r>
      <w:r>
        <w:rPr>
          <w:b w:val="0"/>
          <w:bCs/>
        </w:rPr>
        <w:tab/>
      </w:r>
      <w:r>
        <w:rPr>
          <w:bCs/>
        </w:rPr>
        <w:t>Codes</w:t>
      </w:r>
      <w:r>
        <w:t xml:space="preserve"> of practice</w:t>
      </w:r>
      <w:bookmarkEnd w:id="3077"/>
    </w:p>
    <w:p>
      <w:pPr>
        <w:pStyle w:val="ySubsection"/>
      </w:pPr>
      <w:r>
        <w:tab/>
        <w:t>(1)</w:t>
      </w:r>
      <w:r>
        <w:tab/>
        <w:t>The regulations may prescribe codes of practice for the purpose of providing practical guidance to operators of facilities and employers (other than operators) of members of the workforce at facilities.</w:t>
      </w:r>
    </w:p>
    <w:p>
      <w:pPr>
        <w:pStyle w:val="ySubsection"/>
      </w:pPr>
      <w:r>
        <w:tab/>
        <w:t>(2)</w:t>
      </w:r>
      <w:r>
        <w:tab/>
        <w:t>A person is not liable in any civil or criminal proceedings for contravening a code of practice.</w:t>
      </w:r>
    </w:p>
    <w:p>
      <w:pPr>
        <w:pStyle w:val="yFootnotesection"/>
        <w:rPr>
          <w:ins w:id="3078" w:author="svcMRProcess" w:date="2020-02-19T21:14:00Z"/>
        </w:rPr>
      </w:pPr>
      <w:ins w:id="3079" w:author="svcMRProcess" w:date="2020-02-19T21:14:00Z">
        <w:r>
          <w:tab/>
          <w:t>[Clause 73 inserted by No. 13 of 2005 s. 47.]</w:t>
        </w:r>
      </w:ins>
    </w:p>
    <w:p>
      <w:pPr>
        <w:pStyle w:val="yHeading5"/>
      </w:pPr>
      <w:bookmarkStart w:id="3080" w:name="_Toc170190839"/>
      <w:r>
        <w:rPr>
          <w:rStyle w:val="CharSClsNo"/>
        </w:rPr>
        <w:t>74</w:t>
      </w:r>
      <w:r>
        <w:t>.</w:t>
      </w:r>
      <w:r>
        <w:rPr>
          <w:b w:val="0"/>
        </w:rPr>
        <w:tab/>
      </w:r>
      <w:r>
        <w:t>Use of codes of practice in proceedings</w:t>
      </w:r>
      <w:bookmarkEnd w:id="3080"/>
    </w:p>
    <w:p>
      <w:pPr>
        <w:pStyle w:val="ySubsection"/>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ySubsection"/>
      </w:pPr>
      <w:r>
        <w:tab/>
        <w:t>(2)</w:t>
      </w:r>
      <w:r>
        <w:tab/>
        <w:t>The code of practice is admissible in evidence in those proceedings.</w:t>
      </w:r>
    </w:p>
    <w:p>
      <w:pPr>
        <w:pStyle w:val="ySubsection"/>
      </w:pPr>
      <w:r>
        <w:tab/>
        <w:t>(3)</w:t>
      </w:r>
      <w:r>
        <w:tab/>
        <w:t xml:space="preserve">If the court is satisfied, in relation to any matter which it is necessary for the prosecution to prove in order to establish the alleged contravention, that — </w:t>
      </w:r>
    </w:p>
    <w:p>
      <w:pPr>
        <w:pStyle w:val="yIndenta"/>
      </w:pPr>
      <w:r>
        <w:tab/>
        <w:t>(a)</w:t>
      </w:r>
      <w:r>
        <w:tab/>
        <w:t>any provision of the code of practice is relevant to that matter; and</w:t>
      </w:r>
    </w:p>
    <w:p>
      <w:pPr>
        <w:pStyle w:val="yIndenta"/>
      </w:pPr>
      <w:r>
        <w:tab/>
        <w:t>(b)</w:t>
      </w:r>
      <w:r>
        <w:tab/>
        <w:t>the person failed at any material time to comply with that provision of the code of practice,</w:t>
      </w:r>
    </w:p>
    <w:p>
      <w:pPr>
        <w:pStyle w:val="ySubsection"/>
      </w:pPr>
      <w:r>
        <w:tab/>
      </w:r>
      <w:r>
        <w:tab/>
        <w:t>that matter is treated as proved unless the court is satisfied that in respect of that matter the person complied with that provision of the listed OSH law otherwise than by complying with the code of practice.</w:t>
      </w:r>
    </w:p>
    <w:p>
      <w:pPr>
        <w:pStyle w:val="yFootnotesection"/>
        <w:rPr>
          <w:ins w:id="3081" w:author="svcMRProcess" w:date="2020-02-19T21:14:00Z"/>
        </w:rPr>
      </w:pPr>
      <w:ins w:id="3082" w:author="svcMRProcess" w:date="2020-02-19T21:14:00Z">
        <w:r>
          <w:tab/>
          <w:t>[Clause 74 inserted by No. 13 of 2005 s. 47.]</w:t>
        </w:r>
      </w:ins>
    </w:p>
    <w:p>
      <w:pPr>
        <w:pStyle w:val="yHeading5"/>
      </w:pPr>
      <w:bookmarkStart w:id="3083" w:name="_Toc170190840"/>
      <w:r>
        <w:rPr>
          <w:rStyle w:val="CharSClsNo"/>
        </w:rPr>
        <w:t>75</w:t>
      </w:r>
      <w:r>
        <w:t>.</w:t>
      </w:r>
      <w:r>
        <w:rPr>
          <w:b w:val="0"/>
        </w:rPr>
        <w:tab/>
      </w:r>
      <w:r>
        <w:t>Interference etc. with equipment etc.</w:t>
      </w:r>
      <w:bookmarkEnd w:id="3083"/>
    </w:p>
    <w:p>
      <w:pPr>
        <w:pStyle w:val="y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at a facility if the person knew (or ought reasonably to have known) that the equipment or device was protective equipment or a safety device.</w:t>
      </w:r>
    </w:p>
    <w:p>
      <w:pPr>
        <w:pStyle w:val="yPenstart"/>
      </w:pPr>
      <w:r>
        <w:tab/>
        <w:t>Penalty:</w:t>
      </w:r>
      <w:del w:id="3084" w:author="svcMRProcess" w:date="2020-02-19T21:14:00Z">
        <w:r>
          <w:tab/>
        </w:r>
      </w:del>
      <w:ins w:id="3085" w:author="svcMRProcess" w:date="2020-02-19T21:14:00Z">
        <w:r>
          <w:t xml:space="preserve"> </w:t>
        </w:r>
      </w:ins>
      <w:r>
        <w:t xml:space="preserve">$3 300 or imprisonment for 6 months or both. </w:t>
      </w:r>
    </w:p>
    <w:p>
      <w:pPr>
        <w:pStyle w:val="yFootnotesection"/>
        <w:rPr>
          <w:ins w:id="3086" w:author="svcMRProcess" w:date="2020-02-19T21:14:00Z"/>
        </w:rPr>
      </w:pPr>
      <w:ins w:id="3087" w:author="svcMRProcess" w:date="2020-02-19T21:14:00Z">
        <w:r>
          <w:tab/>
          <w:t>[Clause 75 inserted by No. 13 of 2005 s. 47.]</w:t>
        </w:r>
      </w:ins>
    </w:p>
    <w:p>
      <w:pPr>
        <w:pStyle w:val="yHeading5"/>
      </w:pPr>
      <w:bookmarkStart w:id="3088" w:name="_Toc170190841"/>
      <w:r>
        <w:rPr>
          <w:rStyle w:val="CharSClsNo"/>
        </w:rPr>
        <w:t>76</w:t>
      </w:r>
      <w:r>
        <w:t>.</w:t>
      </w:r>
      <w:r>
        <w:rPr>
          <w:b w:val="0"/>
        </w:rPr>
        <w:tab/>
      </w:r>
      <w:r>
        <w:t>No charges to be levied on members of workforce</w:t>
      </w:r>
      <w:bookmarkEnd w:id="3088"/>
    </w:p>
    <w:p>
      <w:pPr>
        <w:pStyle w:val="ySubsection"/>
      </w:pPr>
      <w:r>
        <w:tab/>
      </w:r>
      <w:r>
        <w:tab/>
        <w:t>The operator of a facility or an employer (other than the operator) of members of the workforce at a facility must not levy, or permit to be levied, on a member of the workforce any charge in respect of anything done or provided in accordance with a listed OSH law in order to ensure the occupational safety and health of persons at or near the facility.</w:t>
      </w:r>
    </w:p>
    <w:p>
      <w:pPr>
        <w:pStyle w:val="yPenstart"/>
      </w:pPr>
      <w:r>
        <w:tab/>
        <w:t>Penalty:</w:t>
      </w:r>
      <w:del w:id="3089" w:author="svcMRProcess" w:date="2020-02-19T21:14:00Z">
        <w:r>
          <w:tab/>
        </w:r>
      </w:del>
      <w:ins w:id="3090" w:author="svcMRProcess" w:date="2020-02-19T21:14:00Z">
        <w:r>
          <w:t xml:space="preserve"> </w:t>
        </w:r>
      </w:ins>
      <w:r>
        <w:t>$27 500.</w:t>
      </w:r>
    </w:p>
    <w:p>
      <w:pPr>
        <w:pStyle w:val="yFootnotesection"/>
        <w:rPr>
          <w:ins w:id="3091" w:author="svcMRProcess" w:date="2020-02-19T21:14:00Z"/>
        </w:rPr>
      </w:pPr>
      <w:ins w:id="3092" w:author="svcMRProcess" w:date="2020-02-19T21:14:00Z">
        <w:r>
          <w:tab/>
          <w:t>[Clause 76 inserted by No. 13 of 2005 s. 47.]</w:t>
        </w:r>
      </w:ins>
    </w:p>
    <w:p>
      <w:pPr>
        <w:pStyle w:val="yHeading5"/>
      </w:pPr>
      <w:bookmarkStart w:id="3093" w:name="_Toc170190842"/>
      <w:r>
        <w:rPr>
          <w:rStyle w:val="CharSClsNo"/>
        </w:rPr>
        <w:t>77</w:t>
      </w:r>
      <w:r>
        <w:t>.</w:t>
      </w:r>
      <w:r>
        <w:rPr>
          <w:b w:val="0"/>
        </w:rPr>
        <w:tab/>
      </w:r>
      <w:r>
        <w:t>Victimisation</w:t>
      </w:r>
      <w:bookmarkEnd w:id="3093"/>
    </w:p>
    <w:p>
      <w:pPr>
        <w:pStyle w:val="ySubsection"/>
      </w:pPr>
      <w:r>
        <w:tab/>
        <w:t>(1)</w:t>
      </w:r>
      <w:r>
        <w:tab/>
        <w:t xml:space="preserve">An employer (whether the operator or another person) must not — </w:t>
      </w:r>
    </w:p>
    <w:p>
      <w:pPr>
        <w:pStyle w:val="yIndenta"/>
      </w:pPr>
      <w:r>
        <w:tab/>
        <w:t>(a)</w:t>
      </w:r>
      <w:r>
        <w:tab/>
        <w:t xml:space="preserve">dismiss an employee; </w:t>
      </w:r>
    </w:p>
    <w:p>
      <w:pPr>
        <w:pStyle w:val="yIndenta"/>
      </w:pPr>
      <w:r>
        <w:tab/>
        <w:t>(b)</w:t>
      </w:r>
      <w:r>
        <w:tab/>
        <w:t xml:space="preserve">perform an act that results in injury to an employee in his or her employment; </w:t>
      </w:r>
    </w:p>
    <w:p>
      <w:pPr>
        <w:pStyle w:val="yIndenta"/>
      </w:pPr>
      <w:r>
        <w:tab/>
        <w:t>(c)</w:t>
      </w:r>
      <w:r>
        <w:tab/>
        <w:t>perform an act that prejudicially alters the employee’s position (whether by deducting or withholding remuneration or by any other means); or</w:t>
      </w:r>
    </w:p>
    <w:p>
      <w:pPr>
        <w:pStyle w:val="yIndenta"/>
      </w:pPr>
      <w:r>
        <w:tab/>
        <w:t>(d)</w:t>
      </w:r>
      <w:r>
        <w:tab/>
        <w:t>threaten to do any of those things,</w:t>
      </w:r>
    </w:p>
    <w:p>
      <w:pPr>
        <w:pStyle w:val="ySubsection"/>
      </w:pPr>
      <w:r>
        <w:tab/>
      </w:r>
      <w:r>
        <w:tab/>
        <w:t xml:space="preserve">because the employee — </w:t>
      </w:r>
    </w:p>
    <w:p>
      <w:pPr>
        <w:pStyle w:val="yIndenta"/>
      </w:pPr>
      <w:r>
        <w:tab/>
        <w:t>(e)</w:t>
      </w:r>
      <w:r>
        <w:tab/>
        <w:t xml:space="preserve">has complained or proposes to complain about a matter concerning the safety or health of employees at work; </w:t>
      </w:r>
    </w:p>
    <w:p>
      <w:pPr>
        <w:pStyle w:val="yIndenta"/>
      </w:pPr>
      <w:r>
        <w:tab/>
        <w:t>(f)</w:t>
      </w:r>
      <w:r>
        <w:tab/>
        <w:t>has assisted or proposes to assist, by giving information or otherwise, the conduct of an inspection; or</w:t>
      </w:r>
    </w:p>
    <w:p>
      <w:pPr>
        <w:pStyle w:val="yIndenta"/>
      </w:pPr>
      <w:r>
        <w:tab/>
        <w:t>(g)</w:t>
      </w:r>
      <w:r>
        <w:tab/>
        <w:t xml:space="preserve">has ceased, or proposes to cease, to perform work, in accordance with a direction by a safety and health representative under clause 43(1)(b) or (3)(c), and the cessation or proposed cessation does not continue after — </w:t>
      </w:r>
    </w:p>
    <w:p>
      <w:pPr>
        <w:pStyle w:val="yIndenti0"/>
      </w:pPr>
      <w:r>
        <w:tab/>
        <w:t>(i)</w:t>
      </w:r>
      <w:r>
        <w:tab/>
        <w:t>the safety and health representative has agreed with a person supervising the work that the cessation or proposed cessation was not, or is no longer, necessary; or</w:t>
      </w:r>
    </w:p>
    <w:p>
      <w:pPr>
        <w:pStyle w:val="yIndenti0"/>
      </w:pPr>
      <w:r>
        <w:tab/>
        <w:t>(ii)</w:t>
      </w:r>
      <w:r>
        <w:tab/>
        <w:t>an OHS inspector has, under clause 43(5), made a decision that has the effect that the employee should perform the work.</w:t>
      </w:r>
    </w:p>
    <w:p>
      <w:pPr>
        <w:pStyle w:val="yPenstart"/>
      </w:pPr>
      <w:r>
        <w:tab/>
        <w:t>Penalty:</w:t>
      </w:r>
      <w:del w:id="3094" w:author="svcMRProcess" w:date="2020-02-19T21:14:00Z">
        <w:r>
          <w:tab/>
        </w:r>
      </w:del>
      <w:ins w:id="3095" w:author="svcMRProcess" w:date="2020-02-19T21:14:00Z">
        <w:r>
          <w:t xml:space="preserve"> </w:t>
        </w:r>
      </w:ins>
      <w:r>
        <w:t>$27 500.</w:t>
      </w:r>
    </w:p>
    <w:p>
      <w:pPr>
        <w:pStyle w:val="y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yFootnotesection"/>
        <w:rPr>
          <w:ins w:id="3096" w:author="svcMRProcess" w:date="2020-02-19T21:14:00Z"/>
        </w:rPr>
      </w:pPr>
      <w:ins w:id="3097" w:author="svcMRProcess" w:date="2020-02-19T21:14:00Z">
        <w:r>
          <w:tab/>
          <w:t>[Clause 77 inserted by No. 13 of 2005 s. 47.]</w:t>
        </w:r>
      </w:ins>
    </w:p>
    <w:p>
      <w:pPr>
        <w:pStyle w:val="yHeading5"/>
      </w:pPr>
      <w:bookmarkStart w:id="3098" w:name="_Toc170190843"/>
      <w:r>
        <w:rPr>
          <w:rStyle w:val="CharSClsNo"/>
        </w:rPr>
        <w:t>78</w:t>
      </w:r>
      <w:r>
        <w:t>.</w:t>
      </w:r>
      <w:r>
        <w:rPr>
          <w:b w:val="0"/>
        </w:rPr>
        <w:tab/>
      </w:r>
      <w:r>
        <w:t>Institution of prosecutions</w:t>
      </w:r>
      <w:bookmarkEnd w:id="3098"/>
    </w:p>
    <w:p>
      <w:pPr>
        <w:pStyle w:val="ySubsection"/>
      </w:pPr>
      <w:r>
        <w:tab/>
        <w:t>(1)</w:t>
      </w:r>
      <w:r>
        <w:tab/>
        <w:t>Proceedings for an offence against a listed OSH law may be instituted by the Safety Authority or by an OHS inspector.</w:t>
      </w:r>
    </w:p>
    <w:p>
      <w:pPr>
        <w:pStyle w:val="ySubsection"/>
      </w:pPr>
      <w:r>
        <w:tab/>
        <w:t>(2)</w:t>
      </w:r>
      <w:r>
        <w:tab/>
        <w:t xml:space="preserve">A safety and health representative for a designated work group may request the Safety Authority to institute proceedings for an offence against a listed OSH law in relation to the occurrence of an act or omission if — </w:t>
      </w:r>
    </w:p>
    <w:p>
      <w:pPr>
        <w:pStyle w:val="yIndenta"/>
      </w:pPr>
      <w:r>
        <w:tab/>
        <w:t>(a)</w:t>
      </w:r>
      <w:r>
        <w:tab/>
        <w:t xml:space="preserve">a period of 6 months has elapsed since the act or omission occurred; </w:t>
      </w:r>
    </w:p>
    <w:p>
      <w:pPr>
        <w:pStyle w:val="yIndenta"/>
      </w:pPr>
      <w:r>
        <w:tab/>
        <w:t>(b)</w:t>
      </w:r>
      <w:r>
        <w:tab/>
        <w:t>the safety and health representative considers that the occurrence of the act or omission constitutes an offence against a listed OSH law; and</w:t>
      </w:r>
    </w:p>
    <w:p>
      <w:pPr>
        <w:pStyle w:val="yIndenta"/>
      </w:pPr>
      <w:r>
        <w:tab/>
        <w:t>(c)</w:t>
      </w:r>
      <w:r>
        <w:tab/>
        <w:t>proceedings in respect of the offence have not been instituted.</w:t>
      </w:r>
    </w:p>
    <w:p>
      <w:pPr>
        <w:pStyle w:val="ySubsection"/>
      </w:pPr>
      <w:r>
        <w:tab/>
        <w:t>(3)</w:t>
      </w:r>
      <w:r>
        <w:tab/>
        <w:t xml:space="preserve">A workforce representative in relation to a designated work group may request the Safety Authority to institute proceedings for an offence against a listed OSH law in relation to the occurrence of an act or omission if — </w:t>
      </w:r>
    </w:p>
    <w:p>
      <w:pPr>
        <w:pStyle w:val="yIndenta"/>
      </w:pPr>
      <w:r>
        <w:tab/>
        <w:t>(a)</w:t>
      </w:r>
      <w:r>
        <w:tab/>
        <w:t xml:space="preserve">a period of 6 months has elapsed since the act or omission occurred; </w:t>
      </w:r>
    </w:p>
    <w:p>
      <w:pPr>
        <w:pStyle w:val="yIndenta"/>
      </w:pPr>
      <w:r>
        <w:tab/>
        <w:t>(b)</w:t>
      </w:r>
      <w:r>
        <w:tab/>
        <w:t>the workforce representative considers that the occurrence of the act or omission constitutes an offence against a listed OSH law;</w:t>
      </w:r>
    </w:p>
    <w:p>
      <w:pPr>
        <w:pStyle w:val="yIndenta"/>
      </w:pPr>
      <w:r>
        <w:tab/>
        <w:t>(c)</w:t>
      </w:r>
      <w:r>
        <w:tab/>
        <w:t>proceedings in respect of the offence have not been instituted; and</w:t>
      </w:r>
    </w:p>
    <w:p>
      <w:pPr>
        <w:pStyle w:val="yIndenta"/>
      </w:pPr>
      <w:r>
        <w:tab/>
        <w:t>(d)</w:t>
      </w:r>
      <w:r>
        <w:tab/>
        <w:t>a group member included in the group requests the workforce representative to request the Safety Authority to institute the proceedings.</w:t>
      </w:r>
    </w:p>
    <w:p>
      <w:pPr>
        <w:pStyle w:val="ySubsection"/>
      </w:pPr>
      <w:r>
        <w:tab/>
        <w:t>(4)</w:t>
      </w:r>
      <w:r>
        <w:tab/>
        <w:t>A request under subclause (2) or (3) must be in writing.</w:t>
      </w:r>
    </w:p>
    <w:p>
      <w:pPr>
        <w:pStyle w:val="ySubsection"/>
      </w:pPr>
      <w:r>
        <w:tab/>
        <w:t>(5)</w:t>
      </w:r>
      <w:r>
        <w:tab/>
        <w:t>The Safety Authority must, within 3 months after receiving the request, advise the safety and health representative or the workforce representative, as the case may be, whether proceedings under subclause (1) have been or will be instituted, and, if not, give reasons why not.</w:t>
      </w:r>
    </w:p>
    <w:p>
      <w:pPr>
        <w:pStyle w:val="yFootnotesection"/>
        <w:rPr>
          <w:ins w:id="3099" w:author="svcMRProcess" w:date="2020-02-19T21:14:00Z"/>
        </w:rPr>
      </w:pPr>
      <w:ins w:id="3100" w:author="svcMRProcess" w:date="2020-02-19T21:14:00Z">
        <w:r>
          <w:tab/>
          <w:t>[Clause 78 inserted by No. 13 of 2005 s. 47.]</w:t>
        </w:r>
      </w:ins>
    </w:p>
    <w:p>
      <w:pPr>
        <w:pStyle w:val="yHeading5"/>
      </w:pPr>
      <w:bookmarkStart w:id="3101" w:name="_Toc170190844"/>
      <w:r>
        <w:rPr>
          <w:rStyle w:val="CharSClsNo"/>
        </w:rPr>
        <w:t>79</w:t>
      </w:r>
      <w:r>
        <w:t>.</w:t>
      </w:r>
      <w:r>
        <w:rPr>
          <w:b w:val="0"/>
        </w:rPr>
        <w:tab/>
      </w:r>
      <w:r>
        <w:t>Conduct of directors, employees and agents</w:t>
      </w:r>
      <w:bookmarkEnd w:id="3101"/>
    </w:p>
    <w:p>
      <w:pPr>
        <w:pStyle w:val="ySubsection"/>
      </w:pPr>
      <w:r>
        <w:tab/>
        <w:t>(1)</w:t>
      </w:r>
      <w:r>
        <w:tab/>
        <w:t>This clause has effect for the purposes of a proceeding for an offence against a listed OSH law.</w:t>
      </w:r>
    </w:p>
    <w:p>
      <w:pPr>
        <w:pStyle w:val="ySubsection"/>
      </w:pPr>
      <w:r>
        <w:tab/>
        <w:t>(2)</w:t>
      </w:r>
      <w:r>
        <w:tab/>
        <w:t xml:space="preserve">If it is necessary to establish the state of mind of a body corporate in relation to particular conduct, it is sufficient to show — </w:t>
      </w:r>
    </w:p>
    <w:p>
      <w:pPr>
        <w:pStyle w:val="yIndenta"/>
      </w:pPr>
      <w:r>
        <w:tab/>
        <w:t>(a)</w:t>
      </w:r>
      <w:r>
        <w:tab/>
        <w:t>that the conduct was engaged in by a director, employee or agent of the body corporate within the scope of actual or apparent authority; and</w:t>
      </w:r>
    </w:p>
    <w:p>
      <w:pPr>
        <w:pStyle w:val="yIndenta"/>
      </w:pPr>
      <w:r>
        <w:tab/>
        <w:t>(b)</w:t>
      </w:r>
      <w:r>
        <w:tab/>
        <w:t>that the director, employee or agent had the state of mind.</w:t>
      </w:r>
    </w:p>
    <w:p>
      <w:pPr>
        <w:pStyle w:val="y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ySubsection"/>
      </w:pPr>
      <w:r>
        <w:tab/>
        <w:t>(4)</w:t>
      </w:r>
      <w:r>
        <w:tab/>
        <w:t xml:space="preserve">If it is necessary to establish the state of mind of a natural person in relation to particular conduct, it is sufficient to show — </w:t>
      </w:r>
    </w:p>
    <w:p>
      <w:pPr>
        <w:pStyle w:val="yIndenta"/>
      </w:pPr>
      <w:r>
        <w:tab/>
        <w:t>(a)</w:t>
      </w:r>
      <w:r>
        <w:tab/>
        <w:t>that the conduct was engaged in by an employee or agent of the natural person within the scope of actual or apparent authority; and</w:t>
      </w:r>
    </w:p>
    <w:p>
      <w:pPr>
        <w:pStyle w:val="yIndenta"/>
      </w:pPr>
      <w:r>
        <w:tab/>
        <w:t>(b)</w:t>
      </w:r>
      <w:r>
        <w:tab/>
        <w:t>that the employee or agent had the state of mind.</w:t>
      </w:r>
    </w:p>
    <w:p>
      <w:pPr>
        <w:pStyle w:val="y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ySubsection"/>
      </w:pPr>
      <w:r>
        <w:tab/>
        <w:t>(6)</w:t>
      </w:r>
      <w:r>
        <w:tab/>
        <w:t xml:space="preserve">If — </w:t>
      </w:r>
    </w:p>
    <w:p>
      <w:pPr>
        <w:pStyle w:val="yIndenta"/>
      </w:pPr>
      <w:r>
        <w:tab/>
        <w:t>(a)</w:t>
      </w:r>
      <w:r>
        <w:tab/>
        <w:t>a natural person is found guilty of an offence; and</w:t>
      </w:r>
    </w:p>
    <w:p>
      <w:pPr>
        <w:pStyle w:val="yIndenta"/>
      </w:pPr>
      <w:r>
        <w:tab/>
        <w:t>(b)</w:t>
      </w:r>
      <w:r>
        <w:tab/>
        <w:t>he or she would not have been found guilty of the offence if subclauses (4) and (5) had not been enacted,</w:t>
      </w:r>
    </w:p>
    <w:p>
      <w:pPr>
        <w:pStyle w:val="ySubsection"/>
      </w:pPr>
      <w:r>
        <w:tab/>
      </w:r>
      <w:r>
        <w:tab/>
        <w:t>he or she is not liable to be punished by imprisonment for that offence.</w:t>
      </w:r>
    </w:p>
    <w:p>
      <w:pPr>
        <w:pStyle w:val="ySubsection"/>
      </w:pPr>
      <w:r>
        <w:tab/>
        <w:t>(7)</w:t>
      </w:r>
      <w:r>
        <w:tab/>
        <w:t xml:space="preserve">A reference in subclause (2) or (4) to the state of mind of a person includes a reference to — </w:t>
      </w:r>
    </w:p>
    <w:p>
      <w:pPr>
        <w:pStyle w:val="yIndenta"/>
      </w:pPr>
      <w:r>
        <w:tab/>
        <w:t>(a)</w:t>
      </w:r>
      <w:r>
        <w:tab/>
        <w:t>the person’s knowledge, intention, opinion, belief or purpose; and</w:t>
      </w:r>
    </w:p>
    <w:p>
      <w:pPr>
        <w:pStyle w:val="yIndenta"/>
      </w:pPr>
      <w:r>
        <w:tab/>
        <w:t>(b)</w:t>
      </w:r>
      <w:r>
        <w:tab/>
        <w:t>the person’s reasons for the intention, opinion, belief or purpose.</w:t>
      </w:r>
    </w:p>
    <w:p>
      <w:pPr>
        <w:pStyle w:val="yFootnotesection"/>
        <w:rPr>
          <w:ins w:id="3102" w:author="svcMRProcess" w:date="2020-02-19T21:14:00Z"/>
        </w:rPr>
      </w:pPr>
      <w:ins w:id="3103" w:author="svcMRProcess" w:date="2020-02-19T21:14:00Z">
        <w:r>
          <w:tab/>
          <w:t>[Clause 79 inserted by No. 13 of 2005 s. 47.]</w:t>
        </w:r>
      </w:ins>
    </w:p>
    <w:p>
      <w:pPr>
        <w:pStyle w:val="yHeading5"/>
      </w:pPr>
      <w:bookmarkStart w:id="3104" w:name="_Toc170190845"/>
      <w:r>
        <w:rPr>
          <w:rStyle w:val="CharSClsNo"/>
        </w:rPr>
        <w:t>80</w:t>
      </w:r>
      <w:r>
        <w:t>.</w:t>
      </w:r>
      <w:r>
        <w:rPr>
          <w:b w:val="0"/>
        </w:rPr>
        <w:tab/>
      </w:r>
      <w:r>
        <w:t>Act not to give rise to other liabilities etc.</w:t>
      </w:r>
      <w:bookmarkEnd w:id="3104"/>
    </w:p>
    <w:p>
      <w:pPr>
        <w:pStyle w:val="ySubsection"/>
      </w:pPr>
      <w:r>
        <w:tab/>
      </w:r>
      <w:r>
        <w:tab/>
        <w:t xml:space="preserve">This Schedule does not — </w:t>
      </w:r>
    </w:p>
    <w:p>
      <w:pPr>
        <w:pStyle w:val="yIndenta"/>
      </w:pPr>
      <w:r>
        <w:tab/>
        <w:t>(a)</w:t>
      </w:r>
      <w:r>
        <w:tab/>
        <w:t>confer a right of action in any civil proceeding in respect of any contravention of a listed OSH law; or</w:t>
      </w:r>
    </w:p>
    <w:p>
      <w:pPr>
        <w:pStyle w:val="yIndenta"/>
      </w:pPr>
      <w:r>
        <w:tab/>
        <w:t>(b)</w:t>
      </w:r>
      <w:r>
        <w:tab/>
        <w:t>confer a defence to an action in any civil proceeding or otherwise affect a right of action in any civil proceeding.</w:t>
      </w:r>
    </w:p>
    <w:p>
      <w:pPr>
        <w:pStyle w:val="yFootnotesection"/>
        <w:rPr>
          <w:ins w:id="3105" w:author="svcMRProcess" w:date="2020-02-19T21:14:00Z"/>
        </w:rPr>
      </w:pPr>
      <w:ins w:id="3106" w:author="svcMRProcess" w:date="2020-02-19T21:14:00Z">
        <w:r>
          <w:tab/>
          <w:t>[Clause 80 inserted by No. 13 of 2005 s. 47.]</w:t>
        </w:r>
      </w:ins>
    </w:p>
    <w:p>
      <w:pPr>
        <w:pStyle w:val="yHeading5"/>
      </w:pPr>
      <w:bookmarkStart w:id="3107" w:name="_Toc170190846"/>
      <w:r>
        <w:rPr>
          <w:rStyle w:val="CharSClsNo"/>
        </w:rPr>
        <w:t>81</w:t>
      </w:r>
      <w:r>
        <w:t>.</w:t>
      </w:r>
      <w:r>
        <w:rPr>
          <w:b w:val="0"/>
        </w:rPr>
        <w:tab/>
      </w:r>
      <w:r>
        <w:t>Circumstances preventing compliance may be defence to prosecution</w:t>
      </w:r>
      <w:bookmarkEnd w:id="3107"/>
    </w:p>
    <w:p>
      <w:pPr>
        <w:pStyle w:val="ySubsection"/>
      </w:pPr>
      <w:r>
        <w:tab/>
      </w:r>
      <w:r>
        <w:tab/>
        <w:t>It is a defence to a prosecution for a contravention of a listed OSH law if the defendant proves that it was not practicable to comply with it because of an emergency prevailing at the relevant time.</w:t>
      </w:r>
    </w:p>
    <w:p>
      <w:pPr>
        <w:pStyle w:val="yFootnotesection"/>
        <w:rPr>
          <w:ins w:id="3108" w:author="svcMRProcess" w:date="2020-02-19T21:14:00Z"/>
        </w:rPr>
      </w:pPr>
      <w:ins w:id="3109" w:author="svcMRProcess" w:date="2020-02-19T21:14:00Z">
        <w:r>
          <w:tab/>
          <w:t>[Clause 81 inserted by No. 13 of 2005 s. 47.]</w:t>
        </w:r>
      </w:ins>
    </w:p>
    <w:p>
      <w:pPr>
        <w:pStyle w:val="yHeading5"/>
      </w:pPr>
      <w:bookmarkStart w:id="3110" w:name="_Toc170190847"/>
      <w:r>
        <w:rPr>
          <w:rStyle w:val="CharSClsNo"/>
        </w:rPr>
        <w:t>82</w:t>
      </w:r>
      <w:r>
        <w:t>.</w:t>
      </w:r>
      <w:r>
        <w:rPr>
          <w:b w:val="0"/>
        </w:rPr>
        <w:tab/>
      </w:r>
      <w:r>
        <w:t>Regulations — general</w:t>
      </w:r>
      <w:bookmarkEnd w:id="3110"/>
    </w:p>
    <w:p>
      <w:pPr>
        <w:pStyle w:val="ySubsection"/>
      </w:pPr>
      <w:r>
        <w:tab/>
        <w:t>(1)</w:t>
      </w:r>
      <w:r>
        <w:tab/>
        <w:t xml:space="preserve">The regulations may prescribe any of the following — </w:t>
      </w:r>
    </w:p>
    <w:p>
      <w:pPr>
        <w:pStyle w:val="yIndenta"/>
      </w:pPr>
      <w:r>
        <w:tab/>
        <w:t>(a)</w:t>
      </w:r>
      <w:r>
        <w:tab/>
        <w:t xml:space="preserve">procedures for the selection of persons, under clause 40, as members of safety and health committees, to represent the interests of members of the workforce at a facility; </w:t>
      </w:r>
    </w:p>
    <w:p>
      <w:pPr>
        <w:pStyle w:val="yIndenta"/>
      </w:pPr>
      <w:r>
        <w:tab/>
        <w:t>(b)</w:t>
      </w:r>
      <w:r>
        <w:tab/>
        <w:t xml:space="preserve">procedures to be followed at meetings of safety and health committees; </w:t>
      </w:r>
    </w:p>
    <w:p>
      <w:pPr>
        <w:pStyle w:val="yIndenta"/>
      </w:pPr>
      <w:r>
        <w:tab/>
        <w:t>(c)</w:t>
      </w:r>
      <w:r>
        <w:tab/>
        <w:t xml:space="preserve">the manner in which notices are to be served under this Schedule or the regulations; </w:t>
      </w:r>
    </w:p>
    <w:p>
      <w:pPr>
        <w:pStyle w:val="yIndenta"/>
      </w:pPr>
      <w:r>
        <w:tab/>
        <w:t>(d)</w:t>
      </w:r>
      <w:r>
        <w:tab/>
        <w:t>the practice and procedure to be followed in relation to the review of decisions under clause 22 or 65 by reviewing authorities;</w:t>
      </w:r>
    </w:p>
    <w:p>
      <w:pPr>
        <w:pStyle w:val="yIndenta"/>
      </w:pPr>
      <w:r>
        <w:tab/>
        <w:t>(e)</w:t>
      </w:r>
      <w:r>
        <w:tab/>
        <w:t>forms for the purposes of this Schedule or the regulations.</w:t>
      </w:r>
    </w:p>
    <w:p>
      <w:pPr>
        <w:pStyle w:val="ySubsection"/>
      </w:pPr>
      <w:r>
        <w:tab/>
        <w:t>(2)</w:t>
      </w:r>
      <w:r>
        <w:tab/>
        <w:t xml:space="preserve">If the Minister is satisfied that — </w:t>
      </w:r>
    </w:p>
    <w:p>
      <w:pPr>
        <w:pStyle w:val="yIndenta"/>
      </w:pPr>
      <w:r>
        <w:tab/>
        <w:t>(a)</w:t>
      </w:r>
      <w:r>
        <w:tab/>
        <w:t>a power, function or duty is conferred or imposed on a person under a law of this State or the Commonwealth; and</w:t>
      </w:r>
    </w:p>
    <w:p>
      <w:pPr>
        <w:pStyle w:val="yIndenta"/>
      </w:pPr>
      <w:r>
        <w:tab/>
        <w:t>(b)</w:t>
      </w:r>
      <w:r>
        <w:tab/>
        <w:t>the proper exercise of the power or performance of the function or duty is or would be prevented by this Schedule or a provision of this Schedule,</w:t>
      </w:r>
    </w:p>
    <w:p>
      <w:pPr>
        <w:pStyle w:val="y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ySubsection"/>
      </w:pPr>
      <w:r>
        <w:tab/>
        <w:t>(3)</w:t>
      </w:r>
      <w:r>
        <w:tab/>
        <w:t>Regulations made for the purposes of subclause (2) do not remain in force for longer than 5 years after they commence, but this subclause does not prevent the making of further regulations of the same substance.</w:t>
      </w:r>
    </w:p>
    <w:p>
      <w:pPr>
        <w:pStyle w:val="ySubsection"/>
      </w:pPr>
      <w:r>
        <w:tab/>
        <w:t>(4)</w:t>
      </w:r>
      <w:r>
        <w:tab/>
        <w:t xml:space="preserve">In subclause (2) — </w:t>
      </w:r>
    </w:p>
    <w:p>
      <w:pPr>
        <w:pStyle w:val="yDefstart"/>
      </w:pPr>
      <w:r>
        <w:tab/>
      </w:r>
      <w:r>
        <w:rPr>
          <w:b/>
        </w:rPr>
        <w:t>“</w:t>
      </w:r>
      <w:r>
        <w:rPr>
          <w:rStyle w:val="CharDefText"/>
        </w:rPr>
        <w:t>this Schedule</w:t>
      </w:r>
      <w:r>
        <w:rPr>
          <w:b/>
        </w:rPr>
        <w:t>”</w:t>
      </w:r>
      <w:r>
        <w:t xml:space="preserve"> includes regulations made for the purposes of this Schedule.</w:t>
      </w:r>
    </w:p>
    <w:p>
      <w:pPr>
        <w:pStyle w:val="MiscClose"/>
        <w:ind w:right="575"/>
        <w:rPr>
          <w:del w:id="3111" w:author="svcMRProcess" w:date="2020-02-19T21:14:00Z"/>
        </w:rPr>
      </w:pPr>
      <w:bookmarkStart w:id="3112" w:name="_Toc65393103"/>
      <w:bookmarkStart w:id="3113" w:name="_Toc69034474"/>
      <w:bookmarkStart w:id="3114" w:name="_Toc69118106"/>
      <w:bookmarkStart w:id="3115" w:name="_Toc69118714"/>
      <w:bookmarkStart w:id="3116" w:name="_Toc69206059"/>
      <w:bookmarkStart w:id="3117" w:name="_Toc69206607"/>
      <w:bookmarkStart w:id="3118" w:name="_Toc69639518"/>
      <w:bookmarkStart w:id="3119" w:name="_Toc69639642"/>
      <w:bookmarkStart w:id="3120" w:name="_Toc69639720"/>
      <w:del w:id="3121" w:author="svcMRProcess" w:date="2020-02-19T21:14:00Z">
        <w:r>
          <w:delText xml:space="preserve">    ”.</w:delText>
        </w:r>
      </w:del>
    </w:p>
    <w:p>
      <w:pPr>
        <w:pStyle w:val="MiscClose"/>
        <w:rPr>
          <w:del w:id="3122" w:author="svcMRProcess" w:date="2020-02-19T21:14:00Z"/>
          <w:b/>
          <w:i/>
        </w:rPr>
      </w:pPr>
    </w:p>
    <w:bookmarkEnd w:id="3112"/>
    <w:bookmarkEnd w:id="3113"/>
    <w:bookmarkEnd w:id="3114"/>
    <w:bookmarkEnd w:id="3115"/>
    <w:bookmarkEnd w:id="3116"/>
    <w:bookmarkEnd w:id="3117"/>
    <w:bookmarkEnd w:id="3118"/>
    <w:bookmarkEnd w:id="3119"/>
    <w:bookmarkEnd w:id="3120"/>
    <w:p>
      <w:pPr>
        <w:pStyle w:val="yFootnotesection"/>
        <w:rPr>
          <w:ins w:id="3123" w:author="svcMRProcess" w:date="2020-02-19T21:14:00Z"/>
        </w:rPr>
      </w:pPr>
      <w:ins w:id="3124" w:author="svcMRProcess" w:date="2020-02-19T21:14:00Z">
        <w:r>
          <w:tab/>
          <w:t>[Clause 82 inserted by No. 13 of 2005 s. 47.]</w:t>
        </w:r>
      </w:ins>
    </w:p>
    <w:p>
      <w:pPr>
        <w:rPr>
          <w:ins w:id="3125" w:author="svcMRProcess" w:date="2020-02-19T21:14:00Z"/>
        </w:r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rPr>
          <w:ins w:id="3126" w:author="svcMRProcess" w:date="2020-02-19T21:14:00Z"/>
        </w:rPr>
      </w:pPr>
      <w:bookmarkStart w:id="3127" w:name="_Toc72913906"/>
      <w:bookmarkStart w:id="3128" w:name="_Toc91304386"/>
      <w:bookmarkStart w:id="3129" w:name="_Toc92688629"/>
      <w:bookmarkStart w:id="3130" w:name="_Toc113772626"/>
      <w:bookmarkStart w:id="3131" w:name="_Toc156977111"/>
      <w:bookmarkStart w:id="3132" w:name="_Toc157933695"/>
      <w:bookmarkStart w:id="3133" w:name="_Toc162761457"/>
      <w:bookmarkStart w:id="3134" w:name="_Toc170190848"/>
      <w:ins w:id="3135" w:author="svcMRProcess" w:date="2020-02-19T21:14:00Z">
        <w:r>
          <w:t>Notes</w:t>
        </w:r>
        <w:bookmarkEnd w:id="3127"/>
        <w:bookmarkEnd w:id="3128"/>
        <w:bookmarkEnd w:id="3129"/>
        <w:bookmarkEnd w:id="3130"/>
        <w:bookmarkEnd w:id="3131"/>
        <w:bookmarkEnd w:id="3132"/>
        <w:bookmarkEnd w:id="3133"/>
        <w:bookmarkEnd w:id="3134"/>
      </w:ins>
    </w:p>
    <w:p>
      <w:pPr>
        <w:pStyle w:val="nSubsection"/>
        <w:rPr>
          <w:ins w:id="3136" w:author="svcMRProcess" w:date="2020-02-19T21:14:00Z"/>
          <w:snapToGrid w:val="0"/>
        </w:rPr>
      </w:pPr>
      <w:ins w:id="3137" w:author="svcMRProcess" w:date="2020-02-19T21:14:00Z">
        <w:r>
          <w:rPr>
            <w:snapToGrid w:val="0"/>
            <w:vertAlign w:val="superscript"/>
          </w:rPr>
          <w:t>1</w:t>
        </w:r>
        <w:r>
          <w:rPr>
            <w:snapToGrid w:val="0"/>
          </w:rPr>
          <w:tab/>
          <w:t xml:space="preserve">This is a compilation of the </w:t>
        </w:r>
        <w:r>
          <w:rPr>
            <w:i/>
            <w:snapToGrid w:val="0"/>
          </w:rPr>
          <w:t>Petroleum (Submerged Lands) Act 1982</w:t>
        </w:r>
        <w:r>
          <w:rPr>
            <w:snapToGrid w:val="0"/>
          </w:rPr>
          <w:t xml:space="preserve"> and includes the amendments made by the other written laws referred to in the following table </w:t>
        </w:r>
        <w:r>
          <w:rPr>
            <w:snapToGrid w:val="0"/>
            <w:vertAlign w:val="superscript"/>
          </w:rPr>
          <w:t>1a, 8</w:t>
        </w:r>
        <w:r>
          <w:rPr>
            <w:snapToGrid w:val="0"/>
          </w:rPr>
          <w:t>.</w:t>
        </w:r>
      </w:ins>
    </w:p>
    <w:p>
      <w:pPr>
        <w:pStyle w:val="nHeading3"/>
        <w:rPr>
          <w:ins w:id="3138" w:author="svcMRProcess" w:date="2020-02-19T21:14:00Z"/>
          <w:snapToGrid w:val="0"/>
        </w:rPr>
      </w:pPr>
      <w:bookmarkStart w:id="3139" w:name="_Toc113772627"/>
      <w:bookmarkStart w:id="3140" w:name="_Toc170190849"/>
      <w:ins w:id="3141" w:author="svcMRProcess" w:date="2020-02-19T21:14:00Z">
        <w:r>
          <w:rPr>
            <w:snapToGrid w:val="0"/>
          </w:rPr>
          <w:t>Compilation table</w:t>
        </w:r>
        <w:bookmarkEnd w:id="3139"/>
        <w:bookmarkEnd w:id="3140"/>
      </w:ins>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ins w:id="3142" w:author="svcMRProcess" w:date="2020-02-19T21:14:00Z"/>
        </w:trPr>
        <w:tc>
          <w:tcPr>
            <w:tcW w:w="2268" w:type="dxa"/>
            <w:tcBorders>
              <w:top w:val="single" w:sz="8" w:space="0" w:color="auto"/>
              <w:bottom w:val="single" w:sz="8" w:space="0" w:color="auto"/>
            </w:tcBorders>
          </w:tcPr>
          <w:p>
            <w:pPr>
              <w:pStyle w:val="nTable"/>
              <w:spacing w:after="40"/>
              <w:ind w:right="170"/>
              <w:rPr>
                <w:ins w:id="3143" w:author="svcMRProcess" w:date="2020-02-19T21:14:00Z"/>
                <w:b/>
                <w:sz w:val="19"/>
              </w:rPr>
            </w:pPr>
            <w:ins w:id="3144" w:author="svcMRProcess" w:date="2020-02-19T21:14:00Z">
              <w:r>
                <w:rPr>
                  <w:b/>
                  <w:sz w:val="19"/>
                </w:rPr>
                <w:t>Short title</w:t>
              </w:r>
            </w:ins>
          </w:p>
        </w:tc>
        <w:tc>
          <w:tcPr>
            <w:tcW w:w="1134" w:type="dxa"/>
            <w:tcBorders>
              <w:top w:val="single" w:sz="8" w:space="0" w:color="auto"/>
              <w:bottom w:val="single" w:sz="8" w:space="0" w:color="auto"/>
            </w:tcBorders>
          </w:tcPr>
          <w:p>
            <w:pPr>
              <w:pStyle w:val="nTable"/>
              <w:spacing w:after="40"/>
              <w:rPr>
                <w:ins w:id="3145" w:author="svcMRProcess" w:date="2020-02-19T21:14:00Z"/>
                <w:b/>
                <w:sz w:val="19"/>
              </w:rPr>
            </w:pPr>
            <w:ins w:id="3146" w:author="svcMRProcess" w:date="2020-02-19T21:14:00Z">
              <w:r>
                <w:rPr>
                  <w:b/>
                  <w:sz w:val="19"/>
                </w:rPr>
                <w:t>Number and year</w:t>
              </w:r>
            </w:ins>
          </w:p>
        </w:tc>
        <w:tc>
          <w:tcPr>
            <w:tcW w:w="1134" w:type="dxa"/>
            <w:tcBorders>
              <w:top w:val="single" w:sz="8" w:space="0" w:color="auto"/>
              <w:bottom w:val="single" w:sz="8" w:space="0" w:color="auto"/>
            </w:tcBorders>
          </w:tcPr>
          <w:p>
            <w:pPr>
              <w:pStyle w:val="nTable"/>
              <w:spacing w:after="40"/>
              <w:rPr>
                <w:ins w:id="3147" w:author="svcMRProcess" w:date="2020-02-19T21:14:00Z"/>
                <w:b/>
                <w:sz w:val="19"/>
              </w:rPr>
            </w:pPr>
            <w:ins w:id="3148" w:author="svcMRProcess" w:date="2020-02-19T21:14:00Z">
              <w:r>
                <w:rPr>
                  <w:b/>
                  <w:sz w:val="19"/>
                </w:rPr>
                <w:t>Assent</w:t>
              </w:r>
            </w:ins>
          </w:p>
        </w:tc>
        <w:tc>
          <w:tcPr>
            <w:tcW w:w="2551" w:type="dxa"/>
            <w:tcBorders>
              <w:top w:val="single" w:sz="8" w:space="0" w:color="auto"/>
              <w:bottom w:val="single" w:sz="8" w:space="0" w:color="auto"/>
            </w:tcBorders>
          </w:tcPr>
          <w:p>
            <w:pPr>
              <w:pStyle w:val="nTable"/>
              <w:spacing w:after="40"/>
              <w:rPr>
                <w:ins w:id="3149" w:author="svcMRProcess" w:date="2020-02-19T21:14:00Z"/>
                <w:b/>
                <w:sz w:val="19"/>
              </w:rPr>
            </w:pPr>
            <w:ins w:id="3150" w:author="svcMRProcess" w:date="2020-02-19T21:14:00Z">
              <w:r>
                <w:rPr>
                  <w:b/>
                  <w:sz w:val="19"/>
                </w:rPr>
                <w:t>Commencement</w:t>
              </w:r>
            </w:ins>
          </w:p>
        </w:tc>
      </w:tr>
      <w:tr>
        <w:trPr>
          <w:cantSplit/>
          <w:ins w:id="3151" w:author="svcMRProcess" w:date="2020-02-19T21:14:00Z"/>
        </w:trPr>
        <w:tc>
          <w:tcPr>
            <w:tcW w:w="2268" w:type="dxa"/>
          </w:tcPr>
          <w:p>
            <w:pPr>
              <w:pStyle w:val="nTable"/>
              <w:spacing w:after="40"/>
              <w:ind w:right="170"/>
              <w:rPr>
                <w:ins w:id="3152" w:author="svcMRProcess" w:date="2020-02-19T21:14:00Z"/>
                <w:sz w:val="19"/>
              </w:rPr>
            </w:pPr>
            <w:ins w:id="3153" w:author="svcMRProcess" w:date="2020-02-19T21:14:00Z">
              <w:r>
                <w:rPr>
                  <w:i/>
                  <w:sz w:val="19"/>
                </w:rPr>
                <w:t>Petroleum (Submerged Lands) Act 1982</w:t>
              </w:r>
            </w:ins>
          </w:p>
        </w:tc>
        <w:tc>
          <w:tcPr>
            <w:tcW w:w="1134" w:type="dxa"/>
          </w:tcPr>
          <w:p>
            <w:pPr>
              <w:pStyle w:val="nTable"/>
              <w:spacing w:after="40"/>
              <w:rPr>
                <w:ins w:id="3154" w:author="svcMRProcess" w:date="2020-02-19T21:14:00Z"/>
                <w:sz w:val="19"/>
              </w:rPr>
            </w:pPr>
            <w:ins w:id="3155" w:author="svcMRProcess" w:date="2020-02-19T21:14:00Z">
              <w:r>
                <w:rPr>
                  <w:sz w:val="19"/>
                </w:rPr>
                <w:t>33 of 1982</w:t>
              </w:r>
            </w:ins>
          </w:p>
        </w:tc>
        <w:tc>
          <w:tcPr>
            <w:tcW w:w="1134" w:type="dxa"/>
          </w:tcPr>
          <w:p>
            <w:pPr>
              <w:pStyle w:val="nTable"/>
              <w:spacing w:after="40"/>
              <w:rPr>
                <w:ins w:id="3156" w:author="svcMRProcess" w:date="2020-02-19T21:14:00Z"/>
                <w:sz w:val="19"/>
              </w:rPr>
            </w:pPr>
            <w:ins w:id="3157" w:author="svcMRProcess" w:date="2020-02-19T21:14:00Z">
              <w:r>
                <w:rPr>
                  <w:sz w:val="19"/>
                </w:rPr>
                <w:t>27 May 1982</w:t>
              </w:r>
            </w:ins>
          </w:p>
        </w:tc>
        <w:tc>
          <w:tcPr>
            <w:tcW w:w="2551" w:type="dxa"/>
          </w:tcPr>
          <w:p>
            <w:pPr>
              <w:pStyle w:val="nTable"/>
              <w:spacing w:after="40"/>
              <w:rPr>
                <w:ins w:id="3158" w:author="svcMRProcess" w:date="2020-02-19T21:14:00Z"/>
                <w:sz w:val="19"/>
              </w:rPr>
            </w:pPr>
            <w:ins w:id="3159" w:author="svcMRProcess" w:date="2020-02-19T21:14:00Z">
              <w:r>
                <w:rPr>
                  <w:sz w:val="19"/>
                </w:rPr>
                <w:t>14 Feb 1983 (see s. 2(1))</w:t>
              </w:r>
            </w:ins>
          </w:p>
        </w:tc>
      </w:tr>
      <w:tr>
        <w:trPr>
          <w:cantSplit/>
          <w:ins w:id="3160" w:author="svcMRProcess" w:date="2020-02-19T21:14:00Z"/>
        </w:trPr>
        <w:tc>
          <w:tcPr>
            <w:tcW w:w="2268" w:type="dxa"/>
          </w:tcPr>
          <w:p>
            <w:pPr>
              <w:pStyle w:val="nTable"/>
              <w:spacing w:after="40"/>
              <w:ind w:right="170"/>
              <w:rPr>
                <w:ins w:id="3161" w:author="svcMRProcess" w:date="2020-02-19T21:14:00Z"/>
                <w:sz w:val="19"/>
              </w:rPr>
            </w:pPr>
            <w:ins w:id="3162" w:author="svcMRProcess" w:date="2020-02-19T21:14:00Z">
              <w:r>
                <w:rPr>
                  <w:i/>
                  <w:sz w:val="19"/>
                </w:rPr>
                <w:t>Acts Amendment (Petroleum) Act 1990</w:t>
              </w:r>
              <w:r>
                <w:rPr>
                  <w:sz w:val="19"/>
                </w:rPr>
                <w:t>,</w:t>
              </w:r>
            </w:ins>
          </w:p>
          <w:p>
            <w:pPr>
              <w:pStyle w:val="nTable"/>
              <w:spacing w:after="40"/>
              <w:ind w:right="170"/>
              <w:rPr>
                <w:ins w:id="3163" w:author="svcMRProcess" w:date="2020-02-19T21:14:00Z"/>
                <w:sz w:val="19"/>
                <w:vertAlign w:val="superscript"/>
              </w:rPr>
            </w:pPr>
            <w:ins w:id="3164" w:author="svcMRProcess" w:date="2020-02-19T21:14:00Z">
              <w:r>
                <w:rPr>
                  <w:sz w:val="19"/>
                </w:rPr>
                <w:t>Part IV (as amended by Act No. 28 of 1994, Part 2)</w:t>
              </w:r>
              <w:r>
                <w:rPr>
                  <w:sz w:val="19"/>
                  <w:vertAlign w:val="superscript"/>
                </w:rPr>
                <w:t> 2-5, 7, 9, 11</w:t>
              </w:r>
            </w:ins>
          </w:p>
        </w:tc>
        <w:tc>
          <w:tcPr>
            <w:tcW w:w="1134" w:type="dxa"/>
          </w:tcPr>
          <w:p>
            <w:pPr>
              <w:pStyle w:val="nTable"/>
              <w:spacing w:after="40"/>
              <w:rPr>
                <w:ins w:id="3165" w:author="svcMRProcess" w:date="2020-02-19T21:14:00Z"/>
                <w:sz w:val="19"/>
              </w:rPr>
            </w:pPr>
            <w:ins w:id="3166" w:author="svcMRProcess" w:date="2020-02-19T21:14:00Z">
              <w:r>
                <w:rPr>
                  <w:sz w:val="19"/>
                </w:rPr>
                <w:t>12 of 1990</w:t>
              </w:r>
            </w:ins>
          </w:p>
        </w:tc>
        <w:tc>
          <w:tcPr>
            <w:tcW w:w="1134" w:type="dxa"/>
          </w:tcPr>
          <w:p>
            <w:pPr>
              <w:pStyle w:val="nTable"/>
              <w:spacing w:after="40"/>
              <w:rPr>
                <w:ins w:id="3167" w:author="svcMRProcess" w:date="2020-02-19T21:14:00Z"/>
                <w:sz w:val="19"/>
              </w:rPr>
            </w:pPr>
            <w:ins w:id="3168" w:author="svcMRProcess" w:date="2020-02-19T21:14:00Z">
              <w:r>
                <w:rPr>
                  <w:sz w:val="19"/>
                </w:rPr>
                <w:t>31 Jul 1990</w:t>
              </w:r>
            </w:ins>
          </w:p>
        </w:tc>
        <w:tc>
          <w:tcPr>
            <w:tcW w:w="2551" w:type="dxa"/>
          </w:tcPr>
          <w:p>
            <w:pPr>
              <w:pStyle w:val="nTable"/>
              <w:spacing w:after="40"/>
              <w:rPr>
                <w:ins w:id="3169" w:author="svcMRProcess" w:date="2020-02-19T21:14:00Z"/>
                <w:sz w:val="19"/>
              </w:rPr>
            </w:pPr>
            <w:ins w:id="3170" w:author="svcMRProcess" w:date="2020-02-19T21:14:00Z">
              <w:r>
                <w:rPr>
                  <w:sz w:val="19"/>
                </w:rPr>
                <w:t>1 Oct 1990 (see s. 2 and </w:t>
              </w:r>
              <w:r>
                <w:rPr>
                  <w:i/>
                  <w:sz w:val="19"/>
                </w:rPr>
                <w:t>Gazette</w:t>
              </w:r>
              <w:r>
                <w:rPr>
                  <w:sz w:val="19"/>
                </w:rPr>
                <w:t xml:space="preserve"> 28 Sep 1990 p. 5099)</w:t>
              </w:r>
            </w:ins>
          </w:p>
        </w:tc>
      </w:tr>
      <w:tr>
        <w:trPr>
          <w:cantSplit/>
          <w:ins w:id="3171" w:author="svcMRProcess" w:date="2020-02-19T21:14:00Z"/>
        </w:trPr>
        <w:tc>
          <w:tcPr>
            <w:tcW w:w="2268" w:type="dxa"/>
          </w:tcPr>
          <w:p>
            <w:pPr>
              <w:pStyle w:val="nTable"/>
              <w:spacing w:after="40"/>
              <w:ind w:right="170"/>
              <w:rPr>
                <w:ins w:id="3172" w:author="svcMRProcess" w:date="2020-02-19T21:14:00Z"/>
                <w:sz w:val="19"/>
              </w:rPr>
            </w:pPr>
            <w:ins w:id="3173" w:author="svcMRProcess" w:date="2020-02-19T21:14:00Z">
              <w:r>
                <w:rPr>
                  <w:i/>
                  <w:sz w:val="19"/>
                </w:rPr>
                <w:t>Financial Administration Legislation Amendment Act 1993</w:t>
              </w:r>
              <w:r>
                <w:rPr>
                  <w:sz w:val="19"/>
                </w:rPr>
                <w:t>,</w:t>
              </w:r>
            </w:ins>
          </w:p>
          <w:p>
            <w:pPr>
              <w:pStyle w:val="nTable"/>
              <w:spacing w:after="40"/>
              <w:ind w:right="170"/>
              <w:rPr>
                <w:ins w:id="3174" w:author="svcMRProcess" w:date="2020-02-19T21:14:00Z"/>
                <w:sz w:val="19"/>
              </w:rPr>
            </w:pPr>
            <w:ins w:id="3175" w:author="svcMRProcess" w:date="2020-02-19T21:14:00Z">
              <w:r>
                <w:rPr>
                  <w:sz w:val="19"/>
                </w:rPr>
                <w:t>Part 4</w:t>
              </w:r>
            </w:ins>
          </w:p>
        </w:tc>
        <w:tc>
          <w:tcPr>
            <w:tcW w:w="1134" w:type="dxa"/>
          </w:tcPr>
          <w:p>
            <w:pPr>
              <w:pStyle w:val="nTable"/>
              <w:spacing w:after="40"/>
              <w:rPr>
                <w:ins w:id="3176" w:author="svcMRProcess" w:date="2020-02-19T21:14:00Z"/>
                <w:sz w:val="19"/>
              </w:rPr>
            </w:pPr>
            <w:ins w:id="3177" w:author="svcMRProcess" w:date="2020-02-19T21:14:00Z">
              <w:r>
                <w:rPr>
                  <w:sz w:val="19"/>
                </w:rPr>
                <w:t>6 of 1993</w:t>
              </w:r>
            </w:ins>
          </w:p>
        </w:tc>
        <w:tc>
          <w:tcPr>
            <w:tcW w:w="1134" w:type="dxa"/>
          </w:tcPr>
          <w:p>
            <w:pPr>
              <w:pStyle w:val="nTable"/>
              <w:spacing w:after="40"/>
              <w:rPr>
                <w:ins w:id="3178" w:author="svcMRProcess" w:date="2020-02-19T21:14:00Z"/>
                <w:sz w:val="19"/>
              </w:rPr>
            </w:pPr>
            <w:ins w:id="3179" w:author="svcMRProcess" w:date="2020-02-19T21:14:00Z">
              <w:r>
                <w:rPr>
                  <w:sz w:val="19"/>
                </w:rPr>
                <w:t>27 Aug 1993</w:t>
              </w:r>
            </w:ins>
          </w:p>
        </w:tc>
        <w:tc>
          <w:tcPr>
            <w:tcW w:w="2551" w:type="dxa"/>
          </w:tcPr>
          <w:p>
            <w:pPr>
              <w:pStyle w:val="nTable"/>
              <w:spacing w:after="40"/>
              <w:rPr>
                <w:ins w:id="3180" w:author="svcMRProcess" w:date="2020-02-19T21:14:00Z"/>
                <w:sz w:val="19"/>
              </w:rPr>
            </w:pPr>
            <w:ins w:id="3181" w:author="svcMRProcess" w:date="2020-02-19T21:14:00Z">
              <w:r>
                <w:rPr>
                  <w:sz w:val="19"/>
                </w:rPr>
                <w:t>Deemed operative 1 Jul 1993 (see s.2(1))</w:t>
              </w:r>
            </w:ins>
          </w:p>
        </w:tc>
      </w:tr>
      <w:tr>
        <w:trPr>
          <w:cantSplit/>
          <w:ins w:id="3182" w:author="svcMRProcess" w:date="2020-02-19T21:14:00Z"/>
        </w:trPr>
        <w:tc>
          <w:tcPr>
            <w:tcW w:w="2268" w:type="dxa"/>
          </w:tcPr>
          <w:p>
            <w:pPr>
              <w:pStyle w:val="nTable"/>
              <w:spacing w:after="40"/>
              <w:ind w:right="170"/>
              <w:rPr>
                <w:ins w:id="3183" w:author="svcMRProcess" w:date="2020-02-19T21:14:00Z"/>
                <w:sz w:val="19"/>
              </w:rPr>
            </w:pPr>
            <w:ins w:id="3184" w:author="svcMRProcess" w:date="2020-02-19T21:14:00Z">
              <w:r>
                <w:rPr>
                  <w:i/>
                  <w:sz w:val="19"/>
                </w:rPr>
                <w:t>Land (Titles and Traditional Usage) Act 1993</w:t>
              </w:r>
              <w:r>
                <w:rPr>
                  <w:sz w:val="19"/>
                </w:rPr>
                <w:t xml:space="preserve">, </w:t>
              </w:r>
            </w:ins>
          </w:p>
          <w:p>
            <w:pPr>
              <w:pStyle w:val="nTable"/>
              <w:spacing w:after="40"/>
              <w:ind w:right="170"/>
              <w:rPr>
                <w:ins w:id="3185" w:author="svcMRProcess" w:date="2020-02-19T21:14:00Z"/>
                <w:sz w:val="19"/>
                <w:vertAlign w:val="superscript"/>
              </w:rPr>
            </w:pPr>
            <w:ins w:id="3186" w:author="svcMRProcess" w:date="2020-02-19T21:14:00Z">
              <w:r>
                <w:rPr>
                  <w:sz w:val="19"/>
                </w:rPr>
                <w:t>section 45</w:t>
              </w:r>
              <w:r>
                <w:rPr>
                  <w:sz w:val="19"/>
                  <w:vertAlign w:val="superscript"/>
                </w:rPr>
                <w:t> 13</w:t>
              </w:r>
            </w:ins>
          </w:p>
        </w:tc>
        <w:tc>
          <w:tcPr>
            <w:tcW w:w="1134" w:type="dxa"/>
          </w:tcPr>
          <w:p>
            <w:pPr>
              <w:pStyle w:val="nTable"/>
              <w:keepNext/>
              <w:keepLines/>
              <w:spacing w:after="40"/>
              <w:rPr>
                <w:ins w:id="3187" w:author="svcMRProcess" w:date="2020-02-19T21:14:00Z"/>
                <w:sz w:val="19"/>
              </w:rPr>
            </w:pPr>
            <w:ins w:id="3188" w:author="svcMRProcess" w:date="2020-02-19T21:14:00Z">
              <w:r>
                <w:rPr>
                  <w:sz w:val="19"/>
                </w:rPr>
                <w:t>21 of 1993</w:t>
              </w:r>
            </w:ins>
          </w:p>
        </w:tc>
        <w:tc>
          <w:tcPr>
            <w:tcW w:w="1134" w:type="dxa"/>
          </w:tcPr>
          <w:p>
            <w:pPr>
              <w:pStyle w:val="nTable"/>
              <w:keepNext/>
              <w:keepLines/>
              <w:spacing w:after="40"/>
              <w:rPr>
                <w:ins w:id="3189" w:author="svcMRProcess" w:date="2020-02-19T21:14:00Z"/>
                <w:sz w:val="19"/>
              </w:rPr>
            </w:pPr>
            <w:ins w:id="3190" w:author="svcMRProcess" w:date="2020-02-19T21:14:00Z">
              <w:r>
                <w:rPr>
                  <w:sz w:val="19"/>
                </w:rPr>
                <w:t>2 Dec 1993</w:t>
              </w:r>
            </w:ins>
          </w:p>
        </w:tc>
        <w:tc>
          <w:tcPr>
            <w:tcW w:w="2551" w:type="dxa"/>
          </w:tcPr>
          <w:p>
            <w:pPr>
              <w:pStyle w:val="nTable"/>
              <w:keepNext/>
              <w:keepLines/>
              <w:spacing w:after="40"/>
              <w:rPr>
                <w:ins w:id="3191" w:author="svcMRProcess" w:date="2020-02-19T21:14:00Z"/>
                <w:sz w:val="19"/>
              </w:rPr>
            </w:pPr>
            <w:ins w:id="3192" w:author="svcMRProcess" w:date="2020-02-19T21:14:00Z">
              <w:r>
                <w:rPr>
                  <w:sz w:val="19"/>
                </w:rPr>
                <w:t>2 Dec 1993 (see s. 2)</w:t>
              </w:r>
            </w:ins>
          </w:p>
        </w:tc>
      </w:tr>
      <w:tr>
        <w:trPr>
          <w:cantSplit/>
          <w:ins w:id="3193" w:author="svcMRProcess" w:date="2020-02-19T21:14:00Z"/>
        </w:trPr>
        <w:tc>
          <w:tcPr>
            <w:tcW w:w="2268" w:type="dxa"/>
          </w:tcPr>
          <w:p>
            <w:pPr>
              <w:pStyle w:val="nTable"/>
              <w:spacing w:after="40"/>
              <w:ind w:right="170"/>
              <w:rPr>
                <w:ins w:id="3194" w:author="svcMRProcess" w:date="2020-02-19T21:14:00Z"/>
                <w:sz w:val="19"/>
              </w:rPr>
            </w:pPr>
            <w:ins w:id="3195" w:author="svcMRProcess" w:date="2020-02-19T21:14:00Z">
              <w:r>
                <w:rPr>
                  <w:i/>
                  <w:sz w:val="19"/>
                </w:rPr>
                <w:t>Petroleum Royalties Legislation Amendment Act 1994</w:t>
              </w:r>
              <w:r>
                <w:rPr>
                  <w:sz w:val="19"/>
                </w:rPr>
                <w:t>,</w:t>
              </w:r>
            </w:ins>
          </w:p>
          <w:p>
            <w:pPr>
              <w:pStyle w:val="nTable"/>
              <w:spacing w:after="40"/>
              <w:ind w:right="170"/>
              <w:rPr>
                <w:ins w:id="3196" w:author="svcMRProcess" w:date="2020-02-19T21:14:00Z"/>
                <w:sz w:val="19"/>
              </w:rPr>
            </w:pPr>
            <w:ins w:id="3197" w:author="svcMRProcess" w:date="2020-02-19T21:14:00Z">
              <w:r>
                <w:rPr>
                  <w:sz w:val="19"/>
                </w:rPr>
                <w:t>Part 3</w:t>
              </w:r>
            </w:ins>
          </w:p>
        </w:tc>
        <w:tc>
          <w:tcPr>
            <w:tcW w:w="1134" w:type="dxa"/>
          </w:tcPr>
          <w:p>
            <w:pPr>
              <w:pStyle w:val="nTable"/>
              <w:spacing w:after="40"/>
              <w:rPr>
                <w:ins w:id="3198" w:author="svcMRProcess" w:date="2020-02-19T21:14:00Z"/>
                <w:sz w:val="19"/>
              </w:rPr>
            </w:pPr>
            <w:ins w:id="3199" w:author="svcMRProcess" w:date="2020-02-19T21:14:00Z">
              <w:r>
                <w:rPr>
                  <w:sz w:val="19"/>
                </w:rPr>
                <w:t>11 of 1994</w:t>
              </w:r>
            </w:ins>
          </w:p>
        </w:tc>
        <w:tc>
          <w:tcPr>
            <w:tcW w:w="1134" w:type="dxa"/>
          </w:tcPr>
          <w:p>
            <w:pPr>
              <w:pStyle w:val="nTable"/>
              <w:spacing w:after="40"/>
              <w:rPr>
                <w:ins w:id="3200" w:author="svcMRProcess" w:date="2020-02-19T21:14:00Z"/>
                <w:sz w:val="19"/>
              </w:rPr>
            </w:pPr>
            <w:ins w:id="3201" w:author="svcMRProcess" w:date="2020-02-19T21:14:00Z">
              <w:r>
                <w:rPr>
                  <w:sz w:val="19"/>
                </w:rPr>
                <w:t>15 Apr 1994</w:t>
              </w:r>
            </w:ins>
          </w:p>
        </w:tc>
        <w:tc>
          <w:tcPr>
            <w:tcW w:w="2551" w:type="dxa"/>
          </w:tcPr>
          <w:p>
            <w:pPr>
              <w:pStyle w:val="nTable"/>
              <w:spacing w:after="40"/>
              <w:rPr>
                <w:ins w:id="3202" w:author="svcMRProcess" w:date="2020-02-19T21:14:00Z"/>
                <w:sz w:val="19"/>
              </w:rPr>
            </w:pPr>
            <w:ins w:id="3203" w:author="svcMRProcess" w:date="2020-02-19T21:14:00Z">
              <w:r>
                <w:rPr>
                  <w:sz w:val="19"/>
                </w:rPr>
                <w:t>Deemed operative 1 Mar 1994 (see s. 2)</w:t>
              </w:r>
            </w:ins>
          </w:p>
        </w:tc>
      </w:tr>
      <w:tr>
        <w:trPr>
          <w:cantSplit/>
          <w:ins w:id="3204" w:author="svcMRProcess" w:date="2020-02-19T21:14:00Z"/>
        </w:trPr>
        <w:tc>
          <w:tcPr>
            <w:tcW w:w="2268" w:type="dxa"/>
          </w:tcPr>
          <w:p>
            <w:pPr>
              <w:pStyle w:val="nTable"/>
              <w:spacing w:after="40"/>
              <w:ind w:right="170"/>
              <w:rPr>
                <w:ins w:id="3205" w:author="svcMRProcess" w:date="2020-02-19T21:14:00Z"/>
                <w:sz w:val="19"/>
              </w:rPr>
            </w:pPr>
            <w:ins w:id="3206" w:author="svcMRProcess" w:date="2020-02-19T21:14:00Z">
              <w:r>
                <w:rPr>
                  <w:i/>
                  <w:sz w:val="19"/>
                </w:rPr>
                <w:t>Acts Amendment (Petroleum) Act 1994</w:t>
              </w:r>
              <w:r>
                <w:rPr>
                  <w:sz w:val="19"/>
                </w:rPr>
                <w:t>,</w:t>
              </w:r>
            </w:ins>
          </w:p>
          <w:p>
            <w:pPr>
              <w:pStyle w:val="nTable"/>
              <w:spacing w:after="40"/>
              <w:ind w:right="170"/>
              <w:rPr>
                <w:ins w:id="3207" w:author="svcMRProcess" w:date="2020-02-19T21:14:00Z"/>
                <w:sz w:val="19"/>
              </w:rPr>
            </w:pPr>
            <w:ins w:id="3208" w:author="svcMRProcess" w:date="2020-02-19T21:14:00Z">
              <w:r>
                <w:rPr>
                  <w:sz w:val="19"/>
                </w:rPr>
                <w:t>Part 6</w:t>
              </w:r>
            </w:ins>
          </w:p>
        </w:tc>
        <w:tc>
          <w:tcPr>
            <w:tcW w:w="1134" w:type="dxa"/>
          </w:tcPr>
          <w:p>
            <w:pPr>
              <w:pStyle w:val="nTable"/>
              <w:spacing w:after="40"/>
              <w:rPr>
                <w:ins w:id="3209" w:author="svcMRProcess" w:date="2020-02-19T21:14:00Z"/>
                <w:sz w:val="19"/>
              </w:rPr>
            </w:pPr>
            <w:ins w:id="3210" w:author="svcMRProcess" w:date="2020-02-19T21:14:00Z">
              <w:r>
                <w:rPr>
                  <w:sz w:val="19"/>
                </w:rPr>
                <w:t>28 of 1994</w:t>
              </w:r>
            </w:ins>
          </w:p>
        </w:tc>
        <w:tc>
          <w:tcPr>
            <w:tcW w:w="1134" w:type="dxa"/>
          </w:tcPr>
          <w:p>
            <w:pPr>
              <w:pStyle w:val="nTable"/>
              <w:spacing w:after="40"/>
              <w:rPr>
                <w:ins w:id="3211" w:author="svcMRProcess" w:date="2020-02-19T21:14:00Z"/>
                <w:sz w:val="19"/>
              </w:rPr>
            </w:pPr>
            <w:ins w:id="3212" w:author="svcMRProcess" w:date="2020-02-19T21:14:00Z">
              <w:r>
                <w:rPr>
                  <w:sz w:val="19"/>
                </w:rPr>
                <w:t>29 Jun 1994</w:t>
              </w:r>
            </w:ins>
          </w:p>
        </w:tc>
        <w:tc>
          <w:tcPr>
            <w:tcW w:w="2551" w:type="dxa"/>
          </w:tcPr>
          <w:p>
            <w:pPr>
              <w:pStyle w:val="nTable"/>
              <w:spacing w:after="40"/>
              <w:rPr>
                <w:ins w:id="3213" w:author="svcMRProcess" w:date="2020-02-19T21:14:00Z"/>
                <w:sz w:val="19"/>
              </w:rPr>
            </w:pPr>
            <w:ins w:id="3214" w:author="svcMRProcess" w:date="2020-02-19T21:14:00Z">
              <w:r>
                <w:rPr>
                  <w:sz w:val="19"/>
                </w:rPr>
                <w:t xml:space="preserve">22 Jul 1994 (see s. 2 and </w:t>
              </w:r>
              <w:r>
                <w:rPr>
                  <w:i/>
                  <w:sz w:val="19"/>
                </w:rPr>
                <w:t>Gazette</w:t>
              </w:r>
              <w:r>
                <w:rPr>
                  <w:sz w:val="19"/>
                </w:rPr>
                <w:t xml:space="preserve"> 22 Jul 1994 p. 3728)</w:t>
              </w:r>
            </w:ins>
          </w:p>
        </w:tc>
      </w:tr>
      <w:tr>
        <w:trPr>
          <w:cantSplit/>
          <w:ins w:id="3215" w:author="svcMRProcess" w:date="2020-02-19T21:14:00Z"/>
        </w:trPr>
        <w:tc>
          <w:tcPr>
            <w:tcW w:w="2268" w:type="dxa"/>
          </w:tcPr>
          <w:p>
            <w:pPr>
              <w:pStyle w:val="nTable"/>
              <w:spacing w:after="40"/>
              <w:ind w:right="170"/>
              <w:rPr>
                <w:ins w:id="3216" w:author="svcMRProcess" w:date="2020-02-19T21:14:00Z"/>
                <w:sz w:val="19"/>
              </w:rPr>
            </w:pPr>
            <w:ins w:id="3217" w:author="svcMRProcess" w:date="2020-02-19T21:14:00Z">
              <w:r>
                <w:rPr>
                  <w:i/>
                  <w:sz w:val="19"/>
                </w:rPr>
                <w:t>Acts Amendment (Public Sector Management) Act 1994</w:t>
              </w:r>
              <w:r>
                <w:rPr>
                  <w:sz w:val="19"/>
                </w:rPr>
                <w:t>,</w:t>
              </w:r>
            </w:ins>
          </w:p>
          <w:p>
            <w:pPr>
              <w:pStyle w:val="nTable"/>
              <w:spacing w:after="40"/>
              <w:ind w:right="170"/>
              <w:rPr>
                <w:ins w:id="3218" w:author="svcMRProcess" w:date="2020-02-19T21:14:00Z"/>
                <w:sz w:val="19"/>
              </w:rPr>
            </w:pPr>
            <w:ins w:id="3219" w:author="svcMRProcess" w:date="2020-02-19T21:14:00Z">
              <w:r>
                <w:rPr>
                  <w:sz w:val="19"/>
                </w:rPr>
                <w:t>section 19</w:t>
              </w:r>
            </w:ins>
          </w:p>
        </w:tc>
        <w:tc>
          <w:tcPr>
            <w:tcW w:w="1134" w:type="dxa"/>
          </w:tcPr>
          <w:p>
            <w:pPr>
              <w:pStyle w:val="nTable"/>
              <w:spacing w:after="40"/>
              <w:rPr>
                <w:ins w:id="3220" w:author="svcMRProcess" w:date="2020-02-19T21:14:00Z"/>
                <w:sz w:val="19"/>
              </w:rPr>
            </w:pPr>
            <w:ins w:id="3221" w:author="svcMRProcess" w:date="2020-02-19T21:14:00Z">
              <w:r>
                <w:rPr>
                  <w:sz w:val="19"/>
                </w:rPr>
                <w:t>32 of 1994</w:t>
              </w:r>
            </w:ins>
          </w:p>
        </w:tc>
        <w:tc>
          <w:tcPr>
            <w:tcW w:w="1134" w:type="dxa"/>
          </w:tcPr>
          <w:p>
            <w:pPr>
              <w:pStyle w:val="nTable"/>
              <w:spacing w:after="40"/>
              <w:rPr>
                <w:ins w:id="3222" w:author="svcMRProcess" w:date="2020-02-19T21:14:00Z"/>
                <w:sz w:val="19"/>
              </w:rPr>
            </w:pPr>
            <w:ins w:id="3223" w:author="svcMRProcess" w:date="2020-02-19T21:14:00Z">
              <w:r>
                <w:rPr>
                  <w:sz w:val="19"/>
                </w:rPr>
                <w:t>29 Jun 1994</w:t>
              </w:r>
            </w:ins>
          </w:p>
        </w:tc>
        <w:tc>
          <w:tcPr>
            <w:tcW w:w="2551" w:type="dxa"/>
          </w:tcPr>
          <w:p>
            <w:pPr>
              <w:pStyle w:val="nTable"/>
              <w:spacing w:after="40"/>
              <w:rPr>
                <w:ins w:id="3224" w:author="svcMRProcess" w:date="2020-02-19T21:14:00Z"/>
                <w:sz w:val="19"/>
              </w:rPr>
            </w:pPr>
            <w:ins w:id="3225" w:author="svcMRProcess" w:date="2020-02-19T21:14:00Z">
              <w:r>
                <w:rPr>
                  <w:sz w:val="19"/>
                </w:rPr>
                <w:t>1 Oct 1994 (see s. 2 and </w:t>
              </w:r>
              <w:r>
                <w:rPr>
                  <w:i/>
                  <w:sz w:val="19"/>
                </w:rPr>
                <w:t>Gazette</w:t>
              </w:r>
              <w:r>
                <w:rPr>
                  <w:sz w:val="19"/>
                </w:rPr>
                <w:t xml:space="preserve"> 30 Sep 1994 p. 4948)</w:t>
              </w:r>
            </w:ins>
          </w:p>
        </w:tc>
      </w:tr>
      <w:tr>
        <w:trPr>
          <w:cantSplit/>
          <w:ins w:id="3226" w:author="svcMRProcess" w:date="2020-02-19T21:14:00Z"/>
        </w:trPr>
        <w:tc>
          <w:tcPr>
            <w:tcW w:w="2268" w:type="dxa"/>
          </w:tcPr>
          <w:p>
            <w:pPr>
              <w:pStyle w:val="nTable"/>
              <w:spacing w:after="40"/>
              <w:ind w:right="170"/>
              <w:rPr>
                <w:ins w:id="3227" w:author="svcMRProcess" w:date="2020-02-19T21:14:00Z"/>
                <w:sz w:val="19"/>
              </w:rPr>
            </w:pPr>
            <w:ins w:id="3228" w:author="svcMRProcess" w:date="2020-02-19T21:14:00Z">
              <w:r>
                <w:rPr>
                  <w:i/>
                  <w:sz w:val="19"/>
                </w:rPr>
                <w:t>Statutes (Repeals and Minor Amendments) Act 1994</w:t>
              </w:r>
              <w:r>
                <w:rPr>
                  <w:sz w:val="19"/>
                </w:rPr>
                <w:t>,</w:t>
              </w:r>
            </w:ins>
          </w:p>
          <w:p>
            <w:pPr>
              <w:pStyle w:val="nTable"/>
              <w:spacing w:after="40"/>
              <w:ind w:right="170"/>
              <w:rPr>
                <w:ins w:id="3229" w:author="svcMRProcess" w:date="2020-02-19T21:14:00Z"/>
                <w:sz w:val="19"/>
              </w:rPr>
            </w:pPr>
            <w:ins w:id="3230" w:author="svcMRProcess" w:date="2020-02-19T21:14:00Z">
              <w:r>
                <w:rPr>
                  <w:sz w:val="19"/>
                </w:rPr>
                <w:t>section 4</w:t>
              </w:r>
            </w:ins>
          </w:p>
        </w:tc>
        <w:tc>
          <w:tcPr>
            <w:tcW w:w="1134" w:type="dxa"/>
          </w:tcPr>
          <w:p>
            <w:pPr>
              <w:pStyle w:val="nTable"/>
              <w:spacing w:after="40"/>
              <w:rPr>
                <w:ins w:id="3231" w:author="svcMRProcess" w:date="2020-02-19T21:14:00Z"/>
                <w:sz w:val="19"/>
              </w:rPr>
            </w:pPr>
            <w:ins w:id="3232" w:author="svcMRProcess" w:date="2020-02-19T21:14:00Z">
              <w:r>
                <w:rPr>
                  <w:sz w:val="19"/>
                </w:rPr>
                <w:t>73 of 1994</w:t>
              </w:r>
            </w:ins>
          </w:p>
        </w:tc>
        <w:tc>
          <w:tcPr>
            <w:tcW w:w="1134" w:type="dxa"/>
          </w:tcPr>
          <w:p>
            <w:pPr>
              <w:pStyle w:val="nTable"/>
              <w:spacing w:after="40"/>
              <w:rPr>
                <w:ins w:id="3233" w:author="svcMRProcess" w:date="2020-02-19T21:14:00Z"/>
                <w:sz w:val="19"/>
              </w:rPr>
            </w:pPr>
            <w:ins w:id="3234" w:author="svcMRProcess" w:date="2020-02-19T21:14:00Z">
              <w:r>
                <w:rPr>
                  <w:sz w:val="19"/>
                </w:rPr>
                <w:t>9 Dec 1994</w:t>
              </w:r>
            </w:ins>
          </w:p>
        </w:tc>
        <w:tc>
          <w:tcPr>
            <w:tcW w:w="2551" w:type="dxa"/>
          </w:tcPr>
          <w:p>
            <w:pPr>
              <w:pStyle w:val="nTable"/>
              <w:spacing w:after="40"/>
              <w:rPr>
                <w:ins w:id="3235" w:author="svcMRProcess" w:date="2020-02-19T21:14:00Z"/>
                <w:sz w:val="19"/>
              </w:rPr>
            </w:pPr>
            <w:ins w:id="3236" w:author="svcMRProcess" w:date="2020-02-19T21:14:00Z">
              <w:r>
                <w:rPr>
                  <w:sz w:val="19"/>
                </w:rPr>
                <w:t>9 Dec 1994 (see s. 2)</w:t>
              </w:r>
            </w:ins>
          </w:p>
        </w:tc>
      </w:tr>
      <w:tr>
        <w:trPr>
          <w:cantSplit/>
          <w:ins w:id="3237" w:author="svcMRProcess" w:date="2020-02-19T21:14:00Z"/>
        </w:trPr>
        <w:tc>
          <w:tcPr>
            <w:tcW w:w="2268" w:type="dxa"/>
          </w:tcPr>
          <w:p>
            <w:pPr>
              <w:pStyle w:val="nTable"/>
              <w:spacing w:after="40"/>
              <w:ind w:right="170"/>
              <w:rPr>
                <w:ins w:id="3238" w:author="svcMRProcess" w:date="2020-02-19T21:14:00Z"/>
                <w:sz w:val="19"/>
              </w:rPr>
            </w:pPr>
            <w:ins w:id="3239" w:author="svcMRProcess" w:date="2020-02-19T21:14:00Z">
              <w:r>
                <w:rPr>
                  <w:i/>
                  <w:sz w:val="19"/>
                </w:rPr>
                <w:t>Acts Amendment and Repeal (Native Title) Act 1995</w:t>
              </w:r>
              <w:r>
                <w:rPr>
                  <w:sz w:val="19"/>
                </w:rPr>
                <w:t>,</w:t>
              </w:r>
            </w:ins>
          </w:p>
          <w:p>
            <w:pPr>
              <w:pStyle w:val="nTable"/>
              <w:spacing w:after="40"/>
              <w:ind w:right="170"/>
              <w:rPr>
                <w:ins w:id="3240" w:author="svcMRProcess" w:date="2020-02-19T21:14:00Z"/>
                <w:sz w:val="19"/>
              </w:rPr>
            </w:pPr>
            <w:ins w:id="3241" w:author="svcMRProcess" w:date="2020-02-19T21:14:00Z">
              <w:r>
                <w:rPr>
                  <w:sz w:val="19"/>
                </w:rPr>
                <w:t>Part 8</w:t>
              </w:r>
            </w:ins>
          </w:p>
        </w:tc>
        <w:tc>
          <w:tcPr>
            <w:tcW w:w="1134" w:type="dxa"/>
          </w:tcPr>
          <w:p>
            <w:pPr>
              <w:pStyle w:val="nTable"/>
              <w:spacing w:after="40"/>
              <w:rPr>
                <w:ins w:id="3242" w:author="svcMRProcess" w:date="2020-02-19T21:14:00Z"/>
                <w:sz w:val="19"/>
              </w:rPr>
            </w:pPr>
            <w:ins w:id="3243" w:author="svcMRProcess" w:date="2020-02-19T21:14:00Z">
              <w:r>
                <w:rPr>
                  <w:sz w:val="19"/>
                </w:rPr>
                <w:t>52 of 1995</w:t>
              </w:r>
            </w:ins>
          </w:p>
        </w:tc>
        <w:tc>
          <w:tcPr>
            <w:tcW w:w="1134" w:type="dxa"/>
          </w:tcPr>
          <w:p>
            <w:pPr>
              <w:pStyle w:val="nTable"/>
              <w:spacing w:after="40"/>
              <w:rPr>
                <w:ins w:id="3244" w:author="svcMRProcess" w:date="2020-02-19T21:14:00Z"/>
                <w:sz w:val="19"/>
              </w:rPr>
            </w:pPr>
            <w:ins w:id="3245" w:author="svcMRProcess" w:date="2020-02-19T21:14:00Z">
              <w:r>
                <w:rPr>
                  <w:sz w:val="19"/>
                </w:rPr>
                <w:t>24 Nov 1995</w:t>
              </w:r>
            </w:ins>
          </w:p>
        </w:tc>
        <w:tc>
          <w:tcPr>
            <w:tcW w:w="2551" w:type="dxa"/>
          </w:tcPr>
          <w:p>
            <w:pPr>
              <w:pStyle w:val="nTable"/>
              <w:spacing w:after="40"/>
              <w:rPr>
                <w:ins w:id="3246" w:author="svcMRProcess" w:date="2020-02-19T21:14:00Z"/>
                <w:sz w:val="19"/>
              </w:rPr>
            </w:pPr>
            <w:ins w:id="3247" w:author="svcMRProcess" w:date="2020-02-19T21:14:00Z">
              <w:r>
                <w:rPr>
                  <w:sz w:val="19"/>
                </w:rPr>
                <w:t xml:space="preserve">9 Dec 1995 (see s. 2 and </w:t>
              </w:r>
              <w:r>
                <w:rPr>
                  <w:i/>
                  <w:sz w:val="19"/>
                </w:rPr>
                <w:t>Gazette</w:t>
              </w:r>
              <w:r>
                <w:rPr>
                  <w:sz w:val="19"/>
                </w:rPr>
                <w:t xml:space="preserve"> 8 Dec 1995 p. 5935)</w:t>
              </w:r>
            </w:ins>
          </w:p>
        </w:tc>
      </w:tr>
      <w:tr>
        <w:trPr>
          <w:cantSplit/>
          <w:ins w:id="3248" w:author="svcMRProcess" w:date="2020-02-19T21:14:00Z"/>
        </w:trPr>
        <w:tc>
          <w:tcPr>
            <w:tcW w:w="2268" w:type="dxa"/>
          </w:tcPr>
          <w:p>
            <w:pPr>
              <w:pStyle w:val="nTable"/>
              <w:spacing w:after="40"/>
              <w:ind w:right="170"/>
              <w:rPr>
                <w:ins w:id="3249" w:author="svcMRProcess" w:date="2020-02-19T21:14:00Z"/>
                <w:sz w:val="19"/>
              </w:rPr>
            </w:pPr>
            <w:ins w:id="3250" w:author="svcMRProcess" w:date="2020-02-19T21:14:00Z">
              <w:r>
                <w:rPr>
                  <w:i/>
                  <w:sz w:val="19"/>
                </w:rPr>
                <w:t>Acts Amendment (Marine Reserves) Act 1997</w:t>
              </w:r>
              <w:r>
                <w:rPr>
                  <w:sz w:val="19"/>
                </w:rPr>
                <w:t>,</w:t>
              </w:r>
            </w:ins>
          </w:p>
          <w:p>
            <w:pPr>
              <w:pStyle w:val="nTable"/>
              <w:spacing w:after="40"/>
              <w:ind w:right="170"/>
              <w:rPr>
                <w:ins w:id="3251" w:author="svcMRProcess" w:date="2020-02-19T21:14:00Z"/>
                <w:sz w:val="19"/>
              </w:rPr>
            </w:pPr>
            <w:ins w:id="3252" w:author="svcMRProcess" w:date="2020-02-19T21:14:00Z">
              <w:r>
                <w:rPr>
                  <w:sz w:val="19"/>
                </w:rPr>
                <w:t>Part 5</w:t>
              </w:r>
            </w:ins>
          </w:p>
        </w:tc>
        <w:tc>
          <w:tcPr>
            <w:tcW w:w="1134" w:type="dxa"/>
          </w:tcPr>
          <w:p>
            <w:pPr>
              <w:pStyle w:val="nTable"/>
              <w:spacing w:after="40"/>
              <w:rPr>
                <w:ins w:id="3253" w:author="svcMRProcess" w:date="2020-02-19T21:14:00Z"/>
                <w:sz w:val="19"/>
              </w:rPr>
            </w:pPr>
            <w:ins w:id="3254" w:author="svcMRProcess" w:date="2020-02-19T21:14:00Z">
              <w:r>
                <w:rPr>
                  <w:sz w:val="19"/>
                </w:rPr>
                <w:t>5 of 1997</w:t>
              </w:r>
            </w:ins>
          </w:p>
        </w:tc>
        <w:tc>
          <w:tcPr>
            <w:tcW w:w="1134" w:type="dxa"/>
          </w:tcPr>
          <w:p>
            <w:pPr>
              <w:pStyle w:val="nTable"/>
              <w:spacing w:after="40"/>
              <w:rPr>
                <w:ins w:id="3255" w:author="svcMRProcess" w:date="2020-02-19T21:14:00Z"/>
                <w:sz w:val="19"/>
              </w:rPr>
            </w:pPr>
            <w:ins w:id="3256" w:author="svcMRProcess" w:date="2020-02-19T21:14:00Z">
              <w:r>
                <w:rPr>
                  <w:sz w:val="19"/>
                </w:rPr>
                <w:t>10 Jun 1997</w:t>
              </w:r>
            </w:ins>
          </w:p>
        </w:tc>
        <w:tc>
          <w:tcPr>
            <w:tcW w:w="2551" w:type="dxa"/>
          </w:tcPr>
          <w:p>
            <w:pPr>
              <w:pStyle w:val="nTable"/>
              <w:spacing w:after="40"/>
              <w:rPr>
                <w:ins w:id="3257" w:author="svcMRProcess" w:date="2020-02-19T21:14:00Z"/>
                <w:sz w:val="19"/>
              </w:rPr>
            </w:pPr>
            <w:ins w:id="3258" w:author="svcMRProcess" w:date="2020-02-19T21:14:00Z">
              <w:r>
                <w:rPr>
                  <w:sz w:val="19"/>
                </w:rPr>
                <w:t>29 Aug 1997 (see s. 2 and </w:t>
              </w:r>
              <w:r>
                <w:rPr>
                  <w:i/>
                  <w:sz w:val="19"/>
                </w:rPr>
                <w:t>Gazette</w:t>
              </w:r>
              <w:r>
                <w:rPr>
                  <w:sz w:val="19"/>
                </w:rPr>
                <w:t xml:space="preserve"> 29 Aug 1997 p. 4867)</w:t>
              </w:r>
            </w:ins>
          </w:p>
        </w:tc>
      </w:tr>
      <w:tr>
        <w:trPr>
          <w:cantSplit/>
          <w:ins w:id="3259" w:author="svcMRProcess" w:date="2020-02-19T21:14:00Z"/>
        </w:trPr>
        <w:tc>
          <w:tcPr>
            <w:tcW w:w="2268" w:type="dxa"/>
          </w:tcPr>
          <w:p>
            <w:pPr>
              <w:pStyle w:val="nTable"/>
              <w:spacing w:after="40"/>
              <w:ind w:right="170"/>
              <w:rPr>
                <w:ins w:id="3260" w:author="svcMRProcess" w:date="2020-02-19T21:14:00Z"/>
                <w:sz w:val="19"/>
              </w:rPr>
            </w:pPr>
            <w:ins w:id="3261" w:author="svcMRProcess" w:date="2020-02-19T21:14:00Z">
              <w:r>
                <w:rPr>
                  <w:i/>
                  <w:sz w:val="19"/>
                </w:rPr>
                <w:t>Statutes (Repeals and Minor Amendments) Act 1997</w:t>
              </w:r>
              <w:r>
                <w:rPr>
                  <w:sz w:val="19"/>
                </w:rPr>
                <w:t>,</w:t>
              </w:r>
            </w:ins>
          </w:p>
          <w:p>
            <w:pPr>
              <w:pStyle w:val="nTable"/>
              <w:spacing w:after="40"/>
              <w:ind w:right="170"/>
              <w:rPr>
                <w:ins w:id="3262" w:author="svcMRProcess" w:date="2020-02-19T21:14:00Z"/>
                <w:sz w:val="19"/>
              </w:rPr>
            </w:pPr>
            <w:ins w:id="3263" w:author="svcMRProcess" w:date="2020-02-19T21:14:00Z">
              <w:r>
                <w:rPr>
                  <w:sz w:val="19"/>
                </w:rPr>
                <w:t>section 94</w:t>
              </w:r>
            </w:ins>
          </w:p>
        </w:tc>
        <w:tc>
          <w:tcPr>
            <w:tcW w:w="1134" w:type="dxa"/>
          </w:tcPr>
          <w:p>
            <w:pPr>
              <w:pStyle w:val="nTable"/>
              <w:spacing w:after="40"/>
              <w:rPr>
                <w:ins w:id="3264" w:author="svcMRProcess" w:date="2020-02-19T21:14:00Z"/>
                <w:sz w:val="19"/>
              </w:rPr>
            </w:pPr>
            <w:ins w:id="3265" w:author="svcMRProcess" w:date="2020-02-19T21:14:00Z">
              <w:r>
                <w:rPr>
                  <w:sz w:val="19"/>
                </w:rPr>
                <w:t>57 of 1997</w:t>
              </w:r>
            </w:ins>
          </w:p>
        </w:tc>
        <w:tc>
          <w:tcPr>
            <w:tcW w:w="1134" w:type="dxa"/>
          </w:tcPr>
          <w:p>
            <w:pPr>
              <w:pStyle w:val="nTable"/>
              <w:spacing w:after="40"/>
              <w:rPr>
                <w:ins w:id="3266" w:author="svcMRProcess" w:date="2020-02-19T21:14:00Z"/>
                <w:sz w:val="19"/>
              </w:rPr>
            </w:pPr>
            <w:ins w:id="3267" w:author="svcMRProcess" w:date="2020-02-19T21:14:00Z">
              <w:r>
                <w:rPr>
                  <w:sz w:val="19"/>
                </w:rPr>
                <w:t>15 Dec 1997</w:t>
              </w:r>
            </w:ins>
          </w:p>
        </w:tc>
        <w:tc>
          <w:tcPr>
            <w:tcW w:w="2551" w:type="dxa"/>
          </w:tcPr>
          <w:p>
            <w:pPr>
              <w:pStyle w:val="nTable"/>
              <w:spacing w:after="40"/>
              <w:rPr>
                <w:ins w:id="3268" w:author="svcMRProcess" w:date="2020-02-19T21:14:00Z"/>
                <w:sz w:val="19"/>
              </w:rPr>
            </w:pPr>
            <w:ins w:id="3269" w:author="svcMRProcess" w:date="2020-02-19T21:14:00Z">
              <w:r>
                <w:rPr>
                  <w:sz w:val="19"/>
                </w:rPr>
                <w:t>15 Dec 1997 (see s. 2)</w:t>
              </w:r>
            </w:ins>
          </w:p>
        </w:tc>
      </w:tr>
      <w:tr>
        <w:trPr>
          <w:cantSplit/>
          <w:ins w:id="3270" w:author="svcMRProcess" w:date="2020-02-19T21:14:00Z"/>
        </w:trPr>
        <w:tc>
          <w:tcPr>
            <w:tcW w:w="2268" w:type="dxa"/>
          </w:tcPr>
          <w:p>
            <w:pPr>
              <w:pStyle w:val="nTable"/>
              <w:spacing w:after="40"/>
              <w:ind w:right="170"/>
              <w:rPr>
                <w:ins w:id="3271" w:author="svcMRProcess" w:date="2020-02-19T21:14:00Z"/>
                <w:sz w:val="19"/>
              </w:rPr>
            </w:pPr>
            <w:ins w:id="3272" w:author="svcMRProcess" w:date="2020-02-19T21:14:00Z">
              <w:r>
                <w:rPr>
                  <w:i/>
                  <w:sz w:val="19"/>
                </w:rPr>
                <w:t>Acts Amendment (Land Administration, Mining and Petroleum) Act 1998</w:t>
              </w:r>
              <w:r>
                <w:rPr>
                  <w:sz w:val="19"/>
                </w:rPr>
                <w:t>,</w:t>
              </w:r>
            </w:ins>
          </w:p>
          <w:p>
            <w:pPr>
              <w:pStyle w:val="nTable"/>
              <w:spacing w:after="40"/>
              <w:ind w:right="170"/>
              <w:rPr>
                <w:ins w:id="3273" w:author="svcMRProcess" w:date="2020-02-19T21:14:00Z"/>
                <w:sz w:val="19"/>
              </w:rPr>
            </w:pPr>
            <w:ins w:id="3274" w:author="svcMRProcess" w:date="2020-02-19T21:14:00Z">
              <w:r>
                <w:rPr>
                  <w:sz w:val="19"/>
                </w:rPr>
                <w:t>Part 5</w:t>
              </w:r>
            </w:ins>
          </w:p>
        </w:tc>
        <w:tc>
          <w:tcPr>
            <w:tcW w:w="1134" w:type="dxa"/>
          </w:tcPr>
          <w:p>
            <w:pPr>
              <w:pStyle w:val="nTable"/>
              <w:spacing w:after="40"/>
              <w:rPr>
                <w:ins w:id="3275" w:author="svcMRProcess" w:date="2020-02-19T21:14:00Z"/>
                <w:sz w:val="19"/>
              </w:rPr>
            </w:pPr>
            <w:ins w:id="3276" w:author="svcMRProcess" w:date="2020-02-19T21:14:00Z">
              <w:r>
                <w:rPr>
                  <w:sz w:val="19"/>
                </w:rPr>
                <w:t>61 of 1998</w:t>
              </w:r>
            </w:ins>
          </w:p>
        </w:tc>
        <w:tc>
          <w:tcPr>
            <w:tcW w:w="1134" w:type="dxa"/>
          </w:tcPr>
          <w:p>
            <w:pPr>
              <w:pStyle w:val="nTable"/>
              <w:spacing w:after="40"/>
              <w:rPr>
                <w:ins w:id="3277" w:author="svcMRProcess" w:date="2020-02-19T21:14:00Z"/>
                <w:sz w:val="19"/>
              </w:rPr>
            </w:pPr>
            <w:ins w:id="3278" w:author="svcMRProcess" w:date="2020-02-19T21:14:00Z">
              <w:r>
                <w:rPr>
                  <w:sz w:val="19"/>
                </w:rPr>
                <w:t>11 Jan 1999</w:t>
              </w:r>
            </w:ins>
          </w:p>
        </w:tc>
        <w:tc>
          <w:tcPr>
            <w:tcW w:w="2551" w:type="dxa"/>
          </w:tcPr>
          <w:p>
            <w:pPr>
              <w:pStyle w:val="nTable"/>
              <w:spacing w:after="40"/>
              <w:rPr>
                <w:ins w:id="3279" w:author="svcMRProcess" w:date="2020-02-19T21:14:00Z"/>
                <w:sz w:val="19"/>
              </w:rPr>
            </w:pPr>
            <w:ins w:id="3280" w:author="svcMRProcess" w:date="2020-02-19T21:14:00Z">
              <w:r>
                <w:rPr>
                  <w:sz w:val="19"/>
                </w:rPr>
                <w:t>11 Jan 1999 (see s. 2(1))</w:t>
              </w:r>
            </w:ins>
          </w:p>
        </w:tc>
      </w:tr>
      <w:tr>
        <w:trPr>
          <w:cantSplit/>
          <w:ins w:id="3281" w:author="svcMRProcess" w:date="2020-02-19T21:14:00Z"/>
        </w:trPr>
        <w:tc>
          <w:tcPr>
            <w:tcW w:w="2268" w:type="dxa"/>
          </w:tcPr>
          <w:p>
            <w:pPr>
              <w:pStyle w:val="nTable"/>
              <w:spacing w:after="40"/>
              <w:ind w:right="170"/>
              <w:rPr>
                <w:ins w:id="3282" w:author="svcMRProcess" w:date="2020-02-19T21:14:00Z"/>
                <w:sz w:val="19"/>
              </w:rPr>
            </w:pPr>
            <w:ins w:id="3283" w:author="svcMRProcess" w:date="2020-02-19T21:14:00Z">
              <w:r>
                <w:rPr>
                  <w:i/>
                  <w:sz w:val="19"/>
                </w:rPr>
                <w:t>Gas Pipelines Access (Western Australia) Act 1998</w:t>
              </w:r>
              <w:r>
                <w:rPr>
                  <w:sz w:val="19"/>
                </w:rPr>
                <w:t>,</w:t>
              </w:r>
            </w:ins>
          </w:p>
          <w:p>
            <w:pPr>
              <w:pStyle w:val="nTable"/>
              <w:spacing w:after="40"/>
              <w:ind w:right="170"/>
              <w:rPr>
                <w:ins w:id="3284" w:author="svcMRProcess" w:date="2020-02-19T21:14:00Z"/>
                <w:sz w:val="19"/>
              </w:rPr>
            </w:pPr>
            <w:ins w:id="3285" w:author="svcMRProcess" w:date="2020-02-19T21:14:00Z">
              <w:r>
                <w:rPr>
                  <w:sz w:val="19"/>
                </w:rPr>
                <w:t>section 89</w:t>
              </w:r>
            </w:ins>
          </w:p>
        </w:tc>
        <w:tc>
          <w:tcPr>
            <w:tcW w:w="1134" w:type="dxa"/>
          </w:tcPr>
          <w:p>
            <w:pPr>
              <w:pStyle w:val="nTable"/>
              <w:spacing w:after="40"/>
              <w:rPr>
                <w:ins w:id="3286" w:author="svcMRProcess" w:date="2020-02-19T21:14:00Z"/>
                <w:sz w:val="19"/>
              </w:rPr>
            </w:pPr>
            <w:ins w:id="3287" w:author="svcMRProcess" w:date="2020-02-19T21:14:00Z">
              <w:r>
                <w:rPr>
                  <w:sz w:val="19"/>
                </w:rPr>
                <w:t>65 of 1998</w:t>
              </w:r>
            </w:ins>
          </w:p>
        </w:tc>
        <w:tc>
          <w:tcPr>
            <w:tcW w:w="1134" w:type="dxa"/>
          </w:tcPr>
          <w:p>
            <w:pPr>
              <w:pStyle w:val="nTable"/>
              <w:spacing w:after="40"/>
              <w:rPr>
                <w:ins w:id="3288" w:author="svcMRProcess" w:date="2020-02-19T21:14:00Z"/>
                <w:sz w:val="19"/>
              </w:rPr>
            </w:pPr>
            <w:ins w:id="3289" w:author="svcMRProcess" w:date="2020-02-19T21:14:00Z">
              <w:r>
                <w:rPr>
                  <w:sz w:val="19"/>
                </w:rPr>
                <w:t>15 Jan 1999</w:t>
              </w:r>
            </w:ins>
          </w:p>
        </w:tc>
        <w:tc>
          <w:tcPr>
            <w:tcW w:w="2551" w:type="dxa"/>
          </w:tcPr>
          <w:p>
            <w:pPr>
              <w:pStyle w:val="nTable"/>
              <w:spacing w:after="40"/>
              <w:rPr>
                <w:ins w:id="3290" w:author="svcMRProcess" w:date="2020-02-19T21:14:00Z"/>
                <w:sz w:val="19"/>
              </w:rPr>
            </w:pPr>
            <w:ins w:id="3291" w:author="svcMRProcess" w:date="2020-02-19T21:14:00Z">
              <w:r>
                <w:rPr>
                  <w:sz w:val="19"/>
                </w:rPr>
                <w:t xml:space="preserve">9 Feb 1999 (see s. 2 and </w:t>
              </w:r>
              <w:r>
                <w:rPr>
                  <w:i/>
                  <w:sz w:val="19"/>
                </w:rPr>
                <w:t>Gazette</w:t>
              </w:r>
              <w:r>
                <w:rPr>
                  <w:sz w:val="19"/>
                </w:rPr>
                <w:t xml:space="preserve"> 8 Feb 1999 p. 441)</w:t>
              </w:r>
            </w:ins>
          </w:p>
        </w:tc>
      </w:tr>
      <w:tr>
        <w:trPr>
          <w:cantSplit/>
          <w:ins w:id="3292" w:author="svcMRProcess" w:date="2020-02-19T21:14:00Z"/>
        </w:trPr>
        <w:tc>
          <w:tcPr>
            <w:tcW w:w="2268" w:type="dxa"/>
          </w:tcPr>
          <w:p>
            <w:pPr>
              <w:pStyle w:val="nTable"/>
              <w:spacing w:after="40"/>
              <w:ind w:right="170"/>
              <w:rPr>
                <w:ins w:id="3293" w:author="svcMRProcess" w:date="2020-02-19T21:14:00Z"/>
                <w:sz w:val="19"/>
              </w:rPr>
            </w:pPr>
            <w:ins w:id="3294" w:author="svcMRProcess" w:date="2020-02-19T21:14:00Z">
              <w:r>
                <w:rPr>
                  <w:i/>
                  <w:sz w:val="19"/>
                </w:rPr>
                <w:t>Acts Amendment (Mining and Petroleum) Act 1999</w:t>
              </w:r>
              <w:r>
                <w:rPr>
                  <w:sz w:val="19"/>
                </w:rPr>
                <w:t>,</w:t>
              </w:r>
            </w:ins>
          </w:p>
          <w:p>
            <w:pPr>
              <w:pStyle w:val="nTable"/>
              <w:spacing w:after="40"/>
              <w:ind w:right="170"/>
              <w:rPr>
                <w:ins w:id="3295" w:author="svcMRProcess" w:date="2020-02-19T21:14:00Z"/>
                <w:sz w:val="19"/>
              </w:rPr>
            </w:pPr>
            <w:ins w:id="3296" w:author="svcMRProcess" w:date="2020-02-19T21:14:00Z">
              <w:r>
                <w:rPr>
                  <w:sz w:val="19"/>
                </w:rPr>
                <w:t>Part 4</w:t>
              </w:r>
            </w:ins>
          </w:p>
        </w:tc>
        <w:tc>
          <w:tcPr>
            <w:tcW w:w="1134" w:type="dxa"/>
          </w:tcPr>
          <w:p>
            <w:pPr>
              <w:pStyle w:val="nTable"/>
              <w:spacing w:after="40"/>
              <w:rPr>
                <w:ins w:id="3297" w:author="svcMRProcess" w:date="2020-02-19T21:14:00Z"/>
                <w:sz w:val="19"/>
              </w:rPr>
            </w:pPr>
            <w:ins w:id="3298" w:author="svcMRProcess" w:date="2020-02-19T21:14:00Z">
              <w:r>
                <w:rPr>
                  <w:sz w:val="19"/>
                </w:rPr>
                <w:t>17 of 1999</w:t>
              </w:r>
            </w:ins>
          </w:p>
        </w:tc>
        <w:tc>
          <w:tcPr>
            <w:tcW w:w="1134" w:type="dxa"/>
          </w:tcPr>
          <w:p>
            <w:pPr>
              <w:pStyle w:val="nTable"/>
              <w:spacing w:after="40"/>
              <w:rPr>
                <w:ins w:id="3299" w:author="svcMRProcess" w:date="2020-02-19T21:14:00Z"/>
                <w:sz w:val="19"/>
              </w:rPr>
            </w:pPr>
            <w:ins w:id="3300" w:author="svcMRProcess" w:date="2020-02-19T21:14:00Z">
              <w:r>
                <w:rPr>
                  <w:sz w:val="19"/>
                </w:rPr>
                <w:t>15 Jun 1999</w:t>
              </w:r>
            </w:ins>
          </w:p>
        </w:tc>
        <w:tc>
          <w:tcPr>
            <w:tcW w:w="2551" w:type="dxa"/>
          </w:tcPr>
          <w:p>
            <w:pPr>
              <w:pStyle w:val="nTable"/>
              <w:spacing w:after="40"/>
              <w:rPr>
                <w:ins w:id="3301" w:author="svcMRProcess" w:date="2020-02-19T21:14:00Z"/>
                <w:sz w:val="19"/>
              </w:rPr>
            </w:pPr>
            <w:ins w:id="3302" w:author="svcMRProcess" w:date="2020-02-19T21:14:00Z">
              <w:r>
                <w:rPr>
                  <w:sz w:val="19"/>
                </w:rPr>
                <w:t xml:space="preserve">24 Jul 1999 (see s. 2 and </w:t>
              </w:r>
              <w:r>
                <w:rPr>
                  <w:i/>
                  <w:sz w:val="19"/>
                </w:rPr>
                <w:t>Gazette</w:t>
              </w:r>
              <w:r>
                <w:rPr>
                  <w:sz w:val="19"/>
                </w:rPr>
                <w:t xml:space="preserve"> 23 Jul 1999 p. 3385)</w:t>
              </w:r>
            </w:ins>
          </w:p>
        </w:tc>
      </w:tr>
      <w:tr>
        <w:trPr>
          <w:cantSplit/>
          <w:ins w:id="3303" w:author="svcMRProcess" w:date="2020-02-19T21:14:00Z"/>
        </w:trPr>
        <w:tc>
          <w:tcPr>
            <w:tcW w:w="2268" w:type="dxa"/>
          </w:tcPr>
          <w:p>
            <w:pPr>
              <w:pStyle w:val="nTable"/>
              <w:spacing w:after="40"/>
              <w:ind w:right="170"/>
              <w:rPr>
                <w:ins w:id="3304" w:author="svcMRProcess" w:date="2020-02-19T21:14:00Z"/>
                <w:sz w:val="19"/>
              </w:rPr>
            </w:pPr>
            <w:ins w:id="3305" w:author="svcMRProcess" w:date="2020-02-19T21:14:00Z">
              <w:r>
                <w:rPr>
                  <w:i/>
                  <w:sz w:val="19"/>
                </w:rPr>
                <w:t>Acts Amendment (Australian Datum) Act 2000</w:t>
              </w:r>
              <w:r>
                <w:rPr>
                  <w:sz w:val="19"/>
                </w:rPr>
                <w:t>,</w:t>
              </w:r>
            </w:ins>
          </w:p>
          <w:p>
            <w:pPr>
              <w:pStyle w:val="nTable"/>
              <w:spacing w:after="40"/>
              <w:ind w:right="170"/>
              <w:rPr>
                <w:ins w:id="3306" w:author="svcMRProcess" w:date="2020-02-19T21:14:00Z"/>
                <w:sz w:val="19"/>
              </w:rPr>
            </w:pPr>
            <w:ins w:id="3307" w:author="svcMRProcess" w:date="2020-02-19T21:14:00Z">
              <w:r>
                <w:rPr>
                  <w:sz w:val="19"/>
                </w:rPr>
                <w:t>section 8</w:t>
              </w:r>
            </w:ins>
          </w:p>
        </w:tc>
        <w:tc>
          <w:tcPr>
            <w:tcW w:w="1134" w:type="dxa"/>
          </w:tcPr>
          <w:p>
            <w:pPr>
              <w:pStyle w:val="nTable"/>
              <w:spacing w:after="40"/>
              <w:rPr>
                <w:ins w:id="3308" w:author="svcMRProcess" w:date="2020-02-19T21:14:00Z"/>
                <w:sz w:val="19"/>
              </w:rPr>
            </w:pPr>
            <w:ins w:id="3309" w:author="svcMRProcess" w:date="2020-02-19T21:14:00Z">
              <w:r>
                <w:rPr>
                  <w:sz w:val="19"/>
                </w:rPr>
                <w:t>54 of 2000</w:t>
              </w:r>
            </w:ins>
          </w:p>
        </w:tc>
        <w:tc>
          <w:tcPr>
            <w:tcW w:w="1134" w:type="dxa"/>
          </w:tcPr>
          <w:p>
            <w:pPr>
              <w:pStyle w:val="nTable"/>
              <w:spacing w:after="40"/>
              <w:rPr>
                <w:ins w:id="3310" w:author="svcMRProcess" w:date="2020-02-19T21:14:00Z"/>
                <w:sz w:val="19"/>
              </w:rPr>
            </w:pPr>
            <w:ins w:id="3311" w:author="svcMRProcess" w:date="2020-02-19T21:14:00Z">
              <w:r>
                <w:rPr>
                  <w:sz w:val="19"/>
                </w:rPr>
                <w:t>28 Nov 2000</w:t>
              </w:r>
            </w:ins>
          </w:p>
        </w:tc>
        <w:tc>
          <w:tcPr>
            <w:tcW w:w="2551" w:type="dxa"/>
          </w:tcPr>
          <w:p>
            <w:pPr>
              <w:pStyle w:val="nTable"/>
              <w:spacing w:after="40"/>
              <w:rPr>
                <w:ins w:id="3312" w:author="svcMRProcess" w:date="2020-02-19T21:14:00Z"/>
                <w:i/>
                <w:sz w:val="19"/>
              </w:rPr>
            </w:pPr>
            <w:ins w:id="3313" w:author="svcMRProcess" w:date="2020-02-19T21:14:00Z">
              <w:r>
                <w:rPr>
                  <w:sz w:val="19"/>
                </w:rPr>
                <w:t>16 Dec 2000 (see s. 2 and </w:t>
              </w:r>
              <w:r>
                <w:rPr>
                  <w:i/>
                  <w:sz w:val="19"/>
                </w:rPr>
                <w:t xml:space="preserve">Gazette </w:t>
              </w:r>
              <w:r>
                <w:rPr>
                  <w:sz w:val="19"/>
                </w:rPr>
                <w:t>15 Dec 2000 p. 7201)</w:t>
              </w:r>
            </w:ins>
          </w:p>
        </w:tc>
      </w:tr>
      <w:tr>
        <w:trPr>
          <w:cantSplit/>
          <w:ins w:id="3314" w:author="svcMRProcess" w:date="2020-02-19T21:14:00Z"/>
        </w:trPr>
        <w:tc>
          <w:tcPr>
            <w:tcW w:w="2268" w:type="dxa"/>
          </w:tcPr>
          <w:p>
            <w:pPr>
              <w:pStyle w:val="nTable"/>
              <w:spacing w:after="40"/>
              <w:ind w:right="170"/>
              <w:rPr>
                <w:ins w:id="3315" w:author="svcMRProcess" w:date="2020-02-19T21:14:00Z"/>
                <w:i/>
                <w:sz w:val="19"/>
              </w:rPr>
            </w:pPr>
            <w:ins w:id="3316" w:author="svcMRProcess" w:date="2020-02-19T21:14:00Z">
              <w:r>
                <w:rPr>
                  <w:i/>
                  <w:sz w:val="19"/>
                </w:rPr>
                <w:t>Corporations (Consequential Amendments) Act (No. 2) 2003</w:t>
              </w:r>
              <w:r>
                <w:rPr>
                  <w:sz w:val="19"/>
                </w:rPr>
                <w:t xml:space="preserve"> Pt. 18</w:t>
              </w:r>
            </w:ins>
          </w:p>
        </w:tc>
        <w:tc>
          <w:tcPr>
            <w:tcW w:w="1134" w:type="dxa"/>
          </w:tcPr>
          <w:p>
            <w:pPr>
              <w:pStyle w:val="nTable"/>
              <w:spacing w:after="40"/>
              <w:rPr>
                <w:ins w:id="3317" w:author="svcMRProcess" w:date="2020-02-19T21:14:00Z"/>
                <w:sz w:val="19"/>
              </w:rPr>
            </w:pPr>
            <w:ins w:id="3318" w:author="svcMRProcess" w:date="2020-02-19T21:14:00Z">
              <w:r>
                <w:rPr>
                  <w:sz w:val="19"/>
                </w:rPr>
                <w:t>20 of 2003</w:t>
              </w:r>
            </w:ins>
          </w:p>
        </w:tc>
        <w:tc>
          <w:tcPr>
            <w:tcW w:w="1134" w:type="dxa"/>
          </w:tcPr>
          <w:p>
            <w:pPr>
              <w:pStyle w:val="nTable"/>
              <w:spacing w:after="40"/>
              <w:rPr>
                <w:ins w:id="3319" w:author="svcMRProcess" w:date="2020-02-19T21:14:00Z"/>
                <w:sz w:val="19"/>
              </w:rPr>
            </w:pPr>
            <w:ins w:id="3320" w:author="svcMRProcess" w:date="2020-02-19T21:14:00Z">
              <w:r>
                <w:rPr>
                  <w:sz w:val="19"/>
                </w:rPr>
                <w:t>23 Apr 2003</w:t>
              </w:r>
            </w:ins>
          </w:p>
        </w:tc>
        <w:tc>
          <w:tcPr>
            <w:tcW w:w="2551" w:type="dxa"/>
          </w:tcPr>
          <w:p>
            <w:pPr>
              <w:pStyle w:val="nTable"/>
              <w:spacing w:after="40"/>
              <w:rPr>
                <w:ins w:id="3321" w:author="svcMRProcess" w:date="2020-02-19T21:14:00Z"/>
                <w:sz w:val="19"/>
              </w:rPr>
            </w:pPr>
            <w:ins w:id="3322" w:author="svcMRProcess" w:date="2020-02-19T21:14:00Z">
              <w:r>
                <w:rPr>
                  <w:sz w:val="19"/>
                </w:rPr>
                <w:t xml:space="preserve">15 Jul 2001 (see s. 2(1) and Cwlth </w:t>
              </w:r>
              <w:r>
                <w:rPr>
                  <w:i/>
                  <w:sz w:val="19"/>
                </w:rPr>
                <w:t>Gazette</w:t>
              </w:r>
              <w:r>
                <w:rPr>
                  <w:sz w:val="19"/>
                </w:rPr>
                <w:t xml:space="preserve"> 13 Jul 2001 No. S285)</w:t>
              </w:r>
            </w:ins>
          </w:p>
        </w:tc>
      </w:tr>
      <w:tr>
        <w:trPr>
          <w:cantSplit/>
          <w:ins w:id="3323" w:author="svcMRProcess" w:date="2020-02-19T21:14:00Z"/>
        </w:trPr>
        <w:tc>
          <w:tcPr>
            <w:tcW w:w="2268" w:type="dxa"/>
          </w:tcPr>
          <w:p>
            <w:pPr>
              <w:pStyle w:val="nTable"/>
              <w:spacing w:after="40"/>
              <w:ind w:right="170"/>
              <w:rPr>
                <w:ins w:id="3324" w:author="svcMRProcess" w:date="2020-02-19T21:14:00Z"/>
                <w:i/>
                <w:sz w:val="19"/>
              </w:rPr>
            </w:pPr>
            <w:ins w:id="3325" w:author="svcMRProcess" w:date="2020-02-19T21:14:00Z">
              <w:r>
                <w:rPr>
                  <w:i/>
                  <w:sz w:val="19"/>
                </w:rPr>
                <w:t>Criminal Code Amendment Act 2004</w:t>
              </w:r>
              <w:r>
                <w:rPr>
                  <w:sz w:val="19"/>
                </w:rPr>
                <w:t xml:space="preserve"> s. 58 </w:t>
              </w:r>
            </w:ins>
          </w:p>
        </w:tc>
        <w:tc>
          <w:tcPr>
            <w:tcW w:w="1134" w:type="dxa"/>
          </w:tcPr>
          <w:p>
            <w:pPr>
              <w:pStyle w:val="nTable"/>
              <w:spacing w:after="40"/>
              <w:rPr>
                <w:ins w:id="3326" w:author="svcMRProcess" w:date="2020-02-19T21:14:00Z"/>
                <w:sz w:val="19"/>
              </w:rPr>
            </w:pPr>
            <w:ins w:id="3327" w:author="svcMRProcess" w:date="2020-02-19T21:14:00Z">
              <w:r>
                <w:rPr>
                  <w:sz w:val="19"/>
                </w:rPr>
                <w:t>4 of 2004</w:t>
              </w:r>
            </w:ins>
          </w:p>
        </w:tc>
        <w:tc>
          <w:tcPr>
            <w:tcW w:w="1134" w:type="dxa"/>
          </w:tcPr>
          <w:p>
            <w:pPr>
              <w:pStyle w:val="nTable"/>
              <w:spacing w:after="40"/>
              <w:rPr>
                <w:ins w:id="3328" w:author="svcMRProcess" w:date="2020-02-19T21:14:00Z"/>
                <w:sz w:val="19"/>
              </w:rPr>
            </w:pPr>
            <w:ins w:id="3329" w:author="svcMRProcess" w:date="2020-02-19T21:14:00Z">
              <w:r>
                <w:rPr>
                  <w:sz w:val="19"/>
                </w:rPr>
                <w:t>23 Apr 2004</w:t>
              </w:r>
            </w:ins>
          </w:p>
        </w:tc>
        <w:tc>
          <w:tcPr>
            <w:tcW w:w="2551" w:type="dxa"/>
          </w:tcPr>
          <w:p>
            <w:pPr>
              <w:pStyle w:val="nTable"/>
              <w:spacing w:after="40"/>
              <w:rPr>
                <w:ins w:id="3330" w:author="svcMRProcess" w:date="2020-02-19T21:14:00Z"/>
                <w:sz w:val="19"/>
              </w:rPr>
            </w:pPr>
            <w:ins w:id="3331" w:author="svcMRProcess" w:date="2020-02-19T21:14:00Z">
              <w:r>
                <w:rPr>
                  <w:sz w:val="19"/>
                </w:rPr>
                <w:t>21 May 2004 (see s. 2)</w:t>
              </w:r>
            </w:ins>
          </w:p>
        </w:tc>
      </w:tr>
      <w:tr>
        <w:trPr>
          <w:cantSplit/>
          <w:ins w:id="3332" w:author="svcMRProcess" w:date="2020-02-19T21:14:00Z"/>
        </w:trPr>
        <w:tc>
          <w:tcPr>
            <w:tcW w:w="2268" w:type="dxa"/>
          </w:tcPr>
          <w:p>
            <w:pPr>
              <w:pStyle w:val="nTable"/>
              <w:spacing w:after="40"/>
              <w:ind w:right="170"/>
              <w:rPr>
                <w:ins w:id="3333" w:author="svcMRProcess" w:date="2020-02-19T21:14:00Z"/>
                <w:i/>
                <w:sz w:val="19"/>
                <w:vertAlign w:val="superscript"/>
              </w:rPr>
            </w:pPr>
            <w:ins w:id="3334" w:author="svcMRProcess" w:date="2020-02-19T21:14:00Z">
              <w:r>
                <w:rPr>
                  <w:rFonts w:ascii="Times" w:hAnsi="Times"/>
                  <w:i/>
                  <w:sz w:val="19"/>
                </w:rPr>
                <w:t>State Administrative Tribunal (Conferral of Jurisdiction) Amendment and Repeal Act 2004</w:t>
              </w:r>
              <w:r>
                <w:rPr>
                  <w:rFonts w:ascii="Times" w:hAnsi="Times"/>
                  <w:sz w:val="19"/>
                </w:rPr>
                <w:t xml:space="preserve"> Pt. 2 Div. 97</w:t>
              </w:r>
              <w:r>
                <w:rPr>
                  <w:rFonts w:ascii="Times" w:hAnsi="Times"/>
                  <w:sz w:val="19"/>
                  <w:vertAlign w:val="superscript"/>
                </w:rPr>
                <w:t> 14</w:t>
              </w:r>
            </w:ins>
          </w:p>
        </w:tc>
        <w:tc>
          <w:tcPr>
            <w:tcW w:w="1134" w:type="dxa"/>
          </w:tcPr>
          <w:p>
            <w:pPr>
              <w:pStyle w:val="nTable"/>
              <w:spacing w:after="40"/>
              <w:rPr>
                <w:ins w:id="3335" w:author="svcMRProcess" w:date="2020-02-19T21:14:00Z"/>
                <w:sz w:val="19"/>
              </w:rPr>
            </w:pPr>
            <w:ins w:id="3336" w:author="svcMRProcess" w:date="2020-02-19T21:14:00Z">
              <w:r>
                <w:rPr>
                  <w:rFonts w:ascii="Times" w:hAnsi="Times"/>
                  <w:sz w:val="19"/>
                </w:rPr>
                <w:t>55 of 2004</w:t>
              </w:r>
            </w:ins>
          </w:p>
        </w:tc>
        <w:tc>
          <w:tcPr>
            <w:tcW w:w="1134" w:type="dxa"/>
          </w:tcPr>
          <w:p>
            <w:pPr>
              <w:pStyle w:val="nTable"/>
              <w:spacing w:after="40"/>
              <w:rPr>
                <w:ins w:id="3337" w:author="svcMRProcess" w:date="2020-02-19T21:14:00Z"/>
                <w:sz w:val="19"/>
              </w:rPr>
            </w:pPr>
            <w:ins w:id="3338" w:author="svcMRProcess" w:date="2020-02-19T21:14:00Z">
              <w:r>
                <w:rPr>
                  <w:rFonts w:ascii="Times" w:hAnsi="Times"/>
                  <w:sz w:val="19"/>
                </w:rPr>
                <w:t>24 Nov 2004</w:t>
              </w:r>
            </w:ins>
          </w:p>
        </w:tc>
        <w:tc>
          <w:tcPr>
            <w:tcW w:w="2551" w:type="dxa"/>
          </w:tcPr>
          <w:p>
            <w:pPr>
              <w:pStyle w:val="nTable"/>
              <w:spacing w:after="40"/>
              <w:rPr>
                <w:ins w:id="3339" w:author="svcMRProcess" w:date="2020-02-19T21:14:00Z"/>
                <w:sz w:val="19"/>
              </w:rPr>
            </w:pPr>
            <w:ins w:id="3340" w:author="svcMRProcess" w:date="2020-02-19T21:14:00Z">
              <w:r>
                <w:rPr>
                  <w:sz w:val="19"/>
                </w:rPr>
                <w:t xml:space="preserve">1 Jan 2005 (see s. 2 and </w:t>
              </w:r>
              <w:r>
                <w:rPr>
                  <w:i/>
                  <w:sz w:val="19"/>
                </w:rPr>
                <w:t>Gazette</w:t>
              </w:r>
              <w:r>
                <w:rPr>
                  <w:sz w:val="19"/>
                </w:rPr>
                <w:t xml:space="preserve"> 31 Dec 2004 p. 7130)</w:t>
              </w:r>
            </w:ins>
          </w:p>
        </w:tc>
      </w:tr>
      <w:tr>
        <w:trPr>
          <w:cantSplit/>
          <w:ins w:id="3341" w:author="svcMRProcess" w:date="2020-02-19T21:14:00Z"/>
        </w:trPr>
        <w:tc>
          <w:tcPr>
            <w:tcW w:w="2268" w:type="dxa"/>
          </w:tcPr>
          <w:p>
            <w:pPr>
              <w:pStyle w:val="nTable"/>
              <w:spacing w:after="40"/>
              <w:ind w:right="170"/>
              <w:rPr>
                <w:ins w:id="3342" w:author="svcMRProcess" w:date="2020-02-19T21:14:00Z"/>
                <w:rFonts w:ascii="Times" w:hAnsi="Times"/>
                <w:i/>
                <w:sz w:val="19"/>
              </w:rPr>
            </w:pPr>
            <w:ins w:id="3343" w:author="svcMRProcess" w:date="2020-02-19T21:14:00Z">
              <w:r>
                <w:rPr>
                  <w:i/>
                  <w:snapToGrid w:val="0"/>
                  <w:sz w:val="19"/>
                </w:rPr>
                <w:t>Petroleum Legislation Amendment and Repeal Act 2005</w:t>
              </w:r>
              <w:r>
                <w:rPr>
                  <w:snapToGrid w:val="0"/>
                  <w:sz w:val="19"/>
                </w:rPr>
                <w:t xml:space="preserve"> Pt. 4</w:t>
              </w:r>
            </w:ins>
          </w:p>
        </w:tc>
        <w:tc>
          <w:tcPr>
            <w:tcW w:w="1134" w:type="dxa"/>
          </w:tcPr>
          <w:p>
            <w:pPr>
              <w:pStyle w:val="nTable"/>
              <w:spacing w:after="40"/>
              <w:rPr>
                <w:ins w:id="3344" w:author="svcMRProcess" w:date="2020-02-19T21:14:00Z"/>
                <w:rFonts w:ascii="Times" w:hAnsi="Times"/>
                <w:sz w:val="19"/>
              </w:rPr>
            </w:pPr>
            <w:ins w:id="3345" w:author="svcMRProcess" w:date="2020-02-19T21:14:00Z">
              <w:r>
                <w:rPr>
                  <w:sz w:val="19"/>
                </w:rPr>
                <w:t>13 of 2005</w:t>
              </w:r>
            </w:ins>
          </w:p>
        </w:tc>
        <w:tc>
          <w:tcPr>
            <w:tcW w:w="1134" w:type="dxa"/>
          </w:tcPr>
          <w:p>
            <w:pPr>
              <w:pStyle w:val="nTable"/>
              <w:spacing w:after="40"/>
              <w:rPr>
                <w:ins w:id="3346" w:author="svcMRProcess" w:date="2020-02-19T21:14:00Z"/>
                <w:rFonts w:ascii="Times" w:hAnsi="Times"/>
                <w:sz w:val="19"/>
              </w:rPr>
            </w:pPr>
            <w:ins w:id="3347" w:author="svcMRProcess" w:date="2020-02-19T21:14:00Z">
              <w:r>
                <w:rPr>
                  <w:sz w:val="19"/>
                </w:rPr>
                <w:t>1 Sep 2005</w:t>
              </w:r>
            </w:ins>
          </w:p>
        </w:tc>
        <w:tc>
          <w:tcPr>
            <w:tcW w:w="2551" w:type="dxa"/>
          </w:tcPr>
          <w:p>
            <w:pPr>
              <w:pStyle w:val="nTable"/>
              <w:spacing w:after="40"/>
              <w:rPr>
                <w:ins w:id="3348" w:author="svcMRProcess" w:date="2020-02-19T21:14:00Z"/>
                <w:sz w:val="19"/>
              </w:rPr>
            </w:pPr>
            <w:ins w:id="3349" w:author="svcMRProcess" w:date="2020-02-19T21:14:00Z">
              <w:r>
                <w:rPr>
                  <w:sz w:val="19"/>
                </w:rPr>
                <w:t xml:space="preserve">28 Mar 2007 (see s. 2 and </w:t>
              </w:r>
              <w:r>
                <w:rPr>
                  <w:i/>
                  <w:iCs/>
                  <w:sz w:val="19"/>
                </w:rPr>
                <w:t>Gazette</w:t>
              </w:r>
              <w:r>
                <w:rPr>
                  <w:sz w:val="19"/>
                </w:rPr>
                <w:t xml:space="preserve"> 27 Mar 2007 p. 1405)</w:t>
              </w:r>
            </w:ins>
          </w:p>
        </w:tc>
      </w:tr>
      <w:tr>
        <w:tblPrEx>
          <w:tblBorders>
            <w:top w:val="single" w:sz="4" w:space="0" w:color="auto"/>
            <w:bottom w:val="single" w:sz="4" w:space="0" w:color="auto"/>
            <w:insideH w:val="single" w:sz="4" w:space="0" w:color="auto"/>
          </w:tblBorders>
        </w:tblPrEx>
        <w:trPr>
          <w:ins w:id="3350" w:author="svcMRProcess" w:date="2020-02-19T21:14:00Z"/>
        </w:trPr>
        <w:tc>
          <w:tcPr>
            <w:tcW w:w="2268" w:type="dxa"/>
            <w:tcBorders>
              <w:top w:val="nil"/>
              <w:bottom w:val="single" w:sz="8" w:space="0" w:color="auto"/>
            </w:tcBorders>
          </w:tcPr>
          <w:p>
            <w:pPr>
              <w:pStyle w:val="nTable"/>
              <w:spacing w:after="40"/>
              <w:rPr>
                <w:ins w:id="3351" w:author="svcMRProcess" w:date="2020-02-19T21:14:00Z"/>
                <w:i/>
                <w:snapToGrid w:val="0"/>
                <w:sz w:val="19"/>
                <w:lang w:val="en-US"/>
              </w:rPr>
            </w:pPr>
            <w:ins w:id="3352" w:author="svcMRProcess" w:date="2020-02-19T21:14:00Z">
              <w:r>
                <w:rPr>
                  <w:i/>
                  <w:snapToGrid w:val="0"/>
                  <w:sz w:val="19"/>
                  <w:lang w:val="en-US"/>
                </w:rPr>
                <w:t xml:space="preserve">Financial Legislation Amendment and Repeal Act 2006 </w:t>
              </w:r>
              <w:r>
                <w:rPr>
                  <w:snapToGrid w:val="0"/>
                  <w:sz w:val="19"/>
                  <w:lang w:val="en-US"/>
                </w:rPr>
                <w:t xml:space="preserve">s. 4 </w:t>
              </w:r>
            </w:ins>
          </w:p>
        </w:tc>
        <w:tc>
          <w:tcPr>
            <w:tcW w:w="1134" w:type="dxa"/>
            <w:tcBorders>
              <w:top w:val="nil"/>
              <w:bottom w:val="single" w:sz="8" w:space="0" w:color="auto"/>
            </w:tcBorders>
          </w:tcPr>
          <w:p>
            <w:pPr>
              <w:pStyle w:val="nTable"/>
              <w:spacing w:after="40"/>
              <w:rPr>
                <w:ins w:id="3353" w:author="svcMRProcess" w:date="2020-02-19T21:14:00Z"/>
                <w:snapToGrid w:val="0"/>
                <w:sz w:val="19"/>
                <w:lang w:val="en-US"/>
              </w:rPr>
            </w:pPr>
            <w:ins w:id="3354" w:author="svcMRProcess" w:date="2020-02-19T21:14:00Z">
              <w:r>
                <w:rPr>
                  <w:snapToGrid w:val="0"/>
                  <w:sz w:val="19"/>
                  <w:lang w:val="en-US"/>
                </w:rPr>
                <w:t xml:space="preserve">77 of 2006 </w:t>
              </w:r>
            </w:ins>
          </w:p>
        </w:tc>
        <w:tc>
          <w:tcPr>
            <w:tcW w:w="1134" w:type="dxa"/>
            <w:tcBorders>
              <w:top w:val="nil"/>
              <w:bottom w:val="single" w:sz="8" w:space="0" w:color="auto"/>
            </w:tcBorders>
          </w:tcPr>
          <w:p>
            <w:pPr>
              <w:pStyle w:val="nTable"/>
              <w:spacing w:after="40"/>
              <w:rPr>
                <w:ins w:id="3355" w:author="svcMRProcess" w:date="2020-02-19T21:14:00Z"/>
                <w:sz w:val="19"/>
              </w:rPr>
            </w:pPr>
            <w:ins w:id="3356" w:author="svcMRProcess" w:date="2020-02-19T21:14:00Z">
              <w:r>
                <w:rPr>
                  <w:snapToGrid w:val="0"/>
                  <w:sz w:val="19"/>
                  <w:lang w:val="en-US"/>
                </w:rPr>
                <w:t>21 Dec 2006</w:t>
              </w:r>
            </w:ins>
          </w:p>
        </w:tc>
        <w:tc>
          <w:tcPr>
            <w:tcW w:w="2551" w:type="dxa"/>
            <w:tcBorders>
              <w:top w:val="nil"/>
              <w:bottom w:val="single" w:sz="8" w:space="0" w:color="auto"/>
            </w:tcBorders>
          </w:tcPr>
          <w:p>
            <w:pPr>
              <w:pStyle w:val="nTable"/>
              <w:spacing w:after="40"/>
              <w:rPr>
                <w:ins w:id="3357" w:author="svcMRProcess" w:date="2020-02-19T21:14:00Z"/>
                <w:snapToGrid w:val="0"/>
                <w:sz w:val="19"/>
                <w:lang w:val="en-US"/>
              </w:rPr>
            </w:pPr>
            <w:ins w:id="3358" w:author="svcMRProcess" w:date="2020-02-19T21:14:00Z">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ins>
          </w:p>
        </w:tc>
      </w:tr>
    </w:tbl>
    <w:p>
      <w:pPr>
        <w:pStyle w:val="nSubsection"/>
        <w:rPr>
          <w:ins w:id="3359" w:author="svcMRProcess" w:date="2020-02-19T21:14:00Z"/>
          <w:snapToGrid w:val="0"/>
        </w:rPr>
      </w:pPr>
      <w:ins w:id="3360" w:author="svcMRProcess" w:date="2020-02-19T21:14:00Z">
        <w:r>
          <w:rPr>
            <w:snapToGrid w:val="0"/>
            <w:vertAlign w:val="superscript"/>
          </w:rPr>
          <w:t>2</w:t>
        </w:r>
        <w:r>
          <w:rPr>
            <w:snapToGrid w:val="0"/>
          </w:rPr>
          <w:tab/>
          <w:t xml:space="preserve">Section 191(2) of the </w:t>
        </w:r>
        <w:r>
          <w:rPr>
            <w:i/>
            <w:snapToGrid w:val="0"/>
          </w:rPr>
          <w:t>Acts Amendment (Petroleum) Act 1990</w:t>
        </w:r>
        <w:r>
          <w:rPr>
            <w:snapToGrid w:val="0"/>
          </w:rPr>
          <w:t xml:space="preserve"> (No. 12 of 1990) ( as amended by the </w:t>
        </w:r>
        <w:r>
          <w:rPr>
            <w:i/>
            <w:snapToGrid w:val="0"/>
          </w:rPr>
          <w:t>Acts Amendment (Petroleum) Act 1994</w:t>
        </w:r>
        <w:r>
          <w:rPr>
            <w:snapToGrid w:val="0"/>
          </w:rPr>
          <w:t xml:space="preserve"> (No. 28 of 1994 s.3)) reads — </w:t>
        </w:r>
      </w:ins>
    </w:p>
    <w:p>
      <w:pPr>
        <w:pStyle w:val="MiscOpen"/>
        <w:rPr>
          <w:ins w:id="3361" w:author="svcMRProcess" w:date="2020-02-19T21:14:00Z"/>
        </w:rPr>
      </w:pPr>
      <w:ins w:id="3362" w:author="svcMRProcess" w:date="2020-02-19T21:14:00Z">
        <w:r>
          <w:t>“</w:t>
        </w:r>
      </w:ins>
    </w:p>
    <w:p>
      <w:pPr>
        <w:pStyle w:val="nzSubsection"/>
        <w:spacing w:before="0"/>
        <w:rPr>
          <w:ins w:id="3363" w:author="svcMRProcess" w:date="2020-02-19T21:14:00Z"/>
          <w:snapToGrid w:val="0"/>
        </w:rPr>
      </w:pPr>
      <w:ins w:id="3364" w:author="svcMRProcess" w:date="2020-02-19T21:14:00Z">
        <w:r>
          <w:rPr>
            <w:snapToGrid w:val="0"/>
          </w:rPr>
          <w:tab/>
          <w:t>(2)</w:t>
        </w:r>
        <w:r>
          <w:rPr>
            <w:snapToGrid w:val="0"/>
          </w:rPr>
          <w:tab/>
          <w:t>Notwithstanding anything in the principal Act — </w:t>
        </w:r>
      </w:ins>
    </w:p>
    <w:p>
      <w:pPr>
        <w:pStyle w:val="nzIndenta"/>
        <w:rPr>
          <w:ins w:id="3365" w:author="svcMRProcess" w:date="2020-02-19T21:14:00Z"/>
          <w:snapToGrid w:val="0"/>
        </w:rPr>
      </w:pPr>
      <w:ins w:id="3366" w:author="svcMRProcess" w:date="2020-02-19T21:14:00Z">
        <w:r>
          <w:rPr>
            <w:snapToGrid w:val="0"/>
          </w:rPr>
          <w:tab/>
          <w:t>(a)</w:t>
        </w:r>
        <w:r>
          <w:rPr>
            <w:snapToGrid w:val="0"/>
          </w:rPr>
          <w:tab/>
          <w:t>section 4 of the principal Act shall have effect in relation to the Barrow Island Pipeline and the Withnell Bay Pipeline as if — </w:t>
        </w:r>
      </w:ins>
    </w:p>
    <w:p>
      <w:pPr>
        <w:pStyle w:val="nzIndenti"/>
        <w:keepNext/>
        <w:keepLines/>
        <w:rPr>
          <w:ins w:id="3367" w:author="svcMRProcess" w:date="2020-02-19T21:14:00Z"/>
          <w:snapToGrid w:val="0"/>
        </w:rPr>
      </w:pPr>
      <w:ins w:id="3368" w:author="svcMRProcess" w:date="2020-02-19T21:14:00Z">
        <w:r>
          <w:rPr>
            <w:snapToGrid w:val="0"/>
          </w:rPr>
          <w:tab/>
          <w:t>(i)</w:t>
        </w:r>
        <w:r>
          <w:rPr>
            <w:snapToGrid w:val="0"/>
          </w:rPr>
          <w:tab/>
          <w:t xml:space="preserve">the definition of </w:t>
        </w:r>
        <w:r>
          <w:rPr>
            <w:b/>
            <w:snapToGrid w:val="0"/>
          </w:rPr>
          <w:t>“pipeline licence”</w:t>
        </w:r>
        <w:r>
          <w:rPr>
            <w:snapToGrid w:val="0"/>
          </w:rPr>
          <w:t xml:space="preserve"> had been deleted and the following definition had been substituted — </w:t>
        </w:r>
      </w:ins>
    </w:p>
    <w:p>
      <w:pPr>
        <w:pStyle w:val="MiscellaneousBody"/>
        <w:keepNext/>
        <w:keepLines/>
        <w:spacing w:before="0"/>
        <w:ind w:left="2694" w:right="578"/>
        <w:rPr>
          <w:ins w:id="3369" w:author="svcMRProcess" w:date="2020-02-19T21:14:00Z"/>
          <w:sz w:val="20"/>
        </w:rPr>
      </w:pPr>
      <w:ins w:id="3370" w:author="svcMRProcess" w:date="2020-02-19T21:14:00Z">
        <w:r>
          <w:rPr>
            <w:sz w:val="20"/>
          </w:rPr>
          <w:t>“</w:t>
        </w:r>
      </w:ins>
    </w:p>
    <w:p>
      <w:pPr>
        <w:pStyle w:val="MiscellaneousBody"/>
        <w:tabs>
          <w:tab w:val="left" w:pos="3402"/>
        </w:tabs>
        <w:spacing w:before="0" w:line="240" w:lineRule="auto"/>
        <w:ind w:left="3402" w:right="578" w:hanging="482"/>
        <w:rPr>
          <w:ins w:id="3371" w:author="svcMRProcess" w:date="2020-02-19T21:14:00Z"/>
          <w:sz w:val="20"/>
        </w:rPr>
      </w:pPr>
      <w:ins w:id="3372" w:author="svcMRProcess" w:date="2020-02-19T21:14:00Z">
        <w:r>
          <w:rPr>
            <w:b/>
            <w:sz w:val="20"/>
          </w:rPr>
          <w:t>“pipeline licence”</w:t>
        </w:r>
        <w:r>
          <w:rPr>
            <w:sz w:val="20"/>
          </w:rPr>
          <w:t xml:space="preserve"> means a licence under Part III to operate an existing pipeline;</w:t>
        </w:r>
      </w:ins>
    </w:p>
    <w:p>
      <w:pPr>
        <w:pStyle w:val="MiscellaneousBody"/>
        <w:tabs>
          <w:tab w:val="left" w:pos="3402"/>
        </w:tabs>
        <w:spacing w:before="0"/>
        <w:ind w:left="3402" w:right="292" w:hanging="481"/>
        <w:jc w:val="right"/>
        <w:rPr>
          <w:ins w:id="3373" w:author="svcMRProcess" w:date="2020-02-19T21:14:00Z"/>
          <w:sz w:val="20"/>
        </w:rPr>
      </w:pPr>
      <w:ins w:id="3374" w:author="svcMRProcess" w:date="2020-02-19T21:14:00Z">
        <w:r>
          <w:rPr>
            <w:sz w:val="20"/>
          </w:rPr>
          <w:t>”;</w:t>
        </w:r>
      </w:ins>
    </w:p>
    <w:p>
      <w:pPr>
        <w:pStyle w:val="nzIndenti"/>
        <w:rPr>
          <w:ins w:id="3375" w:author="svcMRProcess" w:date="2020-02-19T21:14:00Z"/>
        </w:rPr>
      </w:pPr>
      <w:ins w:id="3376" w:author="svcMRProcess" w:date="2020-02-19T21:14:00Z">
        <w:r>
          <w:tab/>
        </w:r>
        <w:r>
          <w:tab/>
          <w:t>and</w:t>
        </w:r>
      </w:ins>
    </w:p>
    <w:p>
      <w:pPr>
        <w:pStyle w:val="nzIndenti"/>
        <w:keepNext/>
        <w:keepLines/>
        <w:rPr>
          <w:ins w:id="3377" w:author="svcMRProcess" w:date="2020-02-19T21:14:00Z"/>
        </w:rPr>
      </w:pPr>
      <w:ins w:id="3378" w:author="svcMRProcess" w:date="2020-02-19T21:14:00Z">
        <w:r>
          <w:tab/>
          <w:t>(ii)</w:t>
        </w:r>
        <w:r>
          <w:tab/>
          <w:t>the following definitions had been inserted in the appropriate alphabetical positions — </w:t>
        </w:r>
      </w:ins>
    </w:p>
    <w:p>
      <w:pPr>
        <w:pStyle w:val="MiscellaneousBody"/>
        <w:keepNext/>
        <w:keepLines/>
        <w:spacing w:before="0"/>
        <w:ind w:left="2694" w:right="578"/>
        <w:rPr>
          <w:ins w:id="3379" w:author="svcMRProcess" w:date="2020-02-19T21:14:00Z"/>
          <w:sz w:val="20"/>
        </w:rPr>
      </w:pPr>
      <w:ins w:id="3380" w:author="svcMRProcess" w:date="2020-02-19T21:14:00Z">
        <w:r>
          <w:rPr>
            <w:sz w:val="20"/>
          </w:rPr>
          <w:t>“</w:t>
        </w:r>
      </w:ins>
    </w:p>
    <w:p>
      <w:pPr>
        <w:pStyle w:val="MiscellaneousBody"/>
        <w:keepNext/>
        <w:keepLines/>
        <w:tabs>
          <w:tab w:val="left" w:pos="3402"/>
        </w:tabs>
        <w:spacing w:before="0" w:line="240" w:lineRule="auto"/>
        <w:ind w:left="3402" w:right="577" w:hanging="481"/>
        <w:rPr>
          <w:ins w:id="3381" w:author="svcMRProcess" w:date="2020-02-19T21:14:00Z"/>
          <w:sz w:val="20"/>
        </w:rPr>
      </w:pPr>
      <w:ins w:id="3382" w:author="svcMRProcess" w:date="2020-02-19T21:14:00Z">
        <w:r>
          <w:rPr>
            <w:b/>
            <w:sz w:val="20"/>
          </w:rPr>
          <w:t>“existing pipeline”</w:t>
        </w:r>
        <w:r>
          <w:rPr>
            <w:sz w:val="20"/>
          </w:rPr>
          <w:t xml:space="preserve"> means the Barrow Island Pipeline or the Withnell Bay Pipeline;</w:t>
        </w:r>
      </w:ins>
    </w:p>
    <w:p>
      <w:pPr>
        <w:pStyle w:val="MiscellaneousBody"/>
        <w:keepNext/>
        <w:keepLines/>
        <w:tabs>
          <w:tab w:val="left" w:pos="3402"/>
        </w:tabs>
        <w:spacing w:before="40" w:line="240" w:lineRule="auto"/>
        <w:ind w:left="3402" w:right="578" w:hanging="482"/>
        <w:rPr>
          <w:ins w:id="3383" w:author="svcMRProcess" w:date="2020-02-19T21:14:00Z"/>
          <w:sz w:val="20"/>
        </w:rPr>
      </w:pPr>
      <w:ins w:id="3384" w:author="svcMRProcess" w:date="2020-02-19T21:14:00Z">
        <w:r>
          <w:rPr>
            <w:b/>
            <w:sz w:val="20"/>
          </w:rPr>
          <w:t>“the Barrow Island Pipeline”</w:t>
        </w:r>
        <w:r>
          <w:rPr>
            <w:sz w:val="20"/>
          </w:rPr>
          <w:t xml:space="preserve"> means the pipeline which extends from Barrow Island to an offshore mooring terminal and which is more fully described in Special lease No. 3116/3628 granted under section 116 of the </w:t>
        </w:r>
        <w:r>
          <w:rPr>
            <w:i/>
            <w:sz w:val="20"/>
          </w:rPr>
          <w:t>Land Act 1933</w:t>
        </w:r>
        <w:r>
          <w:rPr>
            <w:sz w:val="20"/>
          </w:rPr>
          <w:t>;</w:t>
        </w:r>
      </w:ins>
    </w:p>
    <w:p>
      <w:pPr>
        <w:pStyle w:val="MiscellaneousBody"/>
        <w:tabs>
          <w:tab w:val="left" w:pos="3402"/>
        </w:tabs>
        <w:spacing w:before="40" w:line="240" w:lineRule="auto"/>
        <w:ind w:left="3402" w:right="578" w:hanging="482"/>
        <w:rPr>
          <w:ins w:id="3385" w:author="svcMRProcess" w:date="2020-02-19T21:14:00Z"/>
          <w:sz w:val="20"/>
        </w:rPr>
      </w:pPr>
      <w:ins w:id="3386" w:author="svcMRProcess" w:date="2020-02-19T21:14:00Z">
        <w:r>
          <w:rPr>
            <w:b/>
            <w:sz w:val="20"/>
          </w:rPr>
          <w:t>“the Withnell Bay Pipeline”</w:t>
        </w:r>
        <w:r>
          <w:rPr>
            <w:sz w:val="20"/>
          </w:rPr>
          <w:t xml:space="preserve"> means the pipeline which extends from the North West Shelf Development Project Treatment Plant to the Product Loading Jetty near Withnell Bay and which is the subject of Pipeline Licence PL9 granted under the </w:t>
        </w:r>
        <w:r>
          <w:rPr>
            <w:i/>
            <w:sz w:val="20"/>
          </w:rPr>
          <w:t>Petroleum Pipelines Act 1969</w:t>
        </w:r>
        <w:r>
          <w:rPr>
            <w:sz w:val="20"/>
          </w:rPr>
          <w:t>.</w:t>
        </w:r>
      </w:ins>
    </w:p>
    <w:p>
      <w:pPr>
        <w:pStyle w:val="MiscellaneousBody"/>
        <w:tabs>
          <w:tab w:val="left" w:pos="3402"/>
        </w:tabs>
        <w:spacing w:before="40"/>
        <w:ind w:left="3402" w:right="292" w:hanging="482"/>
        <w:jc w:val="right"/>
        <w:rPr>
          <w:ins w:id="3387" w:author="svcMRProcess" w:date="2020-02-19T21:14:00Z"/>
          <w:sz w:val="20"/>
        </w:rPr>
      </w:pPr>
      <w:ins w:id="3388" w:author="svcMRProcess" w:date="2020-02-19T21:14:00Z">
        <w:r>
          <w:rPr>
            <w:sz w:val="20"/>
          </w:rPr>
          <w:t>”;</w:t>
        </w:r>
      </w:ins>
    </w:p>
    <w:p>
      <w:pPr>
        <w:pStyle w:val="nzIndenta"/>
        <w:rPr>
          <w:ins w:id="3389" w:author="svcMRProcess" w:date="2020-02-19T21:14:00Z"/>
        </w:rPr>
      </w:pPr>
      <w:ins w:id="3390" w:author="svcMRProcess" w:date="2020-02-19T21:14:00Z">
        <w:r>
          <w:tab/>
          <w:t>(b)</w:t>
        </w:r>
        <w:r>
          <w:tab/>
          <w:t>section 64 of the principal Act shall have effect in relation to the Barrow Island Pipeline and the Withnell Bay Pipeline as if it had been enacted in the following form — </w:t>
        </w:r>
      </w:ins>
    </w:p>
    <w:p>
      <w:pPr>
        <w:pStyle w:val="MiscOpen"/>
        <w:tabs>
          <w:tab w:val="clear" w:pos="893"/>
        </w:tabs>
        <w:spacing w:before="0"/>
        <w:ind w:left="567"/>
        <w:rPr>
          <w:ins w:id="3391" w:author="svcMRProcess" w:date="2020-02-19T21:14:00Z"/>
          <w:sz w:val="20"/>
        </w:rPr>
      </w:pPr>
      <w:ins w:id="3392" w:author="svcMRProcess" w:date="2020-02-19T21:14:00Z">
        <w:r>
          <w:rPr>
            <w:sz w:val="20"/>
          </w:rPr>
          <w:t>“</w:t>
        </w:r>
      </w:ins>
    </w:p>
    <w:p>
      <w:pPr>
        <w:pStyle w:val="nzSubsection"/>
        <w:tabs>
          <w:tab w:val="clear" w:pos="1162"/>
          <w:tab w:val="clear" w:pos="1446"/>
          <w:tab w:val="left" w:pos="1701"/>
        </w:tabs>
        <w:spacing w:before="0"/>
        <w:ind w:left="1701" w:hanging="850"/>
        <w:rPr>
          <w:ins w:id="3393" w:author="svcMRProcess" w:date="2020-02-19T21:14:00Z"/>
          <w:b/>
        </w:rPr>
      </w:pPr>
      <w:ins w:id="3394" w:author="svcMRProcess" w:date="2020-02-19T21:14:00Z">
        <w:r>
          <w:rPr>
            <w:b/>
          </w:rPr>
          <w:t>64.</w:t>
        </w:r>
        <w:r>
          <w:rPr>
            <w:b/>
          </w:rPr>
          <w:tab/>
          <w:t>Application for pipeline licence in respect of existing pipeline</w:t>
        </w:r>
      </w:ins>
    </w:p>
    <w:p>
      <w:pPr>
        <w:pStyle w:val="nzIndenta"/>
        <w:tabs>
          <w:tab w:val="clear" w:pos="1899"/>
          <w:tab w:val="clear" w:pos="2183"/>
          <w:tab w:val="right" w:pos="1418"/>
          <w:tab w:val="left" w:pos="1701"/>
        </w:tabs>
        <w:ind w:left="1701" w:right="433" w:hanging="708"/>
        <w:rPr>
          <w:ins w:id="3395" w:author="svcMRProcess" w:date="2020-02-19T21:14:00Z"/>
        </w:rPr>
      </w:pPr>
      <w:ins w:id="3396" w:author="svcMRProcess" w:date="2020-02-19T21:14:00Z">
        <w:r>
          <w:tab/>
          <w:t>(1)</w:t>
        </w:r>
        <w:r>
          <w:tab/>
          <w:t>An application for a pipeline licence in respect of an existing pipeline shall be made in writing to the Minister by the owner of the existing pipeline.</w:t>
        </w:r>
      </w:ins>
    </w:p>
    <w:p>
      <w:pPr>
        <w:pStyle w:val="nzIndenta"/>
        <w:tabs>
          <w:tab w:val="clear" w:pos="1899"/>
          <w:tab w:val="clear" w:pos="2183"/>
          <w:tab w:val="right" w:pos="1418"/>
          <w:tab w:val="left" w:pos="1701"/>
        </w:tabs>
        <w:ind w:left="1701" w:right="433" w:hanging="708"/>
        <w:rPr>
          <w:ins w:id="3397" w:author="svcMRProcess" w:date="2020-02-19T21:14:00Z"/>
        </w:rPr>
      </w:pPr>
      <w:ins w:id="3398" w:author="svcMRProcess" w:date="2020-02-19T21:14:00Z">
        <w:r>
          <w:tab/>
          <w:t>(2)</w:t>
        </w:r>
        <w:r>
          <w:tab/>
          <w:t>The Minister may at any time by instrument in writing served on an applicant under subsection (1) require the applicant to furnish to the Minister, within the period specified in that instrument, further information in writing in connection with his application, and, notwithstanding section 65(2), the Minister is not obliged to grant a pipeline licence to the applicant in respect of the relevant existing pipeline until that information has been furnished to him.</w:t>
        </w:r>
      </w:ins>
    </w:p>
    <w:p>
      <w:pPr>
        <w:pStyle w:val="MiscClose"/>
        <w:ind w:right="294"/>
        <w:rPr>
          <w:ins w:id="3399" w:author="svcMRProcess" w:date="2020-02-19T21:14:00Z"/>
          <w:sz w:val="20"/>
        </w:rPr>
      </w:pPr>
      <w:ins w:id="3400" w:author="svcMRProcess" w:date="2020-02-19T21:14:00Z">
        <w:r>
          <w:rPr>
            <w:sz w:val="20"/>
          </w:rPr>
          <w:t>”;</w:t>
        </w:r>
      </w:ins>
    </w:p>
    <w:p>
      <w:pPr>
        <w:pStyle w:val="nzIndenta"/>
        <w:rPr>
          <w:ins w:id="3401" w:author="svcMRProcess" w:date="2020-02-19T21:14:00Z"/>
        </w:rPr>
      </w:pPr>
      <w:ins w:id="3402" w:author="svcMRProcess" w:date="2020-02-19T21:14:00Z">
        <w:r>
          <w:rPr>
            <w:snapToGrid w:val="0"/>
          </w:rPr>
          <w:tab/>
          <w:t>(c)</w:t>
        </w:r>
        <w:r>
          <w:rPr>
            <w:snapToGrid w:val="0"/>
          </w:rPr>
          <w:tab/>
          <w:t>section 65 of the principal Act shall have effect in relation to the Barrow Island Pipeline and the Withnell Bay Pipeline as if it had been enacted in the following form</w:t>
        </w:r>
        <w:r>
          <w:t> — </w:t>
        </w:r>
      </w:ins>
    </w:p>
    <w:p>
      <w:pPr>
        <w:pStyle w:val="MiscOpen"/>
        <w:tabs>
          <w:tab w:val="clear" w:pos="893"/>
        </w:tabs>
        <w:spacing w:before="0"/>
        <w:ind w:left="567"/>
        <w:rPr>
          <w:ins w:id="3403" w:author="svcMRProcess" w:date="2020-02-19T21:14:00Z"/>
          <w:sz w:val="20"/>
        </w:rPr>
      </w:pPr>
      <w:ins w:id="3404" w:author="svcMRProcess" w:date="2020-02-19T21:14:00Z">
        <w:r>
          <w:rPr>
            <w:sz w:val="20"/>
          </w:rPr>
          <w:t>“</w:t>
        </w:r>
      </w:ins>
    </w:p>
    <w:p>
      <w:pPr>
        <w:pStyle w:val="nzSubsection"/>
        <w:tabs>
          <w:tab w:val="clear" w:pos="1162"/>
          <w:tab w:val="clear" w:pos="1446"/>
          <w:tab w:val="left" w:pos="1701"/>
        </w:tabs>
        <w:spacing w:before="0"/>
        <w:ind w:left="1701" w:hanging="850"/>
        <w:rPr>
          <w:ins w:id="3405" w:author="svcMRProcess" w:date="2020-02-19T21:14:00Z"/>
          <w:b/>
        </w:rPr>
      </w:pPr>
      <w:ins w:id="3406" w:author="svcMRProcess" w:date="2020-02-19T21:14:00Z">
        <w:r>
          <w:rPr>
            <w:b/>
          </w:rPr>
          <w:t>65.</w:t>
        </w:r>
        <w:r>
          <w:rPr>
            <w:b/>
          </w:rPr>
          <w:tab/>
          <w:t>Grant of pipeline licence in respect of the existing licence</w:t>
        </w:r>
      </w:ins>
    </w:p>
    <w:p>
      <w:pPr>
        <w:pStyle w:val="nzIndenta"/>
        <w:tabs>
          <w:tab w:val="clear" w:pos="1899"/>
          <w:tab w:val="clear" w:pos="2183"/>
          <w:tab w:val="right" w:pos="1418"/>
          <w:tab w:val="left" w:pos="1701"/>
        </w:tabs>
        <w:ind w:left="1701" w:right="433" w:hanging="708"/>
        <w:rPr>
          <w:ins w:id="3407" w:author="svcMRProcess" w:date="2020-02-19T21:14:00Z"/>
        </w:rPr>
      </w:pPr>
      <w:ins w:id="3408" w:author="svcMRProcess" w:date="2020-02-19T21:14:00Z">
        <w:r>
          <w:tab/>
          <w:t>(1)</w:t>
        </w:r>
        <w:r>
          <w:tab/>
          <w:t>When a person makes an application under section 64, the Minister shall inform the person by instrument in writing served on the person that the Minister is prepared to grant a pipeline licence to that person in the form set out in that instrument, which form includes — </w:t>
        </w:r>
      </w:ins>
    </w:p>
    <w:p>
      <w:pPr>
        <w:pStyle w:val="nzIndenti"/>
        <w:tabs>
          <w:tab w:val="clear" w:pos="2608"/>
          <w:tab w:val="clear" w:pos="2892"/>
          <w:tab w:val="right" w:pos="2127"/>
          <w:tab w:val="left" w:pos="2552"/>
        </w:tabs>
        <w:ind w:left="2552" w:hanging="1418"/>
        <w:rPr>
          <w:ins w:id="3409" w:author="svcMRProcess" w:date="2020-02-19T21:14:00Z"/>
          <w:snapToGrid w:val="0"/>
        </w:rPr>
      </w:pPr>
      <w:ins w:id="3410" w:author="svcMRProcess" w:date="2020-02-19T21:14:00Z">
        <w:r>
          <w:rPr>
            <w:snapToGrid w:val="0"/>
          </w:rPr>
          <w:tab/>
          <w:t>(a)</w:t>
        </w:r>
        <w:r>
          <w:rPr>
            <w:snapToGrid w:val="0"/>
          </w:rPr>
          <w:tab/>
          <w:t>the conditions to which the pipeline licence is to be subject; and</w:t>
        </w:r>
      </w:ins>
    </w:p>
    <w:p>
      <w:pPr>
        <w:pStyle w:val="nzIndenti"/>
        <w:tabs>
          <w:tab w:val="clear" w:pos="2608"/>
          <w:tab w:val="clear" w:pos="2892"/>
          <w:tab w:val="right" w:pos="2127"/>
          <w:tab w:val="left" w:pos="2552"/>
        </w:tabs>
        <w:ind w:left="2552" w:hanging="1418"/>
        <w:rPr>
          <w:ins w:id="3411" w:author="svcMRProcess" w:date="2020-02-19T21:14:00Z"/>
          <w:snapToGrid w:val="0"/>
        </w:rPr>
      </w:pPr>
      <w:ins w:id="3412" w:author="svcMRProcess" w:date="2020-02-19T21:14:00Z">
        <w:r>
          <w:rPr>
            <w:snapToGrid w:val="0"/>
          </w:rPr>
          <w:tab/>
          <w:t>(b)</w:t>
        </w:r>
        <w:r>
          <w:rPr>
            <w:snapToGrid w:val="0"/>
          </w:rPr>
          <w:tab/>
          <w:t xml:space="preserve">in respect of the Withnell Bay Pipeline, all directions and conditions to which Pipeline Licence PL9 granted under the </w:t>
        </w:r>
        <w:r>
          <w:rPr>
            <w:i/>
            <w:snapToGrid w:val="0"/>
          </w:rPr>
          <w:t>Petroleum Pipelines Act 1969</w:t>
        </w:r>
        <w:r>
          <w:rPr>
            <w:snapToGrid w:val="0"/>
          </w:rPr>
          <w:t xml:space="preserve"> is subject and all terms and conditions, instruments and dealings registered under Part IV of that Act in respect of that licence,</w:t>
        </w:r>
      </w:ins>
    </w:p>
    <w:p>
      <w:pPr>
        <w:pStyle w:val="nzIndenta"/>
        <w:tabs>
          <w:tab w:val="clear" w:pos="1899"/>
          <w:tab w:val="clear" w:pos="2183"/>
          <w:tab w:val="right" w:pos="1418"/>
          <w:tab w:val="left" w:pos="1701"/>
        </w:tabs>
        <w:ind w:left="1701" w:right="433" w:hanging="708"/>
        <w:rPr>
          <w:ins w:id="3413" w:author="svcMRProcess" w:date="2020-02-19T21:14:00Z"/>
        </w:rPr>
      </w:pPr>
      <w:ins w:id="3414" w:author="svcMRProcess" w:date="2020-02-19T21:14:00Z">
        <w:r>
          <w:tab/>
        </w:r>
        <w:r>
          <w:tab/>
          <w:t>if the person within 30 days after that service requests the Minister to grant to him a pipeline licence in that form.</w:t>
        </w:r>
      </w:ins>
    </w:p>
    <w:p>
      <w:pPr>
        <w:pStyle w:val="nzIndenta"/>
        <w:tabs>
          <w:tab w:val="clear" w:pos="1899"/>
          <w:tab w:val="clear" w:pos="2183"/>
          <w:tab w:val="right" w:pos="1418"/>
          <w:tab w:val="left" w:pos="1701"/>
        </w:tabs>
        <w:ind w:left="1701" w:right="433" w:hanging="708"/>
        <w:rPr>
          <w:ins w:id="3415" w:author="svcMRProcess" w:date="2020-02-19T21:14:00Z"/>
        </w:rPr>
      </w:pPr>
      <w:ins w:id="3416" w:author="svcMRProcess" w:date="2020-02-19T21:14:00Z">
        <w:r>
          <w:tab/>
          <w:t>(2)</w:t>
        </w:r>
        <w:r>
          <w:tab/>
          <w:t>On receiving from the person referred to in subsection (1) a request within the period referred to in that subsection, the Minister shall, subject to section 64(2), grant to that person a licence to operate a pipeline — </w:t>
        </w:r>
      </w:ins>
    </w:p>
    <w:p>
      <w:pPr>
        <w:pStyle w:val="nzIndenti"/>
        <w:tabs>
          <w:tab w:val="clear" w:pos="2608"/>
          <w:tab w:val="clear" w:pos="2892"/>
          <w:tab w:val="right" w:pos="2127"/>
          <w:tab w:val="left" w:pos="2552"/>
        </w:tabs>
        <w:ind w:left="2552" w:hanging="1418"/>
        <w:rPr>
          <w:ins w:id="3417" w:author="svcMRProcess" w:date="2020-02-19T21:14:00Z"/>
          <w:snapToGrid w:val="0"/>
        </w:rPr>
      </w:pPr>
      <w:ins w:id="3418" w:author="svcMRProcess" w:date="2020-02-19T21:14:00Z">
        <w:r>
          <w:rPr>
            <w:snapToGrid w:val="0"/>
          </w:rPr>
          <w:tab/>
          <w:t>(a)</w:t>
        </w:r>
        <w:r>
          <w:rPr>
            <w:snapToGrid w:val="0"/>
          </w:rPr>
          <w:tab/>
          <w:t>in respect of the existing pipeline specified; and</w:t>
        </w:r>
      </w:ins>
    </w:p>
    <w:p>
      <w:pPr>
        <w:pStyle w:val="nzIndenti"/>
        <w:tabs>
          <w:tab w:val="clear" w:pos="2608"/>
          <w:tab w:val="clear" w:pos="2892"/>
          <w:tab w:val="right" w:pos="2127"/>
          <w:tab w:val="left" w:pos="2552"/>
        </w:tabs>
        <w:ind w:left="2552" w:hanging="1418"/>
        <w:rPr>
          <w:ins w:id="3419" w:author="svcMRProcess" w:date="2020-02-19T21:14:00Z"/>
          <w:snapToGrid w:val="0"/>
        </w:rPr>
      </w:pPr>
      <w:ins w:id="3420" w:author="svcMRProcess" w:date="2020-02-19T21:14:00Z">
        <w:r>
          <w:rPr>
            <w:snapToGrid w:val="0"/>
          </w:rPr>
          <w:tab/>
          <w:t>(b)</w:t>
        </w:r>
        <w:r>
          <w:rPr>
            <w:snapToGrid w:val="0"/>
          </w:rPr>
          <w:tab/>
          <w:t>in the form set out,</w:t>
        </w:r>
      </w:ins>
    </w:p>
    <w:p>
      <w:pPr>
        <w:pStyle w:val="nzIndenta"/>
        <w:tabs>
          <w:tab w:val="clear" w:pos="1899"/>
          <w:tab w:val="clear" w:pos="2183"/>
          <w:tab w:val="right" w:pos="1418"/>
          <w:tab w:val="left" w:pos="1701"/>
        </w:tabs>
        <w:ind w:left="1701" w:right="433" w:hanging="708"/>
        <w:rPr>
          <w:ins w:id="3421" w:author="svcMRProcess" w:date="2020-02-19T21:14:00Z"/>
        </w:rPr>
      </w:pPr>
      <w:ins w:id="3422" w:author="svcMRProcess" w:date="2020-02-19T21:14:00Z">
        <w:r>
          <w:tab/>
        </w:r>
        <w:r>
          <w:tab/>
          <w:t>in the instrument served under that subsection on that person.</w:t>
        </w:r>
      </w:ins>
    </w:p>
    <w:p>
      <w:pPr>
        <w:pStyle w:val="nzIndenta"/>
        <w:tabs>
          <w:tab w:val="clear" w:pos="1899"/>
          <w:tab w:val="clear" w:pos="2183"/>
          <w:tab w:val="right" w:pos="1418"/>
          <w:tab w:val="left" w:pos="1701"/>
        </w:tabs>
        <w:ind w:left="1701" w:right="433" w:hanging="708"/>
        <w:rPr>
          <w:ins w:id="3423" w:author="svcMRProcess" w:date="2020-02-19T21:14:00Z"/>
        </w:rPr>
      </w:pPr>
      <w:ins w:id="3424" w:author="svcMRProcess" w:date="2020-02-19T21:14:00Z">
        <w:r>
          <w:tab/>
          <w:t>(3)</w:t>
        </w:r>
        <w:r>
          <w:tab/>
          <w:t>If a person on whom an instrument has been served under subsection (1) does not make the request referred to in that subsection within the period referred to in that subsection, the application made by that person lapses on the expiry of that period.</w:t>
        </w:r>
      </w:ins>
    </w:p>
    <w:p>
      <w:pPr>
        <w:pStyle w:val="MiscClose"/>
        <w:ind w:right="294"/>
        <w:rPr>
          <w:ins w:id="3425" w:author="svcMRProcess" w:date="2020-02-19T21:14:00Z"/>
          <w:snapToGrid w:val="0"/>
          <w:sz w:val="20"/>
        </w:rPr>
      </w:pPr>
      <w:ins w:id="3426" w:author="svcMRProcess" w:date="2020-02-19T21:14:00Z">
        <w:r>
          <w:rPr>
            <w:snapToGrid w:val="0"/>
            <w:sz w:val="20"/>
          </w:rPr>
          <w:t>”;</w:t>
        </w:r>
      </w:ins>
    </w:p>
    <w:p>
      <w:pPr>
        <w:pStyle w:val="nzIndenta"/>
        <w:rPr>
          <w:ins w:id="3427" w:author="svcMRProcess" w:date="2020-02-19T21:14:00Z"/>
          <w:snapToGrid w:val="0"/>
        </w:rPr>
      </w:pPr>
      <w:ins w:id="3428" w:author="svcMRProcess" w:date="2020-02-19T21:14:00Z">
        <w:r>
          <w:rPr>
            <w:snapToGrid w:val="0"/>
          </w:rPr>
          <w:tab/>
          <w:t>(d)</w:t>
        </w:r>
        <w:r>
          <w:rPr>
            <w:snapToGrid w:val="0"/>
          </w:rPr>
          <w:tab/>
          <w:t>section 66 of the principal Act shall have effect in relation to the Barrow Island Pipeline and the Withnell Bay Pipeline as if it had been enacted in the following form — </w:t>
        </w:r>
      </w:ins>
    </w:p>
    <w:p>
      <w:pPr>
        <w:pStyle w:val="MiscOpen"/>
        <w:tabs>
          <w:tab w:val="clear" w:pos="893"/>
        </w:tabs>
        <w:spacing w:before="0"/>
        <w:ind w:left="567"/>
        <w:rPr>
          <w:ins w:id="3429" w:author="svcMRProcess" w:date="2020-02-19T21:14:00Z"/>
          <w:sz w:val="20"/>
        </w:rPr>
      </w:pPr>
      <w:ins w:id="3430" w:author="svcMRProcess" w:date="2020-02-19T21:14:00Z">
        <w:r>
          <w:rPr>
            <w:sz w:val="20"/>
          </w:rPr>
          <w:t>“</w:t>
        </w:r>
      </w:ins>
    </w:p>
    <w:p>
      <w:pPr>
        <w:pStyle w:val="nzSubsection"/>
        <w:tabs>
          <w:tab w:val="clear" w:pos="1162"/>
          <w:tab w:val="clear" w:pos="1446"/>
          <w:tab w:val="left" w:pos="1701"/>
        </w:tabs>
        <w:spacing w:before="0"/>
        <w:ind w:left="1701" w:hanging="850"/>
        <w:rPr>
          <w:ins w:id="3431" w:author="svcMRProcess" w:date="2020-02-19T21:14:00Z"/>
          <w:b/>
        </w:rPr>
      </w:pPr>
      <w:ins w:id="3432" w:author="svcMRProcess" w:date="2020-02-19T21:14:00Z">
        <w:r>
          <w:rPr>
            <w:b/>
          </w:rPr>
          <w:t>66.</w:t>
        </w:r>
        <w:r>
          <w:rPr>
            <w:b/>
          </w:rPr>
          <w:tab/>
          <w:t>Rights conferred by pipeline licence</w:t>
        </w:r>
      </w:ins>
    </w:p>
    <w:p>
      <w:pPr>
        <w:pStyle w:val="nzIndenta"/>
        <w:tabs>
          <w:tab w:val="clear" w:pos="1899"/>
          <w:tab w:val="clear" w:pos="2183"/>
          <w:tab w:val="right" w:pos="1418"/>
          <w:tab w:val="left" w:pos="1701"/>
        </w:tabs>
        <w:ind w:left="1701" w:right="433" w:hanging="708"/>
        <w:rPr>
          <w:ins w:id="3433" w:author="svcMRProcess" w:date="2020-02-19T21:14:00Z"/>
        </w:rPr>
      </w:pPr>
      <w:ins w:id="3434" w:author="svcMRProcess" w:date="2020-02-19T21:14:00Z">
        <w:r>
          <w:tab/>
        </w:r>
        <w:r>
          <w:tab/>
          <w:t>A pipeline licence, while it remains in force, authorizes the pipeline licensee, subject to this Act and the regulations and to the conditions to which the pipeline licence is subject — </w:t>
        </w:r>
      </w:ins>
    </w:p>
    <w:p>
      <w:pPr>
        <w:pStyle w:val="nzIndenti"/>
        <w:tabs>
          <w:tab w:val="clear" w:pos="2608"/>
          <w:tab w:val="clear" w:pos="2892"/>
          <w:tab w:val="right" w:pos="2127"/>
          <w:tab w:val="left" w:pos="2552"/>
        </w:tabs>
        <w:ind w:left="2552" w:hanging="1418"/>
        <w:rPr>
          <w:ins w:id="3435" w:author="svcMRProcess" w:date="2020-02-19T21:14:00Z"/>
          <w:snapToGrid w:val="0"/>
        </w:rPr>
      </w:pPr>
      <w:ins w:id="3436" w:author="svcMRProcess" w:date="2020-02-19T21:14:00Z">
        <w:r>
          <w:rPr>
            <w:snapToGrid w:val="0"/>
          </w:rPr>
          <w:tab/>
          <w:t>(a)</w:t>
        </w:r>
        <w:r>
          <w:rPr>
            <w:snapToGrid w:val="0"/>
          </w:rPr>
          <w:tab/>
          <w:t>to operate the existing pipeline to which the pipeline licence relates and its pumping stations, tank stations and valve stations specified in the pipeline licence; and</w:t>
        </w:r>
      </w:ins>
    </w:p>
    <w:p>
      <w:pPr>
        <w:pStyle w:val="nzIndenti"/>
        <w:tabs>
          <w:tab w:val="clear" w:pos="2608"/>
          <w:tab w:val="clear" w:pos="2892"/>
          <w:tab w:val="right" w:pos="2127"/>
          <w:tab w:val="left" w:pos="2552"/>
        </w:tabs>
        <w:ind w:left="2552" w:hanging="1418"/>
        <w:rPr>
          <w:ins w:id="3437" w:author="svcMRProcess" w:date="2020-02-19T21:14:00Z"/>
          <w:snapToGrid w:val="0"/>
        </w:rPr>
      </w:pPr>
      <w:ins w:id="3438" w:author="svcMRProcess" w:date="2020-02-19T21:14:00Z">
        <w:r>
          <w:rPr>
            <w:snapToGrid w:val="0"/>
          </w:rPr>
          <w:tab/>
          <w:t>(b)</w:t>
        </w:r>
        <w:r>
          <w:rPr>
            <w:snapToGrid w:val="0"/>
          </w:rPr>
          <w:tab/>
          <w:t>to carry on such operations, to execute such works and to do all such other things in the adjacent area as are necessary for or incidental to the operation of the existing pipeline, and the pumping stations, tank stations and valve stations, referred to in paragraph (a).</w:t>
        </w:r>
      </w:ins>
    </w:p>
    <w:p>
      <w:pPr>
        <w:pStyle w:val="MiscClose"/>
        <w:ind w:right="294"/>
        <w:rPr>
          <w:ins w:id="3439" w:author="svcMRProcess" w:date="2020-02-19T21:14:00Z"/>
          <w:snapToGrid w:val="0"/>
          <w:sz w:val="20"/>
        </w:rPr>
      </w:pPr>
      <w:ins w:id="3440" w:author="svcMRProcess" w:date="2020-02-19T21:14:00Z">
        <w:r>
          <w:rPr>
            <w:snapToGrid w:val="0"/>
            <w:sz w:val="20"/>
          </w:rPr>
          <w:t>”;</w:t>
        </w:r>
      </w:ins>
    </w:p>
    <w:p>
      <w:pPr>
        <w:pStyle w:val="nzIndenta"/>
        <w:rPr>
          <w:ins w:id="3441" w:author="svcMRProcess" w:date="2020-02-19T21:14:00Z"/>
          <w:snapToGrid w:val="0"/>
        </w:rPr>
      </w:pPr>
      <w:ins w:id="3442" w:author="svcMRProcess" w:date="2020-02-19T21:14:00Z">
        <w:r>
          <w:rPr>
            <w:snapToGrid w:val="0"/>
          </w:rPr>
          <w:tab/>
          <w:t>(e)</w:t>
        </w:r>
        <w:r>
          <w:rPr>
            <w:snapToGrid w:val="0"/>
          </w:rPr>
          <w:tab/>
        </w:r>
        <w:r>
          <w:rPr>
            <w:snapToGrid w:val="0"/>
            <w:spacing w:val="-2"/>
          </w:rPr>
          <w:t>section 67 of the principal Act shall have effect in relation to the Barrow Island Pipeline and the Withnell Bay Pipeline as if it had been enacted in the following form —</w:t>
        </w:r>
        <w:r>
          <w:rPr>
            <w:snapToGrid w:val="0"/>
          </w:rPr>
          <w:t> </w:t>
        </w:r>
      </w:ins>
    </w:p>
    <w:p>
      <w:pPr>
        <w:pStyle w:val="MiscOpen"/>
        <w:tabs>
          <w:tab w:val="clear" w:pos="893"/>
        </w:tabs>
        <w:spacing w:before="0"/>
        <w:ind w:left="567"/>
        <w:rPr>
          <w:ins w:id="3443" w:author="svcMRProcess" w:date="2020-02-19T21:14:00Z"/>
          <w:sz w:val="20"/>
        </w:rPr>
      </w:pPr>
      <w:ins w:id="3444" w:author="svcMRProcess" w:date="2020-02-19T21:14:00Z">
        <w:r>
          <w:rPr>
            <w:sz w:val="20"/>
          </w:rPr>
          <w:t>“</w:t>
        </w:r>
      </w:ins>
    </w:p>
    <w:p>
      <w:pPr>
        <w:pStyle w:val="nzSubsection"/>
        <w:tabs>
          <w:tab w:val="clear" w:pos="1162"/>
          <w:tab w:val="clear" w:pos="1446"/>
          <w:tab w:val="left" w:pos="1701"/>
        </w:tabs>
        <w:spacing w:before="0"/>
        <w:ind w:left="1701" w:hanging="850"/>
        <w:rPr>
          <w:ins w:id="3445" w:author="svcMRProcess" w:date="2020-02-19T21:14:00Z"/>
          <w:b/>
        </w:rPr>
      </w:pPr>
      <w:ins w:id="3446" w:author="svcMRProcess" w:date="2020-02-19T21:14:00Z">
        <w:r>
          <w:rPr>
            <w:b/>
          </w:rPr>
          <w:t>67.</w:t>
        </w:r>
        <w:r>
          <w:rPr>
            <w:b/>
          </w:rPr>
          <w:tab/>
          <w:t>Term of existing pipeline licence</w:t>
        </w:r>
      </w:ins>
    </w:p>
    <w:p>
      <w:pPr>
        <w:pStyle w:val="nzIndenta"/>
        <w:tabs>
          <w:tab w:val="clear" w:pos="1899"/>
          <w:tab w:val="clear" w:pos="2183"/>
          <w:tab w:val="right" w:pos="1418"/>
          <w:tab w:val="left" w:pos="1701"/>
        </w:tabs>
        <w:ind w:left="1701" w:right="433" w:hanging="708"/>
        <w:rPr>
          <w:ins w:id="3447" w:author="svcMRProcess" w:date="2020-02-19T21:14:00Z"/>
        </w:rPr>
      </w:pPr>
      <w:ins w:id="3448" w:author="svcMRProcess" w:date="2020-02-19T21:14:00Z">
        <w:r>
          <w:tab/>
          <w:t>(1)</w:t>
        </w:r>
        <w:r>
          <w:tab/>
          <w:t>Subject to this Part, a pipeline licence — </w:t>
        </w:r>
      </w:ins>
    </w:p>
    <w:p>
      <w:pPr>
        <w:pStyle w:val="nzIndenti"/>
        <w:tabs>
          <w:tab w:val="clear" w:pos="2608"/>
          <w:tab w:val="clear" w:pos="2892"/>
          <w:tab w:val="right" w:pos="2127"/>
          <w:tab w:val="left" w:pos="2552"/>
        </w:tabs>
        <w:ind w:left="2552" w:hanging="1418"/>
        <w:rPr>
          <w:ins w:id="3449" w:author="svcMRProcess" w:date="2020-02-19T21:14:00Z"/>
          <w:snapToGrid w:val="0"/>
        </w:rPr>
      </w:pPr>
      <w:ins w:id="3450" w:author="svcMRProcess" w:date="2020-02-19T21:14:00Z">
        <w:r>
          <w:rPr>
            <w:snapToGrid w:val="0"/>
          </w:rPr>
          <w:tab/>
          <w:t>(a)</w:t>
        </w:r>
        <w:r>
          <w:rPr>
            <w:snapToGrid w:val="0"/>
          </w:rPr>
          <w:tab/>
          <w:t>granted otherwise than by way of renewal in respect of an existing pipeline — </w:t>
        </w:r>
      </w:ins>
    </w:p>
    <w:p>
      <w:pPr>
        <w:pStyle w:val="nzIndentI0"/>
        <w:tabs>
          <w:tab w:val="clear" w:pos="3459"/>
          <w:tab w:val="clear" w:pos="3771"/>
          <w:tab w:val="right" w:pos="3119"/>
          <w:tab w:val="left" w:pos="3544"/>
        </w:tabs>
        <w:ind w:left="3544" w:hanging="1276"/>
        <w:rPr>
          <w:ins w:id="3451" w:author="svcMRProcess" w:date="2020-02-19T21:14:00Z"/>
          <w:snapToGrid w:val="0"/>
        </w:rPr>
      </w:pPr>
      <w:ins w:id="3452" w:author="svcMRProcess" w:date="2020-02-19T21:14:00Z">
        <w:r>
          <w:rPr>
            <w:snapToGrid w:val="0"/>
          </w:rPr>
          <w:tab/>
          <w:t>(i)</w:t>
        </w:r>
        <w:r>
          <w:rPr>
            <w:snapToGrid w:val="0"/>
          </w:rPr>
          <w:tab/>
          <w:t>which is the Barrow Island Pipeline remains in force for the period of 21 years which commenced on 10 February 1988; or</w:t>
        </w:r>
      </w:ins>
    </w:p>
    <w:p>
      <w:pPr>
        <w:pStyle w:val="nzIndentI0"/>
        <w:tabs>
          <w:tab w:val="clear" w:pos="3459"/>
          <w:tab w:val="clear" w:pos="3771"/>
          <w:tab w:val="right" w:pos="3119"/>
          <w:tab w:val="left" w:pos="3544"/>
        </w:tabs>
        <w:ind w:left="3544" w:hanging="1276"/>
        <w:rPr>
          <w:ins w:id="3453" w:author="svcMRProcess" w:date="2020-02-19T21:14:00Z"/>
          <w:snapToGrid w:val="0"/>
        </w:rPr>
      </w:pPr>
      <w:ins w:id="3454" w:author="svcMRProcess" w:date="2020-02-19T21:14:00Z">
        <w:r>
          <w:rPr>
            <w:snapToGrid w:val="0"/>
          </w:rPr>
          <w:tab/>
          <w:t>(ii)</w:t>
        </w:r>
        <w:r>
          <w:rPr>
            <w:snapToGrid w:val="0"/>
          </w:rPr>
          <w:tab/>
          <w:t>which is the Withnell Bay Pipeline remains in force for the period of 21 years which commenced on 20 December 1983;</w:t>
        </w:r>
      </w:ins>
    </w:p>
    <w:p>
      <w:pPr>
        <w:pStyle w:val="nzIndenti"/>
        <w:tabs>
          <w:tab w:val="clear" w:pos="2608"/>
          <w:tab w:val="clear" w:pos="2892"/>
          <w:tab w:val="right" w:pos="2127"/>
          <w:tab w:val="left" w:pos="2552"/>
        </w:tabs>
        <w:ind w:left="2552" w:hanging="1418"/>
        <w:rPr>
          <w:ins w:id="3455" w:author="svcMRProcess" w:date="2020-02-19T21:14:00Z"/>
          <w:snapToGrid w:val="0"/>
        </w:rPr>
      </w:pPr>
      <w:ins w:id="3456" w:author="svcMRProcess" w:date="2020-02-19T21:14:00Z">
        <w:r>
          <w:rPr>
            <w:snapToGrid w:val="0"/>
          </w:rPr>
          <w:tab/>
        </w:r>
        <w:r>
          <w:rPr>
            <w:snapToGrid w:val="0"/>
          </w:rPr>
          <w:tab/>
          <w:t>or</w:t>
        </w:r>
      </w:ins>
    </w:p>
    <w:p>
      <w:pPr>
        <w:pStyle w:val="nzIndenti"/>
        <w:tabs>
          <w:tab w:val="clear" w:pos="2608"/>
          <w:tab w:val="clear" w:pos="2892"/>
          <w:tab w:val="right" w:pos="2127"/>
          <w:tab w:val="left" w:pos="2552"/>
        </w:tabs>
        <w:ind w:left="2552" w:hanging="1418"/>
        <w:rPr>
          <w:ins w:id="3457" w:author="svcMRProcess" w:date="2020-02-19T21:14:00Z"/>
          <w:snapToGrid w:val="0"/>
        </w:rPr>
      </w:pPr>
      <w:ins w:id="3458" w:author="svcMRProcess" w:date="2020-02-19T21:14:00Z">
        <w:r>
          <w:rPr>
            <w:snapToGrid w:val="0"/>
          </w:rPr>
          <w:tab/>
          <w:t>(b)</w:t>
        </w:r>
        <w:r>
          <w:rPr>
            <w:snapToGrid w:val="0"/>
          </w:rPr>
          <w:tab/>
          <w:t>granted by way of renewal in respect of an existing pipeline remains in force, subject to subsection (2), for a period of 21 years.</w:t>
        </w:r>
      </w:ins>
    </w:p>
    <w:p>
      <w:pPr>
        <w:pStyle w:val="nzIndenta"/>
        <w:tabs>
          <w:tab w:val="clear" w:pos="1899"/>
          <w:tab w:val="clear" w:pos="2183"/>
          <w:tab w:val="right" w:pos="1418"/>
          <w:tab w:val="left" w:pos="1701"/>
        </w:tabs>
        <w:ind w:left="1701" w:right="433" w:hanging="708"/>
        <w:rPr>
          <w:ins w:id="3459" w:author="svcMRProcess" w:date="2020-02-19T21:14:00Z"/>
        </w:rPr>
      </w:pPr>
      <w:ins w:id="3460" w:author="svcMRProcess" w:date="2020-02-19T21:14:00Z">
        <w:r>
          <w:tab/>
          <w:t>(2)</w:t>
        </w:r>
        <w:r>
          <w:tab/>
          <w:t>If the Minister considers that, having regard to the dates of expiry of the licences that relate to the licence areas from which petroleum is conveyed by means of an existing pipeline, it is not necessary for the relevant pipeline licence to remain in force for a period of 21 years after renewal, that pipeline licence remains in force after renewal, subject to this Part, for such period of less than 21 years as the Minister determines and specifies in that pipeline licence.</w:t>
        </w:r>
      </w:ins>
    </w:p>
    <w:p>
      <w:pPr>
        <w:pStyle w:val="MiscClose"/>
        <w:ind w:right="294"/>
        <w:rPr>
          <w:ins w:id="3461" w:author="svcMRProcess" w:date="2020-02-19T21:14:00Z"/>
          <w:snapToGrid w:val="0"/>
          <w:sz w:val="20"/>
        </w:rPr>
      </w:pPr>
      <w:ins w:id="3462" w:author="svcMRProcess" w:date="2020-02-19T21:14:00Z">
        <w:r>
          <w:rPr>
            <w:snapToGrid w:val="0"/>
            <w:sz w:val="20"/>
          </w:rPr>
          <w:t>”;</w:t>
        </w:r>
      </w:ins>
    </w:p>
    <w:p>
      <w:pPr>
        <w:pStyle w:val="MiscClose"/>
        <w:rPr>
          <w:ins w:id="3463" w:author="svcMRProcess" w:date="2020-02-19T21:14:00Z"/>
          <w:snapToGrid w:val="0"/>
          <w:sz w:val="20"/>
        </w:rPr>
      </w:pPr>
      <w:ins w:id="3464" w:author="svcMRProcess" w:date="2020-02-19T21:14:00Z">
        <w:r>
          <w:rPr>
            <w:snapToGrid w:val="0"/>
            <w:sz w:val="20"/>
          </w:rPr>
          <w:t>”;</w:t>
        </w:r>
      </w:ins>
    </w:p>
    <w:p>
      <w:pPr>
        <w:pStyle w:val="nSubsection"/>
        <w:rPr>
          <w:ins w:id="3465" w:author="svcMRProcess" w:date="2020-02-19T21:14:00Z"/>
          <w:snapToGrid w:val="0"/>
        </w:rPr>
      </w:pPr>
      <w:ins w:id="3466" w:author="svcMRProcess" w:date="2020-02-19T21:14:00Z">
        <w:r>
          <w:rPr>
            <w:snapToGrid w:val="0"/>
          </w:rPr>
          <w:tab/>
          <w:t xml:space="preserve">Section 191(3) of the </w:t>
        </w:r>
        <w:r>
          <w:rPr>
            <w:i/>
            <w:snapToGrid w:val="0"/>
          </w:rPr>
          <w:t>Acts Amendment (Petroleum) Act 1990</w:t>
        </w:r>
        <w:r>
          <w:rPr>
            <w:snapToGrid w:val="0"/>
          </w:rPr>
          <w:t xml:space="preserve"> (No. 12 of 1990) reads — </w:t>
        </w:r>
      </w:ins>
    </w:p>
    <w:p>
      <w:pPr>
        <w:pStyle w:val="MiscOpen"/>
        <w:rPr>
          <w:ins w:id="3467" w:author="svcMRProcess" w:date="2020-02-19T21:14:00Z"/>
          <w:snapToGrid w:val="0"/>
          <w:sz w:val="20"/>
        </w:rPr>
      </w:pPr>
      <w:ins w:id="3468" w:author="svcMRProcess" w:date="2020-02-19T21:14:00Z">
        <w:r>
          <w:rPr>
            <w:snapToGrid w:val="0"/>
            <w:sz w:val="20"/>
          </w:rPr>
          <w:t>“</w:t>
        </w:r>
      </w:ins>
    </w:p>
    <w:p>
      <w:pPr>
        <w:pStyle w:val="nzSubsection"/>
        <w:spacing w:before="0"/>
        <w:rPr>
          <w:ins w:id="3469" w:author="svcMRProcess" w:date="2020-02-19T21:14:00Z"/>
          <w:snapToGrid w:val="0"/>
        </w:rPr>
      </w:pPr>
      <w:ins w:id="3470" w:author="svcMRProcess" w:date="2020-02-19T21:14:00Z">
        <w:r>
          <w:rPr>
            <w:snapToGrid w:val="0"/>
          </w:rPr>
          <w:tab/>
          <w:t>(3)</w:t>
        </w:r>
        <w:r>
          <w:rPr>
            <w:snapToGrid w:val="0"/>
          </w:rPr>
          <w:tab/>
          <w:t>In subsection (2) — </w:t>
        </w:r>
      </w:ins>
    </w:p>
    <w:p>
      <w:pPr>
        <w:pStyle w:val="nzPenstart"/>
        <w:rPr>
          <w:ins w:id="3471" w:author="svcMRProcess" w:date="2020-02-19T21:14:00Z"/>
        </w:rPr>
      </w:pPr>
      <w:ins w:id="3472" w:author="svcMRProcess" w:date="2020-02-19T21:14:00Z">
        <w:r>
          <w:tab/>
        </w:r>
        <w:r>
          <w:rPr>
            <w:b/>
          </w:rPr>
          <w:t>“the Barrow Island Pipeline”</w:t>
        </w:r>
        <w:r>
          <w:t xml:space="preserve"> means the pipeline which extends from Barrow Island to the offshore mooring terminal and which is more fully described in Special Lease No. 3116/3628 granted under section 116 of the </w:t>
        </w:r>
        <w:r>
          <w:rPr>
            <w:i/>
          </w:rPr>
          <w:t>Land Act 1933</w:t>
        </w:r>
        <w:r>
          <w:t>;</w:t>
        </w:r>
      </w:ins>
    </w:p>
    <w:p>
      <w:pPr>
        <w:pStyle w:val="nzPenstart"/>
        <w:rPr>
          <w:ins w:id="3473" w:author="svcMRProcess" w:date="2020-02-19T21:14:00Z"/>
        </w:rPr>
      </w:pPr>
      <w:ins w:id="3474" w:author="svcMRProcess" w:date="2020-02-19T21:14:00Z">
        <w:r>
          <w:tab/>
        </w:r>
        <w:r>
          <w:rPr>
            <w:b/>
          </w:rPr>
          <w:t>“the Withnell Bay Pipeline”</w:t>
        </w:r>
        <w:r>
          <w:t xml:space="preserve"> means the pipeline which extends from the North West Shelf Development Project Treatment Plant to the Product Loading Jetty near Withnell Bay and which is the subject of Pipeline Licence PL9 granted under the </w:t>
        </w:r>
        <w:r>
          <w:rPr>
            <w:i/>
          </w:rPr>
          <w:t>Petroleum Pipelines Act 1969</w:t>
        </w:r>
        <w:r>
          <w:t>.</w:t>
        </w:r>
      </w:ins>
    </w:p>
    <w:p>
      <w:pPr>
        <w:pStyle w:val="MiscClose"/>
        <w:rPr>
          <w:ins w:id="3475" w:author="svcMRProcess" w:date="2020-02-19T21:14:00Z"/>
          <w:sz w:val="20"/>
        </w:rPr>
      </w:pPr>
      <w:ins w:id="3476" w:author="svcMRProcess" w:date="2020-02-19T21:14:00Z">
        <w:r>
          <w:rPr>
            <w:sz w:val="20"/>
          </w:rPr>
          <w:t>”.</w:t>
        </w:r>
      </w:ins>
    </w:p>
    <w:p>
      <w:pPr>
        <w:pStyle w:val="nSubsection"/>
        <w:rPr>
          <w:ins w:id="3477" w:author="svcMRProcess" w:date="2020-02-19T21:14:00Z"/>
          <w:snapToGrid w:val="0"/>
        </w:rPr>
      </w:pPr>
      <w:ins w:id="3478" w:author="svcMRProcess" w:date="2020-02-19T21:14:00Z">
        <w:r>
          <w:rPr>
            <w:snapToGrid w:val="0"/>
            <w:vertAlign w:val="superscript"/>
          </w:rPr>
          <w:t>3</w:t>
        </w:r>
        <w:r>
          <w:rPr>
            <w:snapToGrid w:val="0"/>
          </w:rPr>
          <w:tab/>
          <w:t xml:space="preserve">Section 172(2), (3), (4), (5) and (6) of the </w:t>
        </w:r>
        <w:r>
          <w:rPr>
            <w:i/>
            <w:snapToGrid w:val="0"/>
          </w:rPr>
          <w:t>Acts Amendment (Petroleum) Act 1990</w:t>
        </w:r>
        <w:r>
          <w:rPr>
            <w:snapToGrid w:val="0"/>
          </w:rPr>
          <w:t xml:space="preserve"> (No. 12 of 1990) reads — </w:t>
        </w:r>
      </w:ins>
    </w:p>
    <w:p>
      <w:pPr>
        <w:pStyle w:val="MiscOpen"/>
        <w:rPr>
          <w:ins w:id="3479" w:author="svcMRProcess" w:date="2020-02-19T21:14:00Z"/>
          <w:snapToGrid w:val="0"/>
          <w:sz w:val="20"/>
        </w:rPr>
      </w:pPr>
      <w:ins w:id="3480" w:author="svcMRProcess" w:date="2020-02-19T21:14:00Z">
        <w:r>
          <w:rPr>
            <w:snapToGrid w:val="0"/>
            <w:sz w:val="20"/>
          </w:rPr>
          <w:t>“</w:t>
        </w:r>
      </w:ins>
    </w:p>
    <w:p>
      <w:pPr>
        <w:pStyle w:val="nzSubsection"/>
        <w:spacing w:before="0"/>
        <w:rPr>
          <w:ins w:id="3481" w:author="svcMRProcess" w:date="2020-02-19T21:14:00Z"/>
          <w:snapToGrid w:val="0"/>
        </w:rPr>
      </w:pPr>
      <w:ins w:id="3482" w:author="svcMRProcess" w:date="2020-02-19T21:14:00Z">
        <w:r>
          <w:rPr>
            <w:snapToGrid w:val="0"/>
          </w:rPr>
          <w:tab/>
          <w:t>(2)</w:t>
        </w:r>
        <w:r>
          <w:rPr>
            <w:snapToGrid w:val="0"/>
          </w:rPr>
          <w:tab/>
          <w:t>Where — </w:t>
        </w:r>
      </w:ins>
    </w:p>
    <w:p>
      <w:pPr>
        <w:pStyle w:val="nzIndenta"/>
        <w:rPr>
          <w:ins w:id="3483" w:author="svcMRProcess" w:date="2020-02-19T21:14:00Z"/>
          <w:snapToGrid w:val="0"/>
        </w:rPr>
      </w:pPr>
      <w:ins w:id="3484" w:author="svcMRProcess" w:date="2020-02-19T21:14:00Z">
        <w:r>
          <w:rPr>
            <w:snapToGrid w:val="0"/>
          </w:rPr>
          <w:tab/>
          <w:t>(a)</w:t>
        </w:r>
        <w:r>
          <w:rPr>
            <w:snapToGrid w:val="0"/>
          </w:rPr>
          <w:tab/>
          <w:t>at the commencement of this section, a nomination had been made under section 36 of the principal Act; and</w:t>
        </w:r>
      </w:ins>
    </w:p>
    <w:p>
      <w:pPr>
        <w:pStyle w:val="nzIndenta"/>
        <w:rPr>
          <w:ins w:id="3485" w:author="svcMRProcess" w:date="2020-02-19T21:14:00Z"/>
          <w:snapToGrid w:val="0"/>
        </w:rPr>
      </w:pPr>
      <w:ins w:id="3486" w:author="svcMRProcess" w:date="2020-02-19T21:14:00Z">
        <w:r>
          <w:rPr>
            <w:snapToGrid w:val="0"/>
          </w:rPr>
          <w:tab/>
          <w:t>(b)</w:t>
        </w:r>
        <w:r>
          <w:rPr>
            <w:snapToGrid w:val="0"/>
          </w:rPr>
          <w:tab/>
          <w:t>at that commencement, a declaration had not been made under section 37 of the principal Act as a result of the making of the nomination,</w:t>
        </w:r>
      </w:ins>
    </w:p>
    <w:p>
      <w:pPr>
        <w:pStyle w:val="nzSubsection"/>
        <w:rPr>
          <w:ins w:id="3487" w:author="svcMRProcess" w:date="2020-02-19T21:14:00Z"/>
          <w:snapToGrid w:val="0"/>
        </w:rPr>
      </w:pPr>
      <w:ins w:id="3488" w:author="svcMRProcess" w:date="2020-02-19T21:14:00Z">
        <w:r>
          <w:rPr>
            <w:snapToGrid w:val="0"/>
          </w:rPr>
          <w:tab/>
        </w:r>
        <w:r>
          <w:rPr>
            <w:snapToGrid w:val="0"/>
          </w:rPr>
          <w:tab/>
          <w:t>sections 36, 37 and 38 of the principal Act, as in force immediately before the commencement of this section, continue to have effect in relation to that nomination and the block or blocks that would be affected by a declaration as if this Act had not been enacted.</w:t>
        </w:r>
      </w:ins>
    </w:p>
    <w:p>
      <w:pPr>
        <w:pStyle w:val="nzSubsection"/>
        <w:rPr>
          <w:ins w:id="3489" w:author="svcMRProcess" w:date="2020-02-19T21:14:00Z"/>
          <w:snapToGrid w:val="0"/>
        </w:rPr>
      </w:pPr>
      <w:ins w:id="3490" w:author="svcMRProcess" w:date="2020-02-19T21:14:00Z">
        <w:r>
          <w:rPr>
            <w:snapToGrid w:val="0"/>
          </w:rPr>
          <w:tab/>
          <w:t>(3)</w:t>
        </w:r>
        <w:r>
          <w:rPr>
            <w:snapToGrid w:val="0"/>
          </w:rPr>
          <w:tab/>
          <w:t>A declaration made under section 37 of the principal Act as continued in force by subsection (2) has effect, and the principal Act, as amended by this Act, applies to the declaration, as if the declaration had been made under that section as amended by this Act.</w:t>
        </w:r>
      </w:ins>
    </w:p>
    <w:p>
      <w:pPr>
        <w:pStyle w:val="nzSubsection"/>
        <w:rPr>
          <w:ins w:id="3491" w:author="svcMRProcess" w:date="2020-02-19T21:14:00Z"/>
          <w:snapToGrid w:val="0"/>
        </w:rPr>
      </w:pPr>
      <w:ins w:id="3492" w:author="svcMRProcess" w:date="2020-02-19T21:14:00Z">
        <w:r>
          <w:rPr>
            <w:snapToGrid w:val="0"/>
          </w:rPr>
          <w:tab/>
          <w:t>(4)</w:t>
        </w:r>
        <w:r>
          <w:rPr>
            <w:snapToGrid w:val="0"/>
          </w:rPr>
          <w:tab/>
          <w:t>A declaration in force under section 37 of the principal Act immediately before the commencement of this section has effect after that commencement as if it were a declaration under section 37 of the principal Act as amended by this Act.</w:t>
        </w:r>
      </w:ins>
    </w:p>
    <w:p>
      <w:pPr>
        <w:pStyle w:val="nzSubsection"/>
        <w:rPr>
          <w:ins w:id="3493" w:author="svcMRProcess" w:date="2020-02-19T21:14:00Z"/>
          <w:snapToGrid w:val="0"/>
        </w:rPr>
      </w:pPr>
      <w:ins w:id="3494" w:author="svcMRProcess" w:date="2020-02-19T21:14:00Z">
        <w:r>
          <w:rPr>
            <w:snapToGrid w:val="0"/>
          </w:rPr>
          <w:tab/>
          <w:t>(5)</w:t>
        </w:r>
        <w:r>
          <w:rPr>
            <w:snapToGrid w:val="0"/>
          </w:rPr>
          <w:tab/>
          <w:t>Where — </w:t>
        </w:r>
      </w:ins>
    </w:p>
    <w:p>
      <w:pPr>
        <w:pStyle w:val="nzIndenta"/>
        <w:rPr>
          <w:ins w:id="3495" w:author="svcMRProcess" w:date="2020-02-19T21:14:00Z"/>
          <w:snapToGrid w:val="0"/>
          <w:spacing w:val="-2"/>
        </w:rPr>
      </w:pPr>
      <w:ins w:id="3496" w:author="svcMRProcess" w:date="2020-02-19T21:14:00Z">
        <w:r>
          <w:rPr>
            <w:snapToGrid w:val="0"/>
            <w:spacing w:val="-2"/>
          </w:rPr>
          <w:tab/>
          <w:t>(a)</w:t>
        </w:r>
        <w:r>
          <w:rPr>
            <w:snapToGrid w:val="0"/>
            <w:spacing w:val="-2"/>
          </w:rPr>
          <w:tab/>
          <w:t>the permittee under a permit granted before the commencement of this section applies under section 40 of the principal Act, as amended by this Act, for a licence;</w:t>
        </w:r>
      </w:ins>
    </w:p>
    <w:p>
      <w:pPr>
        <w:pStyle w:val="nzIndenta"/>
        <w:rPr>
          <w:ins w:id="3497" w:author="svcMRProcess" w:date="2020-02-19T21:14:00Z"/>
          <w:snapToGrid w:val="0"/>
        </w:rPr>
      </w:pPr>
      <w:ins w:id="3498" w:author="svcMRProcess" w:date="2020-02-19T21:14:00Z">
        <w:r>
          <w:rPr>
            <w:snapToGrid w:val="0"/>
          </w:rPr>
          <w:tab/>
          <w:t>(b)</w:t>
        </w:r>
        <w:r>
          <w:rPr>
            <w:snapToGrid w:val="0"/>
          </w:rPr>
          <w:tab/>
          <w:t>the location that includes the block or blocks to which the application relates was declared under section 37 of the principal Act as amended by this Act;</w:t>
        </w:r>
      </w:ins>
    </w:p>
    <w:p>
      <w:pPr>
        <w:pStyle w:val="nzIndenta"/>
        <w:rPr>
          <w:ins w:id="3499" w:author="svcMRProcess" w:date="2020-02-19T21:14:00Z"/>
          <w:snapToGrid w:val="0"/>
        </w:rPr>
      </w:pPr>
      <w:ins w:id="3500" w:author="svcMRProcess" w:date="2020-02-19T21:14:00Z">
        <w:r>
          <w:rPr>
            <w:snapToGrid w:val="0"/>
          </w:rPr>
          <w:tab/>
          <w:t>(c)</w:t>
        </w:r>
        <w:r>
          <w:rPr>
            <w:snapToGrid w:val="0"/>
          </w:rPr>
          <w:tab/>
          <w:t>the location consists of not more than 8 blocks;</w:t>
        </w:r>
      </w:ins>
    </w:p>
    <w:p>
      <w:pPr>
        <w:pStyle w:val="nzIndenta"/>
        <w:rPr>
          <w:ins w:id="3501" w:author="svcMRProcess" w:date="2020-02-19T21:14:00Z"/>
          <w:snapToGrid w:val="0"/>
        </w:rPr>
      </w:pPr>
      <w:ins w:id="3502" w:author="svcMRProcess" w:date="2020-02-19T21:14:00Z">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ins>
    </w:p>
    <w:p>
      <w:pPr>
        <w:pStyle w:val="nzIndenta"/>
        <w:rPr>
          <w:ins w:id="3503" w:author="svcMRProcess" w:date="2020-02-19T21:14:00Z"/>
          <w:snapToGrid w:val="0"/>
        </w:rPr>
      </w:pPr>
      <w:ins w:id="3504" w:author="svcMRProcess" w:date="2020-02-19T21:14:00Z">
        <w:r>
          <w:rPr>
            <w:snapToGrid w:val="0"/>
          </w:rPr>
          <w:tab/>
          <w:t>(e)</w:t>
        </w:r>
        <w:r>
          <w:rPr>
            <w:snapToGrid w:val="0"/>
          </w:rPr>
          <w:tab/>
          <w:t>the number of blocks specified in the notification exceeds the number of blocks in the location referred to in paragraph (b),</w:t>
        </w:r>
      </w:ins>
    </w:p>
    <w:p>
      <w:pPr>
        <w:pStyle w:val="nzSubsection"/>
        <w:rPr>
          <w:ins w:id="3505" w:author="svcMRProcess" w:date="2020-02-19T21:14:00Z"/>
          <w:snapToGrid w:val="0"/>
        </w:rPr>
      </w:pPr>
      <w:ins w:id="3506" w:author="svcMRProcess" w:date="2020-02-19T21:14:00Z">
        <w:r>
          <w:rPr>
            <w:snapToGrid w:val="0"/>
          </w:rPr>
          <w:tab/>
        </w:r>
        <w:r>
          <w:rPr>
            <w:snapToGrid w:val="0"/>
          </w:rPr>
          <w:tab/>
          <w:t>section 40(1) of the principal Act, as amended by this Act, applies as if the first</w:t>
        </w:r>
        <w:r>
          <w:rPr>
            <w:snapToGrid w:val="0"/>
          </w:rPr>
          <w:noBreakHyphen/>
          <w:t>mentioned location were constituted by the number of blocks specified in the notification referred to in paragraph (d).</w:t>
        </w:r>
      </w:ins>
    </w:p>
    <w:p>
      <w:pPr>
        <w:pStyle w:val="nzSubsection"/>
        <w:rPr>
          <w:ins w:id="3507" w:author="svcMRProcess" w:date="2020-02-19T21:14:00Z"/>
          <w:snapToGrid w:val="0"/>
        </w:rPr>
      </w:pPr>
      <w:ins w:id="3508" w:author="svcMRProcess" w:date="2020-02-19T21:14:00Z">
        <w:r>
          <w:rPr>
            <w:snapToGrid w:val="0"/>
          </w:rPr>
          <w:tab/>
          <w:t>(6)</w:t>
        </w:r>
        <w:r>
          <w:rPr>
            <w:snapToGrid w:val="0"/>
          </w:rPr>
          <w:tab/>
          <w:t>Where — </w:t>
        </w:r>
      </w:ins>
    </w:p>
    <w:p>
      <w:pPr>
        <w:pStyle w:val="nzIndenta"/>
        <w:rPr>
          <w:ins w:id="3509" w:author="svcMRProcess" w:date="2020-02-19T21:14:00Z"/>
          <w:snapToGrid w:val="0"/>
        </w:rPr>
      </w:pPr>
      <w:ins w:id="3510" w:author="svcMRProcess" w:date="2020-02-19T21:14:00Z">
        <w:r>
          <w:rPr>
            <w:snapToGrid w:val="0"/>
          </w:rPr>
          <w:tab/>
          <w:t>(a)</w:t>
        </w:r>
        <w:r>
          <w:rPr>
            <w:snapToGrid w:val="0"/>
          </w:rPr>
          <w:tab/>
          <w:t>a lessee under a lease of a block or blocks for which a permit was granted before the commencement of this section applies under section 40A of the principal Act, as amended by this Act, for a licence;</w:t>
        </w:r>
      </w:ins>
    </w:p>
    <w:p>
      <w:pPr>
        <w:pStyle w:val="nzIndenta"/>
        <w:rPr>
          <w:ins w:id="3511" w:author="svcMRProcess" w:date="2020-02-19T21:14:00Z"/>
          <w:snapToGrid w:val="0"/>
        </w:rPr>
      </w:pPr>
      <w:ins w:id="3512" w:author="svcMRProcess" w:date="2020-02-19T21:14:00Z">
        <w:r>
          <w:rPr>
            <w:snapToGrid w:val="0"/>
          </w:rPr>
          <w:tab/>
          <w:t>(b)</w:t>
        </w:r>
        <w:r>
          <w:rPr>
            <w:snapToGrid w:val="0"/>
          </w:rPr>
          <w:tab/>
          <w:t>the location that includes the block or blocks to which the application relates was declared under section 37 of the principal Act, as amended by this Act;</w:t>
        </w:r>
      </w:ins>
    </w:p>
    <w:p>
      <w:pPr>
        <w:pStyle w:val="nzIndenta"/>
        <w:rPr>
          <w:ins w:id="3513" w:author="svcMRProcess" w:date="2020-02-19T21:14:00Z"/>
          <w:snapToGrid w:val="0"/>
        </w:rPr>
      </w:pPr>
      <w:ins w:id="3514" w:author="svcMRProcess" w:date="2020-02-19T21:14:00Z">
        <w:r>
          <w:rPr>
            <w:snapToGrid w:val="0"/>
          </w:rPr>
          <w:tab/>
          <w:t>(c)</w:t>
        </w:r>
        <w:r>
          <w:rPr>
            <w:snapToGrid w:val="0"/>
          </w:rPr>
          <w:tab/>
          <w:t>the location consists of not more than 8 blocks;</w:t>
        </w:r>
      </w:ins>
    </w:p>
    <w:p>
      <w:pPr>
        <w:pStyle w:val="nzIndenta"/>
        <w:rPr>
          <w:ins w:id="3515" w:author="svcMRProcess" w:date="2020-02-19T21:14:00Z"/>
          <w:snapToGrid w:val="0"/>
        </w:rPr>
      </w:pPr>
      <w:ins w:id="3516" w:author="svcMRProcess" w:date="2020-02-19T21:14:00Z">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ins>
    </w:p>
    <w:p>
      <w:pPr>
        <w:pStyle w:val="nzIndenta"/>
        <w:rPr>
          <w:ins w:id="3517" w:author="svcMRProcess" w:date="2020-02-19T21:14:00Z"/>
          <w:snapToGrid w:val="0"/>
        </w:rPr>
      </w:pPr>
      <w:ins w:id="3518" w:author="svcMRProcess" w:date="2020-02-19T21:14:00Z">
        <w:r>
          <w:rPr>
            <w:snapToGrid w:val="0"/>
          </w:rPr>
          <w:tab/>
          <w:t>(e)</w:t>
        </w:r>
        <w:r>
          <w:rPr>
            <w:snapToGrid w:val="0"/>
          </w:rPr>
          <w:tab/>
          <w:t>the number of blocks specified in the notification exceeds the number of blocks in the location referred to in paragraph (b),</w:t>
        </w:r>
      </w:ins>
    </w:p>
    <w:p>
      <w:pPr>
        <w:pStyle w:val="nzSubsection"/>
        <w:rPr>
          <w:ins w:id="3519" w:author="svcMRProcess" w:date="2020-02-19T21:14:00Z"/>
          <w:snapToGrid w:val="0"/>
        </w:rPr>
      </w:pPr>
      <w:ins w:id="3520" w:author="svcMRProcess" w:date="2020-02-19T21:14:00Z">
        <w:r>
          <w:rPr>
            <w:snapToGrid w:val="0"/>
          </w:rPr>
          <w:tab/>
        </w:r>
        <w:r>
          <w:rPr>
            <w:snapToGrid w:val="0"/>
          </w:rPr>
          <w:tab/>
          <w:t>section 40A(1) of the principal Act, as amended by this Act, applies as if the lease were in respect of the number of blocks specified in the notification referred to in paragraph (d).</w:t>
        </w:r>
      </w:ins>
    </w:p>
    <w:p>
      <w:pPr>
        <w:pStyle w:val="MiscClose"/>
        <w:rPr>
          <w:ins w:id="3521" w:author="svcMRProcess" w:date="2020-02-19T21:14:00Z"/>
          <w:snapToGrid w:val="0"/>
          <w:sz w:val="20"/>
        </w:rPr>
      </w:pPr>
      <w:ins w:id="3522" w:author="svcMRProcess" w:date="2020-02-19T21:14:00Z">
        <w:r>
          <w:rPr>
            <w:snapToGrid w:val="0"/>
            <w:sz w:val="20"/>
          </w:rPr>
          <w:t>”.</w:t>
        </w:r>
      </w:ins>
    </w:p>
    <w:p>
      <w:pPr>
        <w:pStyle w:val="nSubsection"/>
        <w:rPr>
          <w:ins w:id="3523" w:author="svcMRProcess" w:date="2020-02-19T21:14:00Z"/>
          <w:snapToGrid w:val="0"/>
        </w:rPr>
      </w:pPr>
      <w:ins w:id="3524" w:author="svcMRProcess" w:date="2020-02-19T21:14:00Z">
        <w:r>
          <w:rPr>
            <w:snapToGrid w:val="0"/>
            <w:vertAlign w:val="superscript"/>
          </w:rPr>
          <w:t>4</w:t>
        </w:r>
        <w:r>
          <w:rPr>
            <w:snapToGrid w:val="0"/>
          </w:rPr>
          <w:tab/>
          <w:t xml:space="preserve">Section 181(2) of the </w:t>
        </w:r>
        <w:r>
          <w:rPr>
            <w:i/>
            <w:snapToGrid w:val="0"/>
          </w:rPr>
          <w:t>Acts Amendment (Petroleum) Act 1990</w:t>
        </w:r>
        <w:r>
          <w:rPr>
            <w:snapToGrid w:val="0"/>
          </w:rPr>
          <w:t xml:space="preserve"> (No. 12 of 1990) reads — </w:t>
        </w:r>
      </w:ins>
    </w:p>
    <w:p>
      <w:pPr>
        <w:pStyle w:val="MiscOpen"/>
        <w:rPr>
          <w:ins w:id="3525" w:author="svcMRProcess" w:date="2020-02-19T21:14:00Z"/>
          <w:snapToGrid w:val="0"/>
          <w:sz w:val="20"/>
        </w:rPr>
      </w:pPr>
      <w:ins w:id="3526" w:author="svcMRProcess" w:date="2020-02-19T21:14:00Z">
        <w:r>
          <w:rPr>
            <w:snapToGrid w:val="0"/>
            <w:sz w:val="20"/>
          </w:rPr>
          <w:t>“</w:t>
        </w:r>
      </w:ins>
    </w:p>
    <w:p>
      <w:pPr>
        <w:pStyle w:val="nzSubsection"/>
        <w:spacing w:before="0"/>
        <w:rPr>
          <w:ins w:id="3527" w:author="svcMRProcess" w:date="2020-02-19T21:14:00Z"/>
          <w:snapToGrid w:val="0"/>
        </w:rPr>
      </w:pPr>
      <w:ins w:id="3528" w:author="svcMRProcess" w:date="2020-02-19T21:14:00Z">
        <w:r>
          <w:rPr>
            <w:snapToGrid w:val="0"/>
          </w:rPr>
          <w:tab/>
          <w:t>(2)</w:t>
        </w:r>
        <w:r>
          <w:rPr>
            <w:snapToGrid w:val="0"/>
          </w:rPr>
          <w:tab/>
          <w:t>The revocation under section 46(3) of the principal Act of a declaration in respect of a location shall be deemed not to have affected the validity of a licence granted under the principal Act in respect of any block forming part of that location.</w:t>
        </w:r>
      </w:ins>
    </w:p>
    <w:p>
      <w:pPr>
        <w:pStyle w:val="MiscClose"/>
        <w:rPr>
          <w:ins w:id="3529" w:author="svcMRProcess" w:date="2020-02-19T21:14:00Z"/>
          <w:snapToGrid w:val="0"/>
          <w:sz w:val="20"/>
        </w:rPr>
      </w:pPr>
      <w:ins w:id="3530" w:author="svcMRProcess" w:date="2020-02-19T21:14:00Z">
        <w:r>
          <w:rPr>
            <w:snapToGrid w:val="0"/>
            <w:sz w:val="20"/>
          </w:rPr>
          <w:t>”.</w:t>
        </w:r>
      </w:ins>
    </w:p>
    <w:p>
      <w:pPr>
        <w:pStyle w:val="nSubsection"/>
        <w:rPr>
          <w:ins w:id="3531" w:author="svcMRProcess" w:date="2020-02-19T21:14:00Z"/>
          <w:snapToGrid w:val="0"/>
        </w:rPr>
      </w:pPr>
      <w:ins w:id="3532" w:author="svcMRProcess" w:date="2020-02-19T21:14:00Z">
        <w:r>
          <w:rPr>
            <w:snapToGrid w:val="0"/>
            <w:vertAlign w:val="superscript"/>
          </w:rPr>
          <w:t>5</w:t>
        </w:r>
        <w:r>
          <w:rPr>
            <w:snapToGrid w:val="0"/>
          </w:rPr>
          <w:tab/>
          <w:t xml:space="preserve">Section 188(2) and (3) of the </w:t>
        </w:r>
        <w:r>
          <w:rPr>
            <w:i/>
            <w:snapToGrid w:val="0"/>
          </w:rPr>
          <w:t>Acts Amendment (Petroleum) Act 1990</w:t>
        </w:r>
        <w:r>
          <w:rPr>
            <w:snapToGrid w:val="0"/>
          </w:rPr>
          <w:t xml:space="preserve"> (No. 12 of 1990) reads — </w:t>
        </w:r>
      </w:ins>
    </w:p>
    <w:p>
      <w:pPr>
        <w:pStyle w:val="MiscOpen"/>
        <w:rPr>
          <w:ins w:id="3533" w:author="svcMRProcess" w:date="2020-02-19T21:14:00Z"/>
          <w:snapToGrid w:val="0"/>
          <w:sz w:val="20"/>
        </w:rPr>
      </w:pPr>
      <w:ins w:id="3534" w:author="svcMRProcess" w:date="2020-02-19T21:14:00Z">
        <w:r>
          <w:rPr>
            <w:snapToGrid w:val="0"/>
            <w:sz w:val="20"/>
          </w:rPr>
          <w:t>“</w:t>
        </w:r>
      </w:ins>
    </w:p>
    <w:p>
      <w:pPr>
        <w:pStyle w:val="nzSubsection"/>
        <w:spacing w:before="0"/>
        <w:rPr>
          <w:ins w:id="3535" w:author="svcMRProcess" w:date="2020-02-19T21:14:00Z"/>
          <w:snapToGrid w:val="0"/>
        </w:rPr>
      </w:pPr>
      <w:ins w:id="3536" w:author="svcMRProcess" w:date="2020-02-19T21:14:00Z">
        <w:r>
          <w:rPr>
            <w:snapToGrid w:val="0"/>
          </w:rPr>
          <w:tab/>
          <w:t>(2)</w:t>
        </w:r>
        <w:r>
          <w:rPr>
            <w:snapToGrid w:val="0"/>
          </w:rPr>
          <w:tab/>
          <w:t xml:space="preserve">Notwithstanding anything in section 37 of the </w:t>
        </w:r>
        <w:r>
          <w:rPr>
            <w:i/>
            <w:snapToGrid w:val="0"/>
          </w:rPr>
          <w:t>Interpretation Act 1984</w:t>
        </w:r>
        <w:r>
          <w:rPr>
            <w:snapToGrid w:val="0"/>
          </w:rPr>
          <w:t>, if, in respect of a year of the term of his licence that has elapsed prior to the commencement of this section, a licensee has not complied with section 57(1) or (2) of the principal Act, the licensee is not required after that commencement to comply with that section in respect of that year and section 57(3) of the principal Act does not apply to or in relation to such a non</w:t>
        </w:r>
        <w:r>
          <w:rPr>
            <w:snapToGrid w:val="0"/>
          </w:rPr>
          <w:noBreakHyphen/>
          <w:t>compliance.</w:t>
        </w:r>
      </w:ins>
    </w:p>
    <w:p>
      <w:pPr>
        <w:pStyle w:val="nzSubsection"/>
        <w:rPr>
          <w:ins w:id="3537" w:author="svcMRProcess" w:date="2020-02-19T21:14:00Z"/>
          <w:snapToGrid w:val="0"/>
        </w:rPr>
      </w:pPr>
      <w:ins w:id="3538" w:author="svcMRProcess" w:date="2020-02-19T21:14:00Z">
        <w:r>
          <w:rPr>
            <w:snapToGrid w:val="0"/>
          </w:rPr>
          <w:tab/>
          <w:t>(3)</w:t>
        </w:r>
        <w:r>
          <w:rPr>
            <w:snapToGrid w:val="0"/>
          </w:rPr>
          <w:tab/>
          <w:t>in subsection (2) — </w:t>
        </w:r>
      </w:ins>
    </w:p>
    <w:p>
      <w:pPr>
        <w:pStyle w:val="nzDefstart"/>
        <w:rPr>
          <w:ins w:id="3539" w:author="svcMRProcess" w:date="2020-02-19T21:14:00Z"/>
        </w:rPr>
      </w:pPr>
      <w:ins w:id="3540" w:author="svcMRProcess" w:date="2020-02-19T21:14:00Z">
        <w:r>
          <w:rPr>
            <w:b/>
          </w:rPr>
          <w:tab/>
          <w:t>“licence”</w:t>
        </w:r>
        <w:r>
          <w:t xml:space="preserve"> and </w:t>
        </w:r>
        <w:r>
          <w:rPr>
            <w:b/>
          </w:rPr>
          <w:t>“licensee”</w:t>
        </w:r>
        <w:r>
          <w:t xml:space="preserve"> have the respective meanings given by the principal Act.</w:t>
        </w:r>
      </w:ins>
    </w:p>
    <w:p>
      <w:pPr>
        <w:pStyle w:val="MiscClose"/>
        <w:rPr>
          <w:ins w:id="3541" w:author="svcMRProcess" w:date="2020-02-19T21:14:00Z"/>
          <w:sz w:val="20"/>
        </w:rPr>
      </w:pPr>
      <w:ins w:id="3542" w:author="svcMRProcess" w:date="2020-02-19T21:14:00Z">
        <w:r>
          <w:rPr>
            <w:sz w:val="20"/>
          </w:rPr>
          <w:t>”.</w:t>
        </w:r>
      </w:ins>
    </w:p>
    <w:p>
      <w:pPr>
        <w:pStyle w:val="nSubsection"/>
        <w:rPr>
          <w:ins w:id="3543" w:author="svcMRProcess" w:date="2020-02-19T21:14:00Z"/>
          <w:snapToGrid w:val="0"/>
        </w:rPr>
      </w:pPr>
      <w:ins w:id="3544" w:author="svcMRProcess" w:date="2020-02-19T21:14:00Z">
        <w:r>
          <w:rPr>
            <w:snapToGrid w:val="0"/>
            <w:vertAlign w:val="superscript"/>
          </w:rPr>
          <w:t>6</w:t>
        </w:r>
        <w:r>
          <w:rPr>
            <w:snapToGrid w:val="0"/>
          </w:rPr>
          <w:tab/>
          <w:t xml:space="preserve">See the </w:t>
        </w:r>
        <w:r>
          <w:rPr>
            <w:i/>
            <w:snapToGrid w:val="0"/>
          </w:rPr>
          <w:t>Gas Pipelines Access (Western Australia) Act 1998</w:t>
        </w:r>
        <w:r>
          <w:rPr>
            <w:snapToGrid w:val="0"/>
          </w:rPr>
          <w:t xml:space="preserve"> (No. 65 of 1998), section 9.</w:t>
        </w:r>
      </w:ins>
    </w:p>
    <w:p>
      <w:pPr>
        <w:pStyle w:val="nSubsection"/>
        <w:rPr>
          <w:ins w:id="3545" w:author="svcMRProcess" w:date="2020-02-19T21:14:00Z"/>
          <w:snapToGrid w:val="0"/>
        </w:rPr>
      </w:pPr>
      <w:ins w:id="3546" w:author="svcMRProcess" w:date="2020-02-19T21:14:00Z">
        <w:r>
          <w:rPr>
            <w:snapToGrid w:val="0"/>
            <w:vertAlign w:val="superscript"/>
          </w:rPr>
          <w:t>7</w:t>
        </w:r>
        <w:r>
          <w:rPr>
            <w:snapToGrid w:val="0"/>
          </w:rPr>
          <w:tab/>
          <w:t xml:space="preserve">Section 201(2), (3) and (4) of the </w:t>
        </w:r>
        <w:r>
          <w:rPr>
            <w:i/>
            <w:snapToGrid w:val="0"/>
          </w:rPr>
          <w:t>Acts Amendment (Petroleum) Act 1990</w:t>
        </w:r>
        <w:r>
          <w:rPr>
            <w:snapToGrid w:val="0"/>
          </w:rPr>
          <w:t xml:space="preserve"> (No. 12 of 1990) reads — </w:t>
        </w:r>
      </w:ins>
    </w:p>
    <w:p>
      <w:pPr>
        <w:pStyle w:val="MiscOpen"/>
        <w:rPr>
          <w:ins w:id="3547" w:author="svcMRProcess" w:date="2020-02-19T21:14:00Z"/>
          <w:snapToGrid w:val="0"/>
          <w:sz w:val="20"/>
        </w:rPr>
      </w:pPr>
      <w:ins w:id="3548" w:author="svcMRProcess" w:date="2020-02-19T21:14:00Z">
        <w:r>
          <w:rPr>
            <w:snapToGrid w:val="0"/>
            <w:sz w:val="20"/>
          </w:rPr>
          <w:t>“</w:t>
        </w:r>
      </w:ins>
    </w:p>
    <w:p>
      <w:pPr>
        <w:pStyle w:val="nzSubsection"/>
        <w:spacing w:before="0"/>
        <w:rPr>
          <w:ins w:id="3549" w:author="svcMRProcess" w:date="2020-02-19T21:14:00Z"/>
          <w:snapToGrid w:val="0"/>
        </w:rPr>
      </w:pPr>
      <w:ins w:id="3550" w:author="svcMRProcess" w:date="2020-02-19T21:14:00Z">
        <w:r>
          <w:rPr>
            <w:snapToGrid w:val="0"/>
          </w:rPr>
          <w:tab/>
          <w:t>(2)</w:t>
        </w:r>
        <w:r>
          <w:rPr>
            <w:snapToGrid w:val="0"/>
          </w:rPr>
          <w:tab/>
          <w:t>Section 78 of the principal Act as amended by this Act applies in relation to applications for approval of transfers of permits, licences, pipeline licences or access authorities lodged after the commencement of this section.</w:t>
        </w:r>
      </w:ins>
    </w:p>
    <w:p>
      <w:pPr>
        <w:pStyle w:val="nzSubsection"/>
        <w:rPr>
          <w:ins w:id="3551" w:author="svcMRProcess" w:date="2020-02-19T21:14:00Z"/>
          <w:snapToGrid w:val="0"/>
        </w:rPr>
      </w:pPr>
      <w:ins w:id="3552" w:author="svcMRProcess" w:date="2020-02-19T21:14:00Z">
        <w:r>
          <w:rPr>
            <w:snapToGrid w:val="0"/>
          </w:rPr>
          <w:tab/>
          <w:t>(3)</w:t>
        </w:r>
        <w:r>
          <w:rPr>
            <w:snapToGrid w:val="0"/>
          </w:rPr>
          <w:tab/>
          <w:t>Notwithstanding the repeal of section 78 of the principal Act effected by subsection (1), that section continues to apply in relation to applications for approval of transfers of permits, licences, pipeline licences or access authorities lodged before the commencement of this section.</w:t>
        </w:r>
      </w:ins>
    </w:p>
    <w:p>
      <w:pPr>
        <w:pStyle w:val="nzSubsection"/>
        <w:rPr>
          <w:ins w:id="3553" w:author="svcMRProcess" w:date="2020-02-19T21:14:00Z"/>
          <w:snapToGrid w:val="0"/>
        </w:rPr>
      </w:pPr>
      <w:ins w:id="3554" w:author="svcMRProcess" w:date="2020-02-19T21:14:00Z">
        <w:r>
          <w:rPr>
            <w:snapToGrid w:val="0"/>
          </w:rPr>
          <w:tab/>
          <w:t>(4)</w:t>
        </w:r>
        <w:r>
          <w:rPr>
            <w:snapToGrid w:val="0"/>
          </w:rPr>
          <w:tab/>
          <w:t>A transfer approved and registered under section 78 of the principal Act shall be deemed to have been approved and registered under section 78 of the principal Act as amended by this Act.</w:t>
        </w:r>
      </w:ins>
    </w:p>
    <w:p>
      <w:pPr>
        <w:pStyle w:val="MiscClose"/>
        <w:rPr>
          <w:ins w:id="3555" w:author="svcMRProcess" w:date="2020-02-19T21:14:00Z"/>
          <w:snapToGrid w:val="0"/>
          <w:sz w:val="20"/>
        </w:rPr>
      </w:pPr>
      <w:ins w:id="3556" w:author="svcMRProcess" w:date="2020-02-19T21:14:00Z">
        <w:r>
          <w:rPr>
            <w:snapToGrid w:val="0"/>
            <w:sz w:val="20"/>
          </w:rPr>
          <w:t>”.</w:t>
        </w:r>
      </w:ins>
    </w:p>
    <w:p>
      <w:pPr>
        <w:pStyle w:val="nSubsection"/>
        <w:rPr>
          <w:ins w:id="3557" w:author="svcMRProcess" w:date="2020-02-19T21:14:00Z"/>
        </w:rPr>
      </w:pPr>
      <w:ins w:id="3558" w:author="svcMRProcess" w:date="2020-02-19T21:14:00Z">
        <w:r>
          <w:rPr>
            <w:vertAlign w:val="superscript"/>
          </w:rPr>
          <w:t>8</w:t>
        </w:r>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 92 was repealed by the </w:t>
        </w:r>
        <w:r>
          <w:rPr>
            <w:i/>
            <w:iCs/>
            <w:snapToGrid w:val="0"/>
            <w:lang w:val="en-US"/>
          </w:rPr>
          <w:t>Petroleum Legislation Amendment and Repeal Act 2005</w:t>
        </w:r>
        <w:r>
          <w:rPr>
            <w:snapToGrid w:val="0"/>
            <w:lang w:val="en-US"/>
          </w:rPr>
          <w:t xml:space="preserve"> s. 51 before the amendment purported to come into operation.</w:t>
        </w:r>
      </w:ins>
    </w:p>
    <w:p>
      <w:pPr>
        <w:pStyle w:val="nSubsection"/>
        <w:keepNext/>
        <w:rPr>
          <w:ins w:id="3559" w:author="svcMRProcess" w:date="2020-02-19T21:14:00Z"/>
          <w:snapToGrid w:val="0"/>
        </w:rPr>
      </w:pPr>
      <w:ins w:id="3560" w:author="svcMRProcess" w:date="2020-02-19T21:14:00Z">
        <w:r>
          <w:rPr>
            <w:snapToGrid w:val="0"/>
            <w:vertAlign w:val="superscript"/>
          </w:rPr>
          <w:t>9</w:t>
        </w:r>
        <w:r>
          <w:rPr>
            <w:snapToGrid w:val="0"/>
          </w:rPr>
          <w:tab/>
          <w:t xml:space="preserve">Section 203(2), (3), (4), (5), (6) and (7) of the </w:t>
        </w:r>
        <w:r>
          <w:rPr>
            <w:i/>
            <w:snapToGrid w:val="0"/>
          </w:rPr>
          <w:t>Acts Amendment (Petroleum) Act 1990</w:t>
        </w:r>
        <w:r>
          <w:rPr>
            <w:snapToGrid w:val="0"/>
          </w:rPr>
          <w:t xml:space="preserve"> (No. 12 of 1990) reads —</w:t>
        </w:r>
      </w:ins>
    </w:p>
    <w:p>
      <w:pPr>
        <w:pStyle w:val="MiscOpen"/>
        <w:rPr>
          <w:ins w:id="3561" w:author="svcMRProcess" w:date="2020-02-19T21:14:00Z"/>
          <w:snapToGrid w:val="0"/>
          <w:sz w:val="20"/>
        </w:rPr>
      </w:pPr>
      <w:ins w:id="3562" w:author="svcMRProcess" w:date="2020-02-19T21:14:00Z">
        <w:r>
          <w:rPr>
            <w:snapToGrid w:val="0"/>
            <w:sz w:val="20"/>
          </w:rPr>
          <w:t>“</w:t>
        </w:r>
      </w:ins>
    </w:p>
    <w:p>
      <w:pPr>
        <w:pStyle w:val="nzSubsection"/>
        <w:spacing w:before="0"/>
        <w:rPr>
          <w:ins w:id="3563" w:author="svcMRProcess" w:date="2020-02-19T21:14:00Z"/>
          <w:snapToGrid w:val="0"/>
        </w:rPr>
      </w:pPr>
      <w:ins w:id="3564" w:author="svcMRProcess" w:date="2020-02-19T21:14:00Z">
        <w:r>
          <w:rPr>
            <w:snapToGrid w:val="0"/>
          </w:rPr>
          <w:tab/>
          <w:t>(2)</w:t>
        </w:r>
        <w:r>
          <w:rPr>
            <w:snapToGrid w:val="0"/>
          </w:rPr>
          <w:tab/>
          <w:t>Subject to this section, sections 81 and 81A of the principal Act as amended by this Act apply in relation to dealings evidenced by instruments executed after the commencement of this section.</w:t>
        </w:r>
      </w:ins>
    </w:p>
    <w:p>
      <w:pPr>
        <w:pStyle w:val="nzSubsection"/>
        <w:rPr>
          <w:ins w:id="3565" w:author="svcMRProcess" w:date="2020-02-19T21:14:00Z"/>
          <w:snapToGrid w:val="0"/>
        </w:rPr>
      </w:pPr>
      <w:ins w:id="3566" w:author="svcMRProcess" w:date="2020-02-19T21:14:00Z">
        <w:r>
          <w:rPr>
            <w:snapToGrid w:val="0"/>
          </w:rPr>
          <w:tab/>
          <w:t>(3)</w:t>
        </w:r>
        <w:r>
          <w:rPr>
            <w:snapToGrid w:val="0"/>
          </w:rPr>
          <w:tab/>
          <w:t>A party to an instrument to which section 81 of the principal Act applied, being an instrument that had not been approved under that section of that Act, may, if the instrument evidences a dealing — </w:t>
        </w:r>
      </w:ins>
    </w:p>
    <w:p>
      <w:pPr>
        <w:pStyle w:val="nzIndenta"/>
        <w:rPr>
          <w:ins w:id="3567" w:author="svcMRProcess" w:date="2020-02-19T21:14:00Z"/>
          <w:snapToGrid w:val="0"/>
        </w:rPr>
      </w:pPr>
      <w:ins w:id="3568" w:author="svcMRProcess" w:date="2020-02-19T21:14:00Z">
        <w:r>
          <w:rPr>
            <w:snapToGrid w:val="0"/>
          </w:rPr>
          <w:tab/>
          <w:t>(a)</w:t>
        </w:r>
        <w:r>
          <w:rPr>
            <w:snapToGrid w:val="0"/>
          </w:rPr>
          <w:tab/>
          <w:t>to which section 81 of the principal Act as amended by this Act would, if the instrument had been executed after the commencement of this section, apply; and</w:t>
        </w:r>
      </w:ins>
    </w:p>
    <w:p>
      <w:pPr>
        <w:pStyle w:val="nzIndenta"/>
        <w:rPr>
          <w:ins w:id="3569" w:author="svcMRProcess" w:date="2020-02-19T21:14:00Z"/>
          <w:snapToGrid w:val="0"/>
        </w:rPr>
      </w:pPr>
      <w:ins w:id="3570" w:author="svcMRProcess" w:date="2020-02-19T21:14:00Z">
        <w:r>
          <w:rPr>
            <w:snapToGrid w:val="0"/>
          </w:rPr>
          <w:tab/>
          <w:t>(b)</w:t>
        </w:r>
        <w:r>
          <w:rPr>
            <w:snapToGrid w:val="0"/>
          </w:rPr>
          <w:tab/>
          <w:t>that relates to a permit, licence, pipeline licence or access authority that was in existence at the time of execution of the instrument,</w:t>
        </w:r>
      </w:ins>
    </w:p>
    <w:p>
      <w:pPr>
        <w:pStyle w:val="nzSubsection"/>
        <w:rPr>
          <w:ins w:id="3571" w:author="svcMRProcess" w:date="2020-02-19T21:14:00Z"/>
          <w:snapToGrid w:val="0"/>
        </w:rPr>
      </w:pPr>
      <w:ins w:id="3572" w:author="svcMRProcess" w:date="2020-02-19T21:14:00Z">
        <w:r>
          <w:rPr>
            <w:snapToGrid w:val="0"/>
          </w:rPr>
          <w:tab/>
        </w:r>
        <w:r>
          <w:rPr>
            <w:snapToGrid w:val="0"/>
          </w:rPr>
          <w:tab/>
          <w:t>make an application in writing, within 12 months after the commencement of this section, to the Minister for approval of the dealing.</w:t>
        </w:r>
      </w:ins>
    </w:p>
    <w:p>
      <w:pPr>
        <w:pStyle w:val="nzSubsection"/>
        <w:rPr>
          <w:ins w:id="3573" w:author="svcMRProcess" w:date="2020-02-19T21:14:00Z"/>
          <w:snapToGrid w:val="0"/>
        </w:rPr>
      </w:pPr>
      <w:ins w:id="3574" w:author="svcMRProcess" w:date="2020-02-19T21:14:00Z">
        <w:r>
          <w:rPr>
            <w:snapToGrid w:val="0"/>
          </w:rPr>
          <w:tab/>
          <w:t>(4)</w:t>
        </w:r>
        <w:r>
          <w:rPr>
            <w:snapToGrid w:val="0"/>
          </w:rPr>
          <w:tab/>
          <w:t>Where — </w:t>
        </w:r>
      </w:ins>
    </w:p>
    <w:p>
      <w:pPr>
        <w:pStyle w:val="nzIndenta"/>
        <w:rPr>
          <w:ins w:id="3575" w:author="svcMRProcess" w:date="2020-02-19T21:14:00Z"/>
          <w:snapToGrid w:val="0"/>
        </w:rPr>
      </w:pPr>
      <w:ins w:id="3576" w:author="svcMRProcess" w:date="2020-02-19T21:14:00Z">
        <w:r>
          <w:rPr>
            <w:snapToGrid w:val="0"/>
          </w:rPr>
          <w:tab/>
          <w:t>(a)</w:t>
        </w:r>
        <w:r>
          <w:rPr>
            <w:snapToGrid w:val="0"/>
          </w:rPr>
          <w:tab/>
          <w:t>before the commencement of this section, 2 or more persons entered into a dealing relating to a permit, licence, pipeline licence or access authority that was not in existence at the time of execution of the instrument evidencing the dealing;</w:t>
        </w:r>
      </w:ins>
    </w:p>
    <w:p>
      <w:pPr>
        <w:pStyle w:val="nzIndenta"/>
        <w:rPr>
          <w:ins w:id="3577" w:author="svcMRProcess" w:date="2020-02-19T21:14:00Z"/>
          <w:snapToGrid w:val="0"/>
        </w:rPr>
      </w:pPr>
      <w:ins w:id="3578" w:author="svcMRProcess" w:date="2020-02-19T21:14:00Z">
        <w:r>
          <w:rPr>
            <w:snapToGrid w:val="0"/>
          </w:rPr>
          <w:tab/>
          <w:t>(b)</w:t>
        </w:r>
        <w:r>
          <w:rPr>
            <w:snapToGrid w:val="0"/>
          </w:rPr>
          <w:tab/>
          <w:t>that dealing would, if the instrument evidencing the dealing had been executed after the commencement of this section, be a dealing referred to in section 81A(1) of the principal Act as amended by this Act; and</w:t>
        </w:r>
      </w:ins>
    </w:p>
    <w:p>
      <w:pPr>
        <w:pStyle w:val="nzIndenta"/>
        <w:rPr>
          <w:ins w:id="3579" w:author="svcMRProcess" w:date="2020-02-19T21:14:00Z"/>
          <w:snapToGrid w:val="0"/>
        </w:rPr>
      </w:pPr>
      <w:ins w:id="3580" w:author="svcMRProcess" w:date="2020-02-19T21:14:00Z">
        <w:r>
          <w:rPr>
            <w:snapToGrid w:val="0"/>
          </w:rPr>
          <w:tab/>
          <w:t>(c)</w:t>
        </w:r>
        <w:r>
          <w:rPr>
            <w:snapToGrid w:val="0"/>
          </w:rPr>
          <w:tab/>
          <w:t>that permit, licence, pipeline licence or access authority has come, or comes, into existence,</w:t>
        </w:r>
      </w:ins>
    </w:p>
    <w:p>
      <w:pPr>
        <w:pStyle w:val="nzSubsection"/>
        <w:rPr>
          <w:ins w:id="3581" w:author="svcMRProcess" w:date="2020-02-19T21:14:00Z"/>
          <w:snapToGrid w:val="0"/>
        </w:rPr>
      </w:pPr>
      <w:ins w:id="3582" w:author="svcMRProcess" w:date="2020-02-19T21:14:00Z">
        <w:r>
          <w:rPr>
            <w:snapToGrid w:val="0"/>
          </w:rPr>
          <w:tab/>
        </w:r>
        <w:r>
          <w:rPr>
            <w:snapToGrid w:val="0"/>
          </w:rPr>
          <w:tab/>
          <w:t>a party to the dealing may make an application in writing within — </w:t>
        </w:r>
      </w:ins>
    </w:p>
    <w:p>
      <w:pPr>
        <w:pStyle w:val="nzIndenta"/>
        <w:rPr>
          <w:ins w:id="3583" w:author="svcMRProcess" w:date="2020-02-19T21:14:00Z"/>
          <w:snapToGrid w:val="0"/>
        </w:rPr>
      </w:pPr>
      <w:ins w:id="3584" w:author="svcMRProcess" w:date="2020-02-19T21:14:00Z">
        <w:r>
          <w:rPr>
            <w:snapToGrid w:val="0"/>
          </w:rPr>
          <w:tab/>
          <w:t>(d)</w:t>
        </w:r>
        <w:r>
          <w:rPr>
            <w:snapToGrid w:val="0"/>
          </w:rPr>
          <w:tab/>
          <w:t>in a case where that permit, licence, pipeline licence or access authority came into existence before the commencement of this section, 12 months after that commencement; or</w:t>
        </w:r>
      </w:ins>
    </w:p>
    <w:p>
      <w:pPr>
        <w:pStyle w:val="nzIndenta"/>
        <w:rPr>
          <w:ins w:id="3585" w:author="svcMRProcess" w:date="2020-02-19T21:14:00Z"/>
          <w:snapToGrid w:val="0"/>
        </w:rPr>
      </w:pPr>
      <w:ins w:id="3586" w:author="svcMRProcess" w:date="2020-02-19T21:14:00Z">
        <w:r>
          <w:rPr>
            <w:snapToGrid w:val="0"/>
          </w:rPr>
          <w:tab/>
          <w:t>(e)</w:t>
        </w:r>
        <w:r>
          <w:rPr>
            <w:snapToGrid w:val="0"/>
          </w:rPr>
          <w:tab/>
          <w:t>in any other case, 3 months after that permit, licence, pipeline licence or access authority comes into existence,</w:t>
        </w:r>
      </w:ins>
    </w:p>
    <w:p>
      <w:pPr>
        <w:pStyle w:val="nzSubsection"/>
        <w:rPr>
          <w:ins w:id="3587" w:author="svcMRProcess" w:date="2020-02-19T21:14:00Z"/>
          <w:snapToGrid w:val="0"/>
        </w:rPr>
      </w:pPr>
      <w:ins w:id="3588" w:author="svcMRProcess" w:date="2020-02-19T21:14:00Z">
        <w:r>
          <w:rPr>
            <w:snapToGrid w:val="0"/>
          </w:rPr>
          <w:tab/>
        </w:r>
        <w:r>
          <w:rPr>
            <w:snapToGrid w:val="0"/>
          </w:rPr>
          <w:tab/>
          <w:t>to the Minister for approval of the dealing.</w:t>
        </w:r>
      </w:ins>
    </w:p>
    <w:p>
      <w:pPr>
        <w:pStyle w:val="nzSubsection"/>
        <w:rPr>
          <w:ins w:id="3589" w:author="svcMRProcess" w:date="2020-02-19T21:14:00Z"/>
          <w:snapToGrid w:val="0"/>
        </w:rPr>
      </w:pPr>
      <w:ins w:id="3590" w:author="svcMRProcess" w:date="2020-02-19T21:14:00Z">
        <w:r>
          <w:rPr>
            <w:snapToGrid w:val="0"/>
          </w:rPr>
          <w:tab/>
          <w:t>(5)</w:t>
        </w:r>
        <w:r>
          <w:rPr>
            <w:snapToGrid w:val="0"/>
          </w:rPr>
          <w:tab/>
          <w:t>Section 81 of the principal Act as amended by this Act (other than subsections (5) and (6) of that section) applies to a dealing in respect of which an application is made under subsection (3) or (4) of this section.</w:t>
        </w:r>
      </w:ins>
    </w:p>
    <w:p>
      <w:pPr>
        <w:pStyle w:val="nzSubsection"/>
        <w:rPr>
          <w:ins w:id="3591" w:author="svcMRProcess" w:date="2020-02-19T21:14:00Z"/>
          <w:snapToGrid w:val="0"/>
        </w:rPr>
      </w:pPr>
      <w:ins w:id="3592" w:author="svcMRProcess" w:date="2020-02-19T21:14:00Z">
        <w:r>
          <w:rPr>
            <w:snapToGrid w:val="0"/>
          </w:rPr>
          <w:tab/>
          <w:t>(6)</w:t>
        </w:r>
        <w:r>
          <w:rPr>
            <w:snapToGrid w:val="0"/>
          </w:rPr>
          <w:tab/>
          <w:t>If, when the first regulations made for the purposes of section 81(4)(b) of the principal Act as amended by this Act take effect, an application for approval of a dealing has been made but the Minister has neither approved nor refused to approve the dealing — </w:t>
        </w:r>
      </w:ins>
    </w:p>
    <w:p>
      <w:pPr>
        <w:pStyle w:val="nzIndenta"/>
        <w:rPr>
          <w:ins w:id="3593" w:author="svcMRProcess" w:date="2020-02-19T21:14:00Z"/>
          <w:snapToGrid w:val="0"/>
        </w:rPr>
      </w:pPr>
      <w:ins w:id="3594" w:author="svcMRProcess" w:date="2020-02-19T21:14:00Z">
        <w:r>
          <w:rPr>
            <w:snapToGrid w:val="0"/>
          </w:rPr>
          <w:tab/>
          <w:t>(a)</w:t>
        </w:r>
        <w:r>
          <w:rPr>
            <w:snapToGrid w:val="0"/>
          </w:rPr>
          <w:tab/>
          <w:t>the Minister shall give to the applicant written notice that the applicant is entitled to lodge an instrument for the purpose of section 81(4)(b) of the principal Act in relation to the application;</w:t>
        </w:r>
      </w:ins>
    </w:p>
    <w:p>
      <w:pPr>
        <w:pStyle w:val="nzIndenta"/>
        <w:rPr>
          <w:ins w:id="3595" w:author="svcMRProcess" w:date="2020-02-19T21:14:00Z"/>
          <w:snapToGrid w:val="0"/>
        </w:rPr>
      </w:pPr>
      <w:ins w:id="3596" w:author="svcMRProcess" w:date="2020-02-19T21:14:00Z">
        <w:r>
          <w:rPr>
            <w:snapToGrid w:val="0"/>
          </w:rPr>
          <w:tab/>
          <w:t>(b)</w:t>
        </w:r>
        <w:r>
          <w:rPr>
            <w:snapToGrid w:val="0"/>
          </w:rPr>
          <w:tab/>
          <w:t>the applicant may lodge an instrument for the purpose of section 81(4)(b) of the principal Act;</w:t>
        </w:r>
      </w:ins>
    </w:p>
    <w:p>
      <w:pPr>
        <w:pStyle w:val="nzIndenta"/>
        <w:rPr>
          <w:ins w:id="3597" w:author="svcMRProcess" w:date="2020-02-19T21:14:00Z"/>
          <w:snapToGrid w:val="0"/>
        </w:rPr>
      </w:pPr>
      <w:ins w:id="3598" w:author="svcMRProcess" w:date="2020-02-19T21:14:00Z">
        <w:r>
          <w:rPr>
            <w:snapToGrid w:val="0"/>
          </w:rPr>
          <w:tab/>
          <w:t>(c)</w:t>
        </w:r>
        <w:r>
          <w:rPr>
            <w:snapToGrid w:val="0"/>
          </w:rPr>
          <w:tab/>
          <w:t>the application shall not be dealt with by the Minister until after the end of 30 days after the day on which notice is given for the purpose of paragraph (a); and</w:t>
        </w:r>
      </w:ins>
    </w:p>
    <w:p>
      <w:pPr>
        <w:pStyle w:val="nzIndenta"/>
        <w:rPr>
          <w:ins w:id="3599" w:author="svcMRProcess" w:date="2020-02-19T21:14:00Z"/>
          <w:snapToGrid w:val="0"/>
        </w:rPr>
      </w:pPr>
      <w:ins w:id="3600" w:author="svcMRProcess" w:date="2020-02-19T21:14:00Z">
        <w:r>
          <w:rPr>
            <w:snapToGrid w:val="0"/>
          </w:rPr>
          <w:tab/>
          <w:t>(d)</w:t>
        </w:r>
        <w:r>
          <w:rPr>
            <w:snapToGrid w:val="0"/>
          </w:rPr>
          <w:tab/>
          <w:t>where the applicant lodges an instrument under paragraph (b), the applicant shall lodge with the instrument 2 copies of the instrument.</w:t>
        </w:r>
      </w:ins>
    </w:p>
    <w:p>
      <w:pPr>
        <w:pStyle w:val="nzSubsection"/>
        <w:rPr>
          <w:ins w:id="3601" w:author="svcMRProcess" w:date="2020-02-19T21:14:00Z"/>
          <w:snapToGrid w:val="0"/>
        </w:rPr>
      </w:pPr>
      <w:ins w:id="3602" w:author="svcMRProcess" w:date="2020-02-19T21:14:00Z">
        <w:r>
          <w:rPr>
            <w:snapToGrid w:val="0"/>
          </w:rPr>
          <w:tab/>
          <w:t>(7)</w:t>
        </w:r>
        <w:r>
          <w:rPr>
            <w:snapToGrid w:val="0"/>
          </w:rPr>
          <w:tab/>
          <w:t>An instrument lodged under subsection (6) shall be taken, for the purposes of section 81(13) of the principal Act as amended by this Act, to have accompanied the application when the application was lodged.</w:t>
        </w:r>
      </w:ins>
    </w:p>
    <w:p>
      <w:pPr>
        <w:pStyle w:val="MiscClose"/>
        <w:rPr>
          <w:ins w:id="3603" w:author="svcMRProcess" w:date="2020-02-19T21:14:00Z"/>
          <w:snapToGrid w:val="0"/>
          <w:sz w:val="20"/>
        </w:rPr>
      </w:pPr>
      <w:ins w:id="3604" w:author="svcMRProcess" w:date="2020-02-19T21:14:00Z">
        <w:r>
          <w:rPr>
            <w:snapToGrid w:val="0"/>
            <w:sz w:val="20"/>
          </w:rPr>
          <w:t>”.</w:t>
        </w:r>
      </w:ins>
    </w:p>
    <w:p>
      <w:pPr>
        <w:pStyle w:val="nSubsection"/>
        <w:rPr>
          <w:ins w:id="3605" w:author="svcMRProcess" w:date="2020-02-19T21:14:00Z"/>
          <w:snapToGrid w:val="0"/>
        </w:rPr>
      </w:pPr>
      <w:ins w:id="3606" w:author="svcMRProcess" w:date="2020-02-19T21:14:00Z">
        <w:r>
          <w:rPr>
            <w:snapToGrid w:val="0"/>
            <w:vertAlign w:val="superscript"/>
          </w:rPr>
          <w:t>10</w:t>
        </w:r>
        <w:r>
          <w:rPr>
            <w:snapToGrid w:val="0"/>
          </w:rPr>
          <w:tab/>
          <w:t xml:space="preserve">Repealed by the </w:t>
        </w:r>
        <w:r>
          <w:rPr>
            <w:i/>
            <w:snapToGrid w:val="0"/>
          </w:rPr>
          <w:t>Off-shore (Application of Laws) Act 1982</w:t>
        </w:r>
        <w:r>
          <w:rPr>
            <w:snapToGrid w:val="0"/>
          </w:rPr>
          <w:t xml:space="preserve"> (No. 21 of 1982), section 5.</w:t>
        </w:r>
      </w:ins>
    </w:p>
    <w:p>
      <w:pPr>
        <w:pStyle w:val="nSubsection"/>
        <w:rPr>
          <w:ins w:id="3607" w:author="svcMRProcess" w:date="2020-02-19T21:14:00Z"/>
          <w:snapToGrid w:val="0"/>
        </w:rPr>
      </w:pPr>
      <w:ins w:id="3608" w:author="svcMRProcess" w:date="2020-02-19T21:14:00Z">
        <w:r>
          <w:rPr>
            <w:snapToGrid w:val="0"/>
            <w:vertAlign w:val="superscript"/>
          </w:rPr>
          <w:t>11</w:t>
        </w:r>
        <w:r>
          <w:rPr>
            <w:snapToGrid w:val="0"/>
          </w:rPr>
          <w:tab/>
          <w:t xml:space="preserve">Section 218(2) and (3) of the </w:t>
        </w:r>
        <w:r>
          <w:rPr>
            <w:i/>
            <w:snapToGrid w:val="0"/>
          </w:rPr>
          <w:t>Acts Amendment (Petroleum) Act 1990</w:t>
        </w:r>
        <w:r>
          <w:rPr>
            <w:snapToGrid w:val="0"/>
          </w:rPr>
          <w:t xml:space="preserve"> (No. 12 of 1990) reads — </w:t>
        </w:r>
      </w:ins>
    </w:p>
    <w:p>
      <w:pPr>
        <w:pStyle w:val="MiscOpen"/>
        <w:rPr>
          <w:ins w:id="3609" w:author="svcMRProcess" w:date="2020-02-19T21:14:00Z"/>
          <w:snapToGrid w:val="0"/>
          <w:sz w:val="20"/>
        </w:rPr>
      </w:pPr>
      <w:ins w:id="3610" w:author="svcMRProcess" w:date="2020-02-19T21:14:00Z">
        <w:r>
          <w:rPr>
            <w:snapToGrid w:val="0"/>
            <w:sz w:val="20"/>
          </w:rPr>
          <w:t>“</w:t>
        </w:r>
      </w:ins>
    </w:p>
    <w:p>
      <w:pPr>
        <w:pStyle w:val="nzSubsection"/>
        <w:spacing w:before="0"/>
        <w:rPr>
          <w:ins w:id="3611" w:author="svcMRProcess" w:date="2020-02-19T21:14:00Z"/>
          <w:snapToGrid w:val="0"/>
        </w:rPr>
      </w:pPr>
      <w:ins w:id="3612" w:author="svcMRProcess" w:date="2020-02-19T21:14:00Z">
        <w:r>
          <w:rPr>
            <w:snapToGrid w:val="0"/>
          </w:rPr>
          <w:tab/>
          <w:t>(2)</w:t>
        </w:r>
        <w:r>
          <w:rPr>
            <w:snapToGrid w:val="0"/>
          </w:rPr>
          <w:tab/>
          <w:t>A direction in force under section 101 of the principal Act immediately before the commencement of this section shall, after that commencement, continue to apply to the person or persons to whom it applied before that commencement as if it were a direction under section 101 of the principal Act as amended by this Act.</w:t>
        </w:r>
      </w:ins>
    </w:p>
    <w:p>
      <w:pPr>
        <w:pStyle w:val="nzSubsection"/>
        <w:rPr>
          <w:ins w:id="3613" w:author="svcMRProcess" w:date="2020-02-19T21:14:00Z"/>
          <w:snapToGrid w:val="0"/>
        </w:rPr>
      </w:pPr>
      <w:ins w:id="3614" w:author="svcMRProcess" w:date="2020-02-19T21:14:00Z">
        <w:r>
          <w:rPr>
            <w:snapToGrid w:val="0"/>
          </w:rPr>
          <w:tab/>
          <w:t>(3)</w:t>
        </w:r>
        <w:r>
          <w:rPr>
            <w:snapToGrid w:val="0"/>
          </w:rPr>
          <w:tab/>
          <w:t>A registered holder is not required by subsection 101(2a)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ins>
    </w:p>
    <w:p>
      <w:pPr>
        <w:pStyle w:val="MiscClose"/>
        <w:rPr>
          <w:ins w:id="3615" w:author="svcMRProcess" w:date="2020-02-19T21:14:00Z"/>
          <w:snapToGrid w:val="0"/>
          <w:sz w:val="20"/>
        </w:rPr>
      </w:pPr>
      <w:ins w:id="3616" w:author="svcMRProcess" w:date="2020-02-19T21:14:00Z">
        <w:r>
          <w:rPr>
            <w:snapToGrid w:val="0"/>
            <w:sz w:val="20"/>
          </w:rPr>
          <w:t>”.</w:t>
        </w:r>
      </w:ins>
    </w:p>
    <w:p>
      <w:pPr>
        <w:pStyle w:val="nSubsection"/>
        <w:rPr>
          <w:ins w:id="3617" w:author="svcMRProcess" w:date="2020-02-19T21:14:00Z"/>
          <w:snapToGrid w:val="0"/>
        </w:rPr>
      </w:pPr>
      <w:ins w:id="3618" w:author="svcMRProcess" w:date="2020-02-19T21:14:00Z">
        <w:r>
          <w:rPr>
            <w:snapToGrid w:val="0"/>
            <w:vertAlign w:val="superscript"/>
          </w:rPr>
          <w:t>12</w:t>
        </w:r>
        <w:r>
          <w:rPr>
            <w:snapToGrid w:val="0"/>
          </w:rPr>
          <w:tab/>
          <w:t xml:space="preserve">Repealed by the </w:t>
        </w:r>
        <w:r>
          <w:rPr>
            <w:i/>
            <w:snapToGrid w:val="0"/>
          </w:rPr>
          <w:t>Petroleum Act 1967</w:t>
        </w:r>
        <w:r>
          <w:rPr>
            <w:snapToGrid w:val="0"/>
          </w:rPr>
          <w:t xml:space="preserve"> (No. 72 of 1967), section 3.</w:t>
        </w:r>
      </w:ins>
    </w:p>
    <w:p>
      <w:pPr>
        <w:pStyle w:val="nSubsection"/>
        <w:rPr>
          <w:ins w:id="3619" w:author="svcMRProcess" w:date="2020-02-19T21:14:00Z"/>
          <w:snapToGrid w:val="0"/>
        </w:rPr>
      </w:pPr>
      <w:ins w:id="3620" w:author="svcMRProcess" w:date="2020-02-19T21:14:00Z">
        <w:r>
          <w:rPr>
            <w:snapToGrid w:val="0"/>
            <w:vertAlign w:val="superscript"/>
          </w:rPr>
          <w:t>13</w:t>
        </w:r>
        <w:r>
          <w:rPr>
            <w:snapToGrid w:val="0"/>
          </w:rPr>
          <w:tab/>
          <w:t xml:space="preserve">Clause 5(2) of Part 4 of Schedule 1 of the </w:t>
        </w:r>
        <w:r>
          <w:rPr>
            <w:i/>
            <w:snapToGrid w:val="0"/>
          </w:rPr>
          <w:t>Land (Titles and Traditional Usage) Act 1993</w:t>
        </w:r>
        <w:r>
          <w:rPr>
            <w:snapToGrid w:val="0"/>
          </w:rPr>
          <w:t xml:space="preserve"> </w:t>
        </w:r>
        <w:r>
          <w:rPr>
            <w:i/>
            <w:snapToGrid w:val="0"/>
          </w:rPr>
          <w:t>(</w:t>
        </w:r>
        <w:r>
          <w:rPr>
            <w:snapToGrid w:val="0"/>
          </w:rPr>
          <w:t>No. 21 of 1993) reads as follows — </w:t>
        </w:r>
      </w:ins>
    </w:p>
    <w:p>
      <w:pPr>
        <w:pStyle w:val="MiscOpen"/>
        <w:rPr>
          <w:ins w:id="3621" w:author="svcMRProcess" w:date="2020-02-19T21:14:00Z"/>
          <w:snapToGrid w:val="0"/>
          <w:sz w:val="20"/>
        </w:rPr>
      </w:pPr>
      <w:ins w:id="3622" w:author="svcMRProcess" w:date="2020-02-19T21:14:00Z">
        <w:r>
          <w:rPr>
            <w:snapToGrid w:val="0"/>
            <w:sz w:val="20"/>
          </w:rPr>
          <w:t>“</w:t>
        </w:r>
      </w:ins>
    </w:p>
    <w:p>
      <w:pPr>
        <w:pStyle w:val="nzSubsection"/>
        <w:spacing w:before="0"/>
        <w:rPr>
          <w:ins w:id="3623" w:author="svcMRProcess" w:date="2020-02-19T21:14:00Z"/>
          <w:snapToGrid w:val="0"/>
        </w:rPr>
      </w:pPr>
      <w:ins w:id="3624" w:author="svcMRProcess" w:date="2020-02-19T21:14:00Z">
        <w:r>
          <w:rPr>
            <w:snapToGrid w:val="0"/>
          </w:rPr>
          <w:tab/>
          <w:t>(2)</w:t>
        </w:r>
        <w:r>
          <w:rPr>
            <w:snapToGrid w:val="0"/>
          </w:rPr>
          <w:tab/>
          <w:t>Division 4A inserted by subsection (1) does not apply to an application for approval lodged before the commencement of this section.</w:t>
        </w:r>
      </w:ins>
    </w:p>
    <w:p>
      <w:pPr>
        <w:pStyle w:val="MiscClose"/>
        <w:rPr>
          <w:ins w:id="3625" w:author="svcMRProcess" w:date="2020-02-19T21:14:00Z"/>
          <w:snapToGrid w:val="0"/>
          <w:sz w:val="20"/>
        </w:rPr>
      </w:pPr>
      <w:ins w:id="3626" w:author="svcMRProcess" w:date="2020-02-19T21:14:00Z">
        <w:r>
          <w:rPr>
            <w:snapToGrid w:val="0"/>
            <w:sz w:val="20"/>
          </w:rPr>
          <w:t>”.</w:t>
        </w:r>
      </w:ins>
    </w:p>
    <w:p>
      <w:pPr>
        <w:pStyle w:val="nSubsection"/>
        <w:rPr>
          <w:ins w:id="3627" w:author="svcMRProcess" w:date="2020-02-19T21:14:00Z"/>
        </w:rPr>
      </w:pPr>
      <w:ins w:id="3628" w:author="svcMRProcess" w:date="2020-02-19T21:14:00Z">
        <w:r>
          <w:rPr>
            <w:vertAlign w:val="superscript"/>
          </w:rPr>
          <w:t>14</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ins>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D0DE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75A941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474B3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374AD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AE6B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9F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9A6CB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D8C8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0CF6A"/>
    <w:lvl w:ilvl="0">
      <w:start w:val="1"/>
      <w:numFmt w:val="decimal"/>
      <w:pStyle w:val="ListNumber"/>
      <w:lvlText w:val="%1."/>
      <w:lvlJc w:val="left"/>
      <w:pPr>
        <w:tabs>
          <w:tab w:val="num" w:pos="360"/>
        </w:tabs>
        <w:ind w:left="360" w:hanging="360"/>
      </w:pPr>
    </w:lvl>
  </w:abstractNum>
  <w:abstractNum w:abstractNumId="9">
    <w:nsid w:val="FFFFFF89"/>
    <w:multiLevelType w:val="singleLevel"/>
    <w:tmpl w:val="3AA05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CFEA36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4736498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5C86FD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D9761E3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D6179FF"/>
    <w:multiLevelType w:val="hybridMultilevel"/>
    <w:tmpl w:val="1CBA8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29"/>
  </w:num>
  <w:num w:numId="3">
    <w:abstractNumId w:val="30"/>
  </w:num>
  <w:num w:numId="4">
    <w:abstractNumId w:val="27"/>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4914"/>
    <w:docVar w:name="WAFER_20151208154914" w:val="RemoveTrackChanges"/>
    <w:docVar w:name="WAFER_20151208154914_GUID" w:val="1b63c755-7d69-4784-8a0b-f1ba5350285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87443</Words>
  <Characters>416232</Characters>
  <Application>Microsoft Office Word</Application>
  <DocSecurity>0</DocSecurity>
  <Lines>10405</Lines>
  <Paragraphs>4986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498689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(Submerged Lands) Act 1982 02-f0-02 - 02-g0-04</dc:title>
  <dc:subject/>
  <dc:creator/>
  <cp:keywords/>
  <dc:description/>
  <cp:lastModifiedBy>svcMRProcess</cp:lastModifiedBy>
  <cp:revision>2</cp:revision>
  <cp:lastPrinted>1999-09-06T02:11:00Z</cp:lastPrinted>
  <dcterms:created xsi:type="dcterms:W3CDTF">2020-02-19T13:14:00Z</dcterms:created>
  <dcterms:modified xsi:type="dcterms:W3CDTF">2020-02-19T13:14:00Z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1982</vt:lpwstr>
  </property>
  <property fmtid="{D5CDD505-2E9C-101B-9397-08002B2CF9AE}" pid="3" name="CommencementDate">
    <vt:lpwstr>20070328</vt:lpwstr>
  </property>
  <property fmtid="{D5CDD505-2E9C-101B-9397-08002B2CF9AE}" pid="4" name="DocumentType">
    <vt:lpwstr>Act</vt:lpwstr>
  </property>
  <property fmtid="{D5CDD505-2E9C-101B-9397-08002B2CF9AE}" pid="5" name="OwlsUID">
    <vt:i4>602</vt:i4>
  </property>
  <property fmtid="{D5CDD505-2E9C-101B-9397-08002B2CF9AE}" pid="6" name="FromSuffix">
    <vt:lpwstr>02-f0-02</vt:lpwstr>
  </property>
  <property fmtid="{D5CDD505-2E9C-101B-9397-08002B2CF9AE}" pid="7" name="FromAsAtDate">
    <vt:lpwstr>01 Feb 2007</vt:lpwstr>
  </property>
  <property fmtid="{D5CDD505-2E9C-101B-9397-08002B2CF9AE}" pid="8" name="ToSuffix">
    <vt:lpwstr>02-g0-04</vt:lpwstr>
  </property>
  <property fmtid="{D5CDD505-2E9C-101B-9397-08002B2CF9AE}" pid="9" name="ToAsAtDate">
    <vt:lpwstr>28 Mar 2007</vt:lpwstr>
  </property>
</Properties>
</file>