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Silicon (Kemerton) Agreement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21 Jul 2006</w:t>
      </w:r>
      <w:r>
        <w:fldChar w:fldCharType="end"/>
      </w:r>
      <w:r>
        <w:t xml:space="preserve">, </w:t>
      </w:r>
      <w:r>
        <w:fldChar w:fldCharType="begin"/>
      </w:r>
      <w:r>
        <w:instrText xml:space="preserve"> DocProperty ToSuffix</w:instrText>
      </w:r>
      <w:r>
        <w:fldChar w:fldCharType="separate"/>
      </w:r>
      <w:r>
        <w:t>01-d0-05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after="600"/>
      </w:pPr>
      <w:r>
        <w:lastRenderedPageBreak/>
        <w:t>Western Australia</w:t>
      </w:r>
    </w:p>
    <w:p>
      <w:pPr>
        <w:pStyle w:val="NameofActReg"/>
        <w:spacing w:after="480"/>
      </w:pPr>
      <w:r>
        <w:t xml:space="preserve">Silicon (Kemerton) Agreement Act 1987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1" w:name="_Toc28059290"/>
      <w:bookmarkStart w:id="2" w:name="_Toc122775381"/>
      <w:bookmarkStart w:id="3" w:name="_Toc141160025"/>
      <w:bookmarkStart w:id="4" w:name="_Toc131414853"/>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Silicon </w:t>
      </w:r>
      <w:ins w:id="5" w:author="svcMRProcess" w:date="2020-02-18T13:17:00Z">
        <w:r>
          <w:rPr>
            <w:i/>
            <w:snapToGrid w:val="0"/>
          </w:rPr>
          <w:t>(</w:t>
        </w:r>
      </w:ins>
      <w:r>
        <w:rPr>
          <w:i/>
          <w:snapToGrid w:val="0"/>
        </w:rPr>
        <w:t>Kemerton</w:t>
      </w:r>
      <w:ins w:id="6" w:author="svcMRProcess" w:date="2020-02-18T13:17:00Z">
        <w:r>
          <w:rPr>
            <w:i/>
            <w:snapToGrid w:val="0"/>
          </w:rPr>
          <w:t>)</w:t>
        </w:r>
      </w:ins>
      <w:r>
        <w:rPr>
          <w:i/>
          <w:snapToGrid w:val="0"/>
        </w:rPr>
        <w:t xml:space="preserve"> Agreement Act 1987</w:t>
      </w:r>
      <w:r>
        <w:rPr>
          <w:snapToGrid w:val="0"/>
          <w:vertAlign w:val="superscript"/>
        </w:rPr>
        <w:t> 1</w:t>
      </w:r>
      <w:r>
        <w:rPr>
          <w:snapToGrid w:val="0"/>
        </w:rPr>
        <w:t>.</w:t>
      </w:r>
    </w:p>
    <w:p>
      <w:pPr>
        <w:pStyle w:val="Footnotesection"/>
      </w:pPr>
      <w:r>
        <w:tab/>
        <w:t>[Section 1 amended by No. 3 of 1988 s. </w:t>
      </w:r>
      <w:del w:id="7" w:author="svcMRProcess" w:date="2020-02-18T13:17:00Z">
        <w:r>
          <w:delText>4</w:delText>
        </w:r>
      </w:del>
      <w:ins w:id="8" w:author="svcMRProcess" w:date="2020-02-18T13:17:00Z">
        <w:r>
          <w:t>4; correction to reprint in Gazette 21 Jul 2006 p. 2652</w:t>
        </w:r>
      </w:ins>
      <w:r>
        <w:t xml:space="preserve">.] </w:t>
      </w:r>
    </w:p>
    <w:p>
      <w:pPr>
        <w:pStyle w:val="Heading5"/>
        <w:spacing w:before="120"/>
        <w:rPr>
          <w:snapToGrid w:val="0"/>
        </w:rPr>
      </w:pPr>
      <w:bookmarkStart w:id="9" w:name="_Toc28059291"/>
      <w:bookmarkStart w:id="10" w:name="_Toc122775382"/>
      <w:bookmarkStart w:id="11" w:name="_Toc141160026"/>
      <w:bookmarkStart w:id="12" w:name="_Toc131414854"/>
      <w:r>
        <w:rPr>
          <w:rStyle w:val="CharSectno"/>
        </w:rPr>
        <w:t>2</w:t>
      </w:r>
      <w:r>
        <w:rPr>
          <w:snapToGrid w:val="0"/>
        </w:rPr>
        <w:t>.</w:t>
      </w:r>
      <w:r>
        <w:rPr>
          <w:snapToGrid w:val="0"/>
        </w:rPr>
        <w:tab/>
        <w:t>Commencement</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13" w:name="_Toc28059292"/>
      <w:bookmarkStart w:id="14" w:name="_Toc122775383"/>
      <w:bookmarkStart w:id="15" w:name="_Toc141160027"/>
      <w:bookmarkStart w:id="16" w:name="_Toc131414855"/>
      <w:r>
        <w:rPr>
          <w:rStyle w:val="CharSectno"/>
        </w:rPr>
        <w:t>3</w:t>
      </w:r>
      <w:r>
        <w:rPr>
          <w:snapToGrid w:val="0"/>
        </w:rPr>
        <w:t>.</w:t>
      </w:r>
      <w:r>
        <w:rPr>
          <w:snapToGrid w:val="0"/>
        </w:rPr>
        <w:tab/>
        <w:t>Interpretation</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17" w:author="svcMRProcess" w:date="2020-02-18T13:17:00Z">
        <w:r>
          <w:rPr>
            <w:b/>
          </w:rPr>
          <w:delText>“</w:delText>
        </w:r>
      </w:del>
      <w:r>
        <w:rPr>
          <w:rStyle w:val="CharDefText"/>
        </w:rPr>
        <w:t>silicon plant site</w:t>
      </w:r>
      <w:del w:id="18" w:author="svcMRProcess" w:date="2020-02-18T13:17:00Z">
        <w:r>
          <w:rPr>
            <w:b/>
          </w:rPr>
          <w:delText>”</w:delText>
        </w:r>
      </w:del>
      <w:r>
        <w:t xml:space="preserve"> means the silicon plant site as defined by the Agreement as varied by the Variation Agreement;</w:t>
      </w:r>
    </w:p>
    <w:p>
      <w:pPr>
        <w:pStyle w:val="Defstart"/>
      </w:pPr>
      <w:r>
        <w:rPr>
          <w:b/>
        </w:rPr>
        <w:tab/>
      </w:r>
      <w:del w:id="19" w:author="svcMRProcess" w:date="2020-02-18T13:17:00Z">
        <w:r>
          <w:rPr>
            <w:b/>
          </w:rPr>
          <w:delText>“</w:delText>
        </w:r>
      </w:del>
      <w:r>
        <w:rPr>
          <w:rStyle w:val="CharDefText"/>
        </w:rPr>
        <w:t>the Agreement</w:t>
      </w:r>
      <w:del w:id="20" w:author="svcMRProcess" w:date="2020-02-18T13:17:00Z">
        <w:r>
          <w:rPr>
            <w:b/>
          </w:rPr>
          <w:delText>”</w:delText>
        </w:r>
      </w:del>
      <w:r>
        <w:t xml:space="preserve"> means the agreement a copy of which is set out in Schedule 1 and includes that agreement as varied from time to time in accordance with its provisions;</w:t>
      </w:r>
    </w:p>
    <w:p>
      <w:pPr>
        <w:pStyle w:val="Defstart"/>
      </w:pPr>
      <w:r>
        <w:rPr>
          <w:b/>
        </w:rPr>
        <w:tab/>
      </w:r>
      <w:del w:id="21" w:author="svcMRProcess" w:date="2020-02-18T13:17:00Z">
        <w:r>
          <w:rPr>
            <w:b/>
          </w:rPr>
          <w:delText>“</w:delText>
        </w:r>
      </w:del>
      <w:r>
        <w:rPr>
          <w:rStyle w:val="CharDefText"/>
        </w:rPr>
        <w:t>the Variation Agreement</w:t>
      </w:r>
      <w:del w:id="22" w:author="svcMRProcess" w:date="2020-02-18T13:17:00Z">
        <w:r>
          <w:rPr>
            <w:b/>
          </w:rPr>
          <w:delText>”</w:delText>
        </w:r>
      </w:del>
      <w:r>
        <w:t xml:space="preserve"> means the agreement a copy of which is set out in Schedule 2.</w:t>
      </w:r>
    </w:p>
    <w:p>
      <w:pPr>
        <w:pStyle w:val="Footnotesection"/>
      </w:pPr>
      <w:r>
        <w:tab/>
        <w:t xml:space="preserve">[Section 3 amended by No. 3 of 1988 s. 5.] </w:t>
      </w:r>
    </w:p>
    <w:p>
      <w:pPr>
        <w:pStyle w:val="Heading5"/>
        <w:rPr>
          <w:snapToGrid w:val="0"/>
        </w:rPr>
      </w:pPr>
      <w:bookmarkStart w:id="23" w:name="_Toc28059293"/>
      <w:bookmarkStart w:id="24" w:name="_Toc122775384"/>
      <w:bookmarkStart w:id="25" w:name="_Toc141160028"/>
      <w:bookmarkStart w:id="26" w:name="_Toc131414856"/>
      <w:r>
        <w:rPr>
          <w:rStyle w:val="CharSectno"/>
        </w:rPr>
        <w:t>4</w:t>
      </w:r>
      <w:r>
        <w:rPr>
          <w:snapToGrid w:val="0"/>
        </w:rPr>
        <w:t>.</w:t>
      </w:r>
      <w:r>
        <w:rPr>
          <w:snapToGrid w:val="0"/>
        </w:rPr>
        <w:tab/>
        <w:t>Agreement ratified and implementation authorised</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lastRenderedPageBreak/>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27" w:name="_Toc28059294"/>
      <w:bookmarkStart w:id="28" w:name="_Toc122775385"/>
      <w:bookmarkStart w:id="29" w:name="_Toc141160029"/>
      <w:bookmarkStart w:id="30" w:name="_Toc131414857"/>
      <w:r>
        <w:rPr>
          <w:rStyle w:val="CharSectno"/>
        </w:rPr>
        <w:t>4A</w:t>
      </w:r>
      <w:r>
        <w:rPr>
          <w:snapToGrid w:val="0"/>
        </w:rPr>
        <w:t>.</w:t>
      </w:r>
      <w:r>
        <w:rPr>
          <w:snapToGrid w:val="0"/>
        </w:rPr>
        <w:tab/>
        <w:t>Variation Agreement</w:t>
      </w:r>
      <w:bookmarkEnd w:id="27"/>
      <w:r>
        <w:rPr>
          <w:snapToGrid w:val="0"/>
        </w:rPr>
        <w:t xml:space="preserve"> ratified and implementation authorised</w:t>
      </w:r>
      <w:bookmarkEnd w:id="28"/>
      <w:bookmarkEnd w:id="29"/>
      <w:bookmarkEnd w:id="30"/>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3 of 1988 s. 6.] </w:t>
      </w:r>
    </w:p>
    <w:p>
      <w:pPr>
        <w:pStyle w:val="Heading5"/>
      </w:pPr>
      <w:bookmarkStart w:id="31" w:name="_Toc141160030"/>
      <w:bookmarkStart w:id="32" w:name="_Toc131414858"/>
      <w:r>
        <w:rPr>
          <w:rStyle w:val="CharSectno"/>
        </w:rPr>
        <w:t>4B</w:t>
      </w:r>
      <w:r>
        <w:t>.</w:t>
      </w:r>
      <w:r>
        <w:tab/>
        <w:t>Planning laws modified</w:t>
      </w:r>
      <w:bookmarkEnd w:id="31"/>
      <w:bookmarkEnd w:id="32"/>
    </w:p>
    <w:p>
      <w:pPr>
        <w:pStyle w:val="Subsection"/>
      </w:pPr>
      <w:r>
        <w:tab/>
      </w:r>
      <w:r>
        <w:tab/>
        <w:t xml:space="preserve">Despite anything in the </w:t>
      </w:r>
      <w:r>
        <w:rPr>
          <w:i/>
        </w:rPr>
        <w:t>Planning and Development Act 2005</w:t>
      </w:r>
      <w:r>
        <w:t>, planning schemes prepared under that Act do not apply to or in relation to the silicon plant site.</w:t>
      </w:r>
    </w:p>
    <w:p>
      <w:pPr>
        <w:pStyle w:val="Footnotesection"/>
      </w:pPr>
      <w:r>
        <w:tab/>
        <w:t>[Section 4B inserted by No. 38 of 2005 s. 15.]</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33" w:name="_Toc122775387"/>
      <w:bookmarkStart w:id="34" w:name="_Toc122775431"/>
      <w:bookmarkStart w:id="35" w:name="_Toc123004160"/>
      <w:bookmarkStart w:id="36" w:name="_Toc131414859"/>
      <w:bookmarkStart w:id="37" w:name="_Toc141160031"/>
      <w:r>
        <w:rPr>
          <w:rStyle w:val="CharSchNo"/>
        </w:rPr>
        <w:lastRenderedPageBreak/>
        <w:t>Schedule 1</w:t>
      </w:r>
      <w:bookmarkEnd w:id="33"/>
      <w:bookmarkEnd w:id="34"/>
      <w:bookmarkEnd w:id="35"/>
      <w:bookmarkEnd w:id="36"/>
      <w:bookmarkEnd w:id="37"/>
      <w:r>
        <w:rPr>
          <w:rStyle w:val="CharSchText"/>
        </w:rPr>
        <w:t xml:space="preserve"> </w:t>
      </w:r>
    </w:p>
    <w:p>
      <w:pPr>
        <w:pStyle w:val="yShoulderClause"/>
        <w:rPr>
          <w:snapToGrid w:val="0"/>
        </w:rPr>
      </w:pPr>
      <w:r>
        <w:rPr>
          <w:snapToGrid w:val="0"/>
        </w:rPr>
        <w:t>[Section 3]</w:t>
      </w:r>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del w:id="38" w:author="svcMRProcess" w:date="2020-02-18T13:17:00Z">
              <w:r>
                <w:rPr>
                  <w:noProof/>
                  <w:lang w:eastAsia="en-AU"/>
                </w:rPr>
                <w:drawing>
                  <wp:inline distT="0" distB="0" distL="0" distR="0">
                    <wp:extent cx="124460" cy="474980"/>
                    <wp:effectExtent l="0" t="0" r="889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74980"/>
                            </a:xfrm>
                            <a:prstGeom prst="rect">
                              <a:avLst/>
                            </a:prstGeom>
                            <a:noFill/>
                            <a:ln>
                              <a:noFill/>
                            </a:ln>
                          </pic:spPr>
                        </pic:pic>
                      </a:graphicData>
                    </a:graphic>
                  </wp:inline>
                </w:drawing>
              </w:r>
            </w:del>
            <w:ins w:id="39" w:author="svcMRProcess" w:date="2020-02-18T13:17:00Z">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ins>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del w:id="40" w:author="svcMRProcess" w:date="2020-02-18T13:17:00Z">
              <w:r>
                <w:rPr>
                  <w:noProof/>
                  <w:lang w:eastAsia="en-AU"/>
                </w:rPr>
                <w:drawing>
                  <wp:inline distT="0" distB="0" distL="0" distR="0">
                    <wp:extent cx="124460" cy="47498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74980"/>
                            </a:xfrm>
                            <a:prstGeom prst="rect">
                              <a:avLst/>
                            </a:prstGeom>
                            <a:noFill/>
                            <a:ln>
                              <a:noFill/>
                            </a:ln>
                          </pic:spPr>
                        </pic:pic>
                      </a:graphicData>
                    </a:graphic>
                  </wp:inline>
                </w:drawing>
              </w:r>
            </w:del>
            <w:ins w:id="41" w:author="svcMRProcess" w:date="2020-02-18T13:17:00Z">
              <w:r>
                <w:rPr>
                  <w:noProof/>
                  <w:lang w:eastAsia="en-AU"/>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ins>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del w:id="42" w:author="svcMRProcess" w:date="2020-02-18T13:17:00Z">
              <w:r>
                <w:rPr>
                  <w:noProof/>
                  <w:lang w:eastAsia="en-AU"/>
                </w:rPr>
                <w:drawing>
                  <wp:inline distT="0" distB="0" distL="0" distR="0">
                    <wp:extent cx="124460" cy="474980"/>
                    <wp:effectExtent l="0" t="0" r="889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74980"/>
                            </a:xfrm>
                            <a:prstGeom prst="rect">
                              <a:avLst/>
                            </a:prstGeom>
                            <a:noFill/>
                            <a:ln>
                              <a:noFill/>
                            </a:ln>
                          </pic:spPr>
                        </pic:pic>
                      </a:graphicData>
                    </a:graphic>
                  </wp:inline>
                </w:drawing>
              </w:r>
            </w:del>
            <w:ins w:id="43" w:author="svcMRProcess" w:date="2020-02-18T13:17:00Z">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ins>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ins w:id="44" w:author="svcMRProcess" w:date="2020-02-18T13:17:00Z">
        <w:r>
          <w:tab/>
        </w:r>
      </w:ins>
      <w:r>
        <w:t>[Schedule 1 amended by No. 3 of 1988 s. 7.]</w:t>
      </w:r>
    </w:p>
    <w:p>
      <w:pPr>
        <w:pStyle w:val="yScheduleHeading"/>
      </w:pPr>
      <w:bookmarkStart w:id="45" w:name="_Toc122775388"/>
      <w:bookmarkStart w:id="46" w:name="_Toc122775432"/>
      <w:bookmarkStart w:id="47" w:name="_Toc123004161"/>
      <w:bookmarkStart w:id="48" w:name="_Toc131414860"/>
      <w:bookmarkStart w:id="49" w:name="_Toc141160032"/>
      <w:r>
        <w:rPr>
          <w:rStyle w:val="CharSchNo"/>
        </w:rPr>
        <w:t>Schedule 2</w:t>
      </w:r>
      <w:bookmarkEnd w:id="45"/>
      <w:bookmarkEnd w:id="46"/>
      <w:bookmarkEnd w:id="47"/>
      <w:bookmarkEnd w:id="48"/>
      <w:bookmarkEnd w:id="49"/>
      <w:r>
        <w:rPr>
          <w:rStyle w:val="CharSchText"/>
        </w:rPr>
        <w:t xml:space="preserve"> </w:t>
      </w:r>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del w:id="50" w:author="svcMRProcess" w:date="2020-02-18T13:17:00Z">
              <w:r>
                <w:rPr>
                  <w:noProof/>
                  <w:lang w:eastAsia="en-AU"/>
                </w:rPr>
                <w:drawing>
                  <wp:inline distT="0" distB="0" distL="0" distR="0">
                    <wp:extent cx="124460" cy="5880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588010"/>
                            </a:xfrm>
                            <a:prstGeom prst="rect">
                              <a:avLst/>
                            </a:prstGeom>
                            <a:noFill/>
                            <a:ln>
                              <a:noFill/>
                            </a:ln>
                          </pic:spPr>
                        </pic:pic>
                      </a:graphicData>
                    </a:graphic>
                  </wp:inline>
                </w:drawing>
              </w:r>
            </w:del>
            <w:ins w:id="51" w:author="svcMRProcess" w:date="2020-02-18T13:17:00Z">
              <w:r>
                <w:rPr>
                  <w:noProof/>
                  <w:lang w:eastAsia="en-AU"/>
                </w:rPr>
                <w:drawing>
                  <wp:inline distT="0" distB="0" distL="0" distR="0">
                    <wp:extent cx="1238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del w:id="52" w:author="svcMRProcess" w:date="2020-02-18T13:17:00Z">
              <w:r>
                <w:rPr>
                  <w:noProof/>
                  <w:lang w:eastAsia="en-AU"/>
                </w:rPr>
                <w:drawing>
                  <wp:inline distT="0" distB="0" distL="0" distR="0">
                    <wp:extent cx="124460" cy="588010"/>
                    <wp:effectExtent l="0" t="0" r="889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588010"/>
                            </a:xfrm>
                            <a:prstGeom prst="rect">
                              <a:avLst/>
                            </a:prstGeom>
                            <a:noFill/>
                            <a:ln>
                              <a:noFill/>
                            </a:ln>
                          </pic:spPr>
                        </pic:pic>
                      </a:graphicData>
                    </a:graphic>
                  </wp:inline>
                </w:drawing>
              </w:r>
            </w:del>
            <w:ins w:id="53" w:author="svcMRProcess" w:date="2020-02-18T13:17:00Z">
              <w:r>
                <w:rPr>
                  <w:noProof/>
                  <w:lang w:eastAsia="en-AU"/>
                </w:rPr>
                <w:drawing>
                  <wp:inline distT="0" distB="0" distL="0" distR="0">
                    <wp:extent cx="1238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del w:id="54" w:author="svcMRProcess" w:date="2020-02-18T13:17:00Z">
              <w:r>
                <w:rPr>
                  <w:noProof/>
                  <w:lang w:eastAsia="en-AU"/>
                </w:rPr>
                <w:drawing>
                  <wp:inline distT="0" distB="0" distL="0" distR="0">
                    <wp:extent cx="124460" cy="588010"/>
                    <wp:effectExtent l="0" t="0" r="889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588010"/>
                            </a:xfrm>
                            <a:prstGeom prst="rect">
                              <a:avLst/>
                            </a:prstGeom>
                            <a:noFill/>
                            <a:ln>
                              <a:noFill/>
                            </a:ln>
                          </pic:spPr>
                        </pic:pic>
                      </a:graphicData>
                    </a:graphic>
                  </wp:inline>
                </w:drawing>
              </w:r>
            </w:del>
            <w:ins w:id="55" w:author="svcMRProcess" w:date="2020-02-18T13:17:00Z">
              <w:r>
                <w:rPr>
                  <w:noProof/>
                  <w:lang w:eastAsia="en-AU"/>
                </w:rPr>
                <w:drawing>
                  <wp:inline distT="0" distB="0" distL="0" distR="0">
                    <wp:extent cx="12382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ins>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ins w:id="56" w:author="svcMRProcess" w:date="2020-02-18T13:17:00Z">
        <w:r>
          <w:tab/>
        </w:r>
      </w:ins>
      <w:r>
        <w:t>[Schedule 2 inserted by No. 3 of 1988 s. 8.]</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57" w:name="_Toc122775389"/>
      <w:bookmarkStart w:id="58" w:name="_Toc122775433"/>
      <w:bookmarkStart w:id="59" w:name="_Toc123004162"/>
      <w:bookmarkStart w:id="60" w:name="_Toc131414861"/>
      <w:bookmarkStart w:id="61" w:name="_Toc141160033"/>
      <w:r>
        <w:t>Notes</w:t>
      </w:r>
      <w:bookmarkEnd w:id="57"/>
      <w:bookmarkEnd w:id="58"/>
      <w:bookmarkEnd w:id="59"/>
      <w:bookmarkEnd w:id="60"/>
      <w:bookmarkEnd w:id="61"/>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2" w:name="_Toc122775390"/>
      <w:bookmarkStart w:id="63" w:name="_Toc141160034"/>
      <w:bookmarkStart w:id="64" w:name="_Toc131414862"/>
      <w:r>
        <w:rPr>
          <w:snapToGrid w:val="0"/>
        </w:rPr>
        <w:t>Compilation table</w:t>
      </w:r>
      <w:bookmarkEnd w:id="62"/>
      <w:bookmarkEnd w:id="63"/>
      <w:bookmarkEnd w:id="6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Silicon (Picton) Agreement Act 1987</w:t>
            </w:r>
            <w:r>
              <w:rPr>
                <w:sz w:val="19"/>
                <w:vertAlign w:val="superscript"/>
              </w:rPr>
              <w:t> 2</w:t>
            </w:r>
          </w:p>
        </w:tc>
        <w:tc>
          <w:tcPr>
            <w:tcW w:w="1134" w:type="dxa"/>
          </w:tcPr>
          <w:p>
            <w:pPr>
              <w:pStyle w:val="nTable"/>
              <w:rPr>
                <w:sz w:val="19"/>
              </w:rPr>
            </w:pPr>
            <w:r>
              <w:rPr>
                <w:sz w:val="19"/>
              </w:rPr>
              <w:t>93 of 1987</w:t>
            </w:r>
          </w:p>
        </w:tc>
        <w:tc>
          <w:tcPr>
            <w:tcW w:w="1134" w:type="dxa"/>
          </w:tcPr>
          <w:p>
            <w:pPr>
              <w:pStyle w:val="nTable"/>
              <w:rPr>
                <w:sz w:val="19"/>
              </w:rPr>
            </w:pPr>
            <w:r>
              <w:rPr>
                <w:sz w:val="19"/>
              </w:rPr>
              <w:t>16 Dec 1987</w:t>
            </w:r>
          </w:p>
        </w:tc>
        <w:tc>
          <w:tcPr>
            <w:tcW w:w="2551" w:type="dxa"/>
          </w:tcPr>
          <w:p>
            <w:pPr>
              <w:pStyle w:val="nTable"/>
              <w:rPr>
                <w:sz w:val="19"/>
              </w:rPr>
            </w:pPr>
            <w:r>
              <w:rPr>
                <w:sz w:val="19"/>
              </w:rPr>
              <w:t>16 Dec 1987 (see s. 2)</w:t>
            </w:r>
          </w:p>
        </w:tc>
      </w:tr>
      <w:tr>
        <w:tc>
          <w:tcPr>
            <w:tcW w:w="2268" w:type="dxa"/>
          </w:tcPr>
          <w:p>
            <w:pPr>
              <w:pStyle w:val="nTable"/>
              <w:rPr>
                <w:sz w:val="19"/>
              </w:rPr>
            </w:pPr>
            <w:r>
              <w:rPr>
                <w:i/>
                <w:sz w:val="19"/>
              </w:rPr>
              <w:t>Silicon (Picton) Agreement Amendment Act 1988</w:t>
            </w:r>
          </w:p>
        </w:tc>
        <w:tc>
          <w:tcPr>
            <w:tcW w:w="1134" w:type="dxa"/>
          </w:tcPr>
          <w:p>
            <w:pPr>
              <w:pStyle w:val="nTable"/>
              <w:rPr>
                <w:sz w:val="19"/>
              </w:rPr>
            </w:pPr>
            <w:r>
              <w:rPr>
                <w:sz w:val="19"/>
              </w:rPr>
              <w:t>3 of 1988</w:t>
            </w:r>
          </w:p>
        </w:tc>
        <w:tc>
          <w:tcPr>
            <w:tcW w:w="1134" w:type="dxa"/>
          </w:tcPr>
          <w:p>
            <w:pPr>
              <w:pStyle w:val="nTable"/>
              <w:rPr>
                <w:sz w:val="19"/>
              </w:rPr>
            </w:pPr>
            <w:r>
              <w:rPr>
                <w:sz w:val="19"/>
              </w:rPr>
              <w:t>30 Jun 1988</w:t>
            </w:r>
          </w:p>
        </w:tc>
        <w:tc>
          <w:tcPr>
            <w:tcW w:w="2551" w:type="dxa"/>
          </w:tcPr>
          <w:p>
            <w:pPr>
              <w:pStyle w:val="nTable"/>
              <w:rPr>
                <w:sz w:val="19"/>
              </w:rPr>
            </w:pPr>
            <w:r>
              <w:rPr>
                <w:sz w:val="19"/>
              </w:rPr>
              <w:t>30 Jun 1988 (see s. 2)</w:t>
            </w:r>
          </w:p>
        </w:tc>
      </w:tr>
      <w:tr>
        <w:tc>
          <w:tcPr>
            <w:tcW w:w="2268" w:type="dxa"/>
          </w:tcPr>
          <w:p>
            <w:pPr>
              <w:pStyle w:val="nTable"/>
              <w:rPr>
                <w:sz w:val="19"/>
              </w:rPr>
            </w:pPr>
            <w:r>
              <w:rPr>
                <w:i/>
                <w:sz w:val="19"/>
              </w:rPr>
              <w:t>Local Government (Consequential Amendments) Act 1996</w:t>
            </w:r>
            <w:r>
              <w:rPr>
                <w:sz w:val="19"/>
              </w:rPr>
              <w:t xml:space="preserve"> s. 4</w:t>
            </w:r>
          </w:p>
        </w:tc>
        <w:tc>
          <w:tcPr>
            <w:tcW w:w="1134" w:type="dxa"/>
          </w:tcPr>
          <w:p>
            <w:pPr>
              <w:pStyle w:val="nTable"/>
              <w:rPr>
                <w:sz w:val="19"/>
              </w:rPr>
            </w:pPr>
            <w:r>
              <w:rPr>
                <w:sz w:val="19"/>
              </w:rPr>
              <w:t>14 of 1996</w:t>
            </w:r>
          </w:p>
        </w:tc>
        <w:tc>
          <w:tcPr>
            <w:tcW w:w="1134" w:type="dxa"/>
          </w:tcPr>
          <w:p>
            <w:pPr>
              <w:pStyle w:val="nTable"/>
              <w:rPr>
                <w:sz w:val="19"/>
              </w:rPr>
            </w:pPr>
            <w:r>
              <w:rPr>
                <w:sz w:val="19"/>
              </w:rPr>
              <w:t>28 Jun 1996</w:t>
            </w:r>
          </w:p>
        </w:tc>
        <w:tc>
          <w:tcPr>
            <w:tcW w:w="2551" w:type="dxa"/>
          </w:tcPr>
          <w:p>
            <w:pPr>
              <w:pStyle w:val="nTable"/>
              <w:rPr>
                <w:sz w:val="19"/>
              </w:rPr>
            </w:pPr>
            <w:r>
              <w:rPr>
                <w:sz w:val="19"/>
              </w:rPr>
              <w:t>1 Jul 1996 (see s. 2)</w:t>
            </w:r>
          </w:p>
        </w:tc>
      </w:tr>
      <w:tr>
        <w:trPr>
          <w:cantSplit/>
        </w:trPr>
        <w:tc>
          <w:tcPr>
            <w:tcW w:w="7087" w:type="dxa"/>
            <w:gridSpan w:val="4"/>
          </w:tcPr>
          <w:p>
            <w:pPr>
              <w:pStyle w:val="nTable"/>
              <w:rPr>
                <w:sz w:val="19"/>
              </w:rPr>
            </w:pPr>
            <w:r>
              <w:rPr>
                <w:b/>
                <w:sz w:val="19"/>
              </w:rPr>
              <w:t>Reprint 1:</w:t>
            </w:r>
            <w:r>
              <w:rPr>
                <w:sz w:val="19"/>
              </w:rPr>
              <w:t xml:space="preserve"> </w:t>
            </w:r>
            <w:r>
              <w:rPr>
                <w:b/>
                <w:sz w:val="19"/>
              </w:rPr>
              <w:t xml:space="preserve">The </w:t>
            </w:r>
            <w:r>
              <w:rPr>
                <w:b/>
                <w:i/>
                <w:sz w:val="19"/>
              </w:rPr>
              <w:t>Silicon (Kemerton) Agreement Act 1987</w:t>
            </w:r>
            <w:r>
              <w:rPr>
                <w:b/>
                <w:sz w:val="19"/>
              </w:rPr>
              <w:t xml:space="preserve"> as at 24 Apr 2003 </w:t>
            </w:r>
            <w:r>
              <w:rPr>
                <w:sz w:val="19"/>
              </w:rPr>
              <w:t>(includes amendments listed above)</w:t>
            </w:r>
            <w:ins w:id="65" w:author="svcMRProcess" w:date="2020-02-18T13:17:00Z">
              <w:r>
                <w:rPr>
                  <w:sz w:val="19"/>
                </w:rPr>
                <w:t xml:space="preserve"> (correction in </w:t>
              </w:r>
              <w:r>
                <w:rPr>
                  <w:i/>
                  <w:iCs/>
                  <w:sz w:val="19"/>
                </w:rPr>
                <w:t>Gazette</w:t>
              </w:r>
              <w:r>
                <w:rPr>
                  <w:sz w:val="19"/>
                </w:rPr>
                <w:t xml:space="preserve"> 21 Jul 2006 p. 2652)</w:t>
              </w:r>
            </w:ins>
          </w:p>
        </w:tc>
      </w:tr>
      <w:tr>
        <w:tc>
          <w:tcPr>
            <w:tcW w:w="2268" w:type="dxa"/>
            <w:tcBorders>
              <w:bottom w:val="single" w:sz="8" w:space="0" w:color="auto"/>
            </w:tcBorders>
          </w:tcPr>
          <w:p>
            <w:pPr>
              <w:pStyle w:val="nTable"/>
              <w:rPr>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8" w:space="0" w:color="auto"/>
            </w:tcBorders>
          </w:tcPr>
          <w:p>
            <w:pPr>
              <w:pStyle w:val="nTable"/>
              <w:rPr>
                <w:sz w:val="19"/>
              </w:rPr>
            </w:pPr>
            <w:r>
              <w:rPr>
                <w:snapToGrid w:val="0"/>
                <w:sz w:val="19"/>
                <w:lang w:val="en-US"/>
              </w:rPr>
              <w:t>38 of 2005</w:t>
            </w:r>
          </w:p>
        </w:tc>
        <w:tc>
          <w:tcPr>
            <w:tcW w:w="1134" w:type="dxa"/>
            <w:tcBorders>
              <w:bottom w:val="single" w:sz="8" w:space="0" w:color="auto"/>
            </w:tcBorders>
          </w:tcPr>
          <w:p>
            <w:pPr>
              <w:pStyle w:val="nTable"/>
              <w:rPr>
                <w:sz w:val="19"/>
              </w:rPr>
            </w:pPr>
            <w:r>
              <w:rPr>
                <w:sz w:val="19"/>
              </w:rPr>
              <w:t>12 Dec 2005</w:t>
            </w:r>
          </w:p>
        </w:tc>
        <w:tc>
          <w:tcPr>
            <w:tcW w:w="2551" w:type="dxa"/>
            <w:tcBorders>
              <w:bottom w:val="single" w:sz="8" w:space="0" w:color="auto"/>
            </w:tcBorders>
          </w:tcPr>
          <w:p>
            <w:pPr>
              <w:pStyle w:val="nTable"/>
              <w:rPr>
                <w:sz w:val="19"/>
              </w:rPr>
            </w:pPr>
            <w:r>
              <w:rPr>
                <w:sz w:val="19"/>
              </w:rPr>
              <w:t xml:space="preserve">9 Apr 2006 (see s. 2 and </w:t>
            </w:r>
            <w:r>
              <w:rPr>
                <w:i/>
                <w:iCs/>
                <w:sz w:val="19"/>
              </w:rPr>
              <w:t>Gazette</w:t>
            </w:r>
            <w:r>
              <w:rPr>
                <w:sz w:val="19"/>
              </w:rPr>
              <w:t xml:space="preserve"> 21 Mar 2006 p. 1078)</w:t>
            </w:r>
          </w:p>
        </w:tc>
      </w:tr>
    </w:tbl>
    <w:p>
      <w:pPr>
        <w:pStyle w:val="nSubsection"/>
      </w:pPr>
      <w:r>
        <w:rPr>
          <w:vertAlign w:val="superscript"/>
        </w:rPr>
        <w:t>2</w:t>
      </w:r>
      <w:r>
        <w:tab/>
        <w:t xml:space="preserve">Short title changed to the </w:t>
      </w:r>
      <w:r>
        <w:rPr>
          <w:i/>
        </w:rPr>
        <w:t xml:space="preserve">Silicon (Kemerton) Agreement Act 1987 </w:t>
      </w:r>
      <w:r>
        <w:t>(see note under s. 1).</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4A</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trPr>
        <w:cantSplit/>
      </w:trPr>
      <w:tc>
        <w:tcPr>
          <w:tcW w:w="7263" w:type="dxa"/>
          <w:gridSpan w:val="3"/>
        </w:tcPr>
        <w:p>
          <w:pPr>
            <w:pStyle w:val="HeaderActNameLeft"/>
          </w:pPr>
          <w:fldSimple w:instr=" Styleref &quot;Name of Act/Reg&quot; ">
            <w:r>
              <w:rPr>
                <w:noProof/>
              </w:rPr>
              <w:t>Silicon (Kemerton) Agreement Act 1987</w:t>
            </w:r>
          </w:fldSimple>
        </w:p>
      </w:tc>
    </w:tr>
    <w:tr>
      <w:tc>
        <w:tcPr>
          <w:tcW w:w="1861" w:type="dxa"/>
          <w:gridSpan w:val="2"/>
        </w:tcPr>
        <w:p>
          <w:pPr>
            <w:pStyle w:val="HeaderNumberLeft"/>
          </w:pPr>
        </w:p>
      </w:tc>
      <w:tc>
        <w:tcPr>
          <w:tcW w:w="5402" w:type="dxa"/>
        </w:tcPr>
        <w:p>
          <w:pPr>
            <w:pStyle w:val="HeaderTextLeft"/>
          </w:pPr>
        </w:p>
      </w:tc>
    </w:tr>
    <w:tr>
      <w:tc>
        <w:tcPr>
          <w:tcW w:w="1861" w:type="dxa"/>
          <w:gridSpan w:val="2"/>
        </w:tcPr>
        <w:p>
          <w:pPr>
            <w:pStyle w:val="HeaderNumberLeft"/>
          </w:pPr>
        </w:p>
      </w:tc>
      <w:tc>
        <w:tcPr>
          <w:tcW w:w="5402" w:type="dxa"/>
        </w:tcPr>
        <w:p>
          <w:pPr>
            <w:pStyle w:val="HeaderTextLeft"/>
          </w:pPr>
        </w:p>
      </w:tc>
    </w:tr>
    <w:tr>
      <w:trPr>
        <w:cantSplit/>
      </w:trPr>
      <w:tc>
        <w:tcPr>
          <w:tcW w:w="1833" w:type="dxa"/>
        </w:tcPr>
        <w:p>
          <w:pPr>
            <w:pStyle w:val="HeaderSectionRight"/>
            <w:ind w:right="17"/>
            <w:jc w:val="left"/>
          </w:pPr>
          <w:r>
            <w:fldChar w:fldCharType="begin"/>
          </w:r>
          <w:r>
            <w:instrText xml:space="preserve"> STYLEREF CharSchNo \* MERGEFORMAT </w:instrText>
          </w:r>
          <w:r>
            <w:fldChar w:fldCharType="end"/>
          </w:r>
        </w:p>
      </w:tc>
      <w:tc>
        <w:tcPr>
          <w:tcW w:w="5430" w:type="dxa"/>
          <w:gridSpan w:val="2"/>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trPr>
        <w:cantSplit/>
      </w:trPr>
      <w:tc>
        <w:tcPr>
          <w:tcW w:w="7263" w:type="dxa"/>
          <w:gridSpan w:val="2"/>
        </w:tcPr>
        <w:p>
          <w:pPr>
            <w:pStyle w:val="HeaderActNameRight"/>
            <w:ind w:right="17"/>
          </w:pPr>
          <w:fldSimple w:instr=" Styleref &quot;Name of Act/Reg&quot; ">
            <w:r>
              <w:rPr>
                <w:noProof/>
              </w:rPr>
              <w:t>Silicon (Kemerton) Agreement Act 1987</w:t>
            </w:r>
          </w:fldSimple>
        </w:p>
      </w:tc>
    </w:tr>
    <w:tr>
      <w:tc>
        <w:tcPr>
          <w:tcW w:w="5146" w:type="dxa"/>
        </w:tcPr>
        <w:p>
          <w:pPr>
            <w:pStyle w:val="HeaderTextRight"/>
          </w:pPr>
        </w:p>
      </w:tc>
      <w:tc>
        <w:tcPr>
          <w:tcW w:w="2117" w:type="dxa"/>
        </w:tcPr>
        <w:p>
          <w:pPr>
            <w:pStyle w:val="HeaderNumberRight"/>
            <w:ind w:right="17"/>
          </w:pPr>
        </w:p>
      </w:tc>
    </w:tr>
    <w:tr>
      <w:tc>
        <w:tcPr>
          <w:tcW w:w="5146" w:type="dxa"/>
        </w:tcPr>
        <w:p>
          <w:pPr>
            <w:pStyle w:val="HeaderTextRight"/>
          </w:pPr>
        </w:p>
      </w:tc>
      <w:tc>
        <w:tcPr>
          <w:tcW w:w="2117" w:type="dxa"/>
        </w:tcPr>
        <w:p>
          <w:pPr>
            <w:pStyle w:val="HeaderNumberRight"/>
            <w:ind w:right="17"/>
          </w:pPr>
        </w:p>
      </w:tc>
    </w:tr>
    <w:tr>
      <w:trPr>
        <w:cantSplit/>
      </w:trPr>
      <w:tc>
        <w:tcPr>
          <w:tcW w:w="5146" w:type="dxa"/>
        </w:tcPr>
        <w:p>
          <w:pPr>
            <w:pStyle w:val="HeaderSectionRight"/>
            <w:ind w:right="17"/>
          </w:pPr>
          <w:r>
            <w:fldChar w:fldCharType="begin"/>
          </w:r>
          <w:r>
            <w:instrText xml:space="preserve"> STYLEREF CharSchText \* MERGEFORMAT </w:instrText>
          </w:r>
          <w:r>
            <w:fldChar w:fldCharType="end"/>
          </w:r>
        </w:p>
      </w:tc>
      <w:tc>
        <w:tcPr>
          <w:tcW w:w="2117"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066E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46CB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543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9A5B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F0488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538C6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25897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AA5E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C54C93C"/>
    <w:lvl w:ilvl="0">
      <w:start w:val="1"/>
      <w:numFmt w:val="decimal"/>
      <w:pStyle w:val="ListNumber"/>
      <w:lvlText w:val="%1."/>
      <w:lvlJc w:val="left"/>
      <w:pPr>
        <w:tabs>
          <w:tab w:val="num" w:pos="360"/>
        </w:tabs>
        <w:ind w:left="360" w:hanging="360"/>
      </w:pPr>
    </w:lvl>
  </w:abstractNum>
  <w:abstractNum w:abstractNumId="9">
    <w:nsid w:val="FFFFFF89"/>
    <w:multiLevelType w:val="singleLevel"/>
    <w:tmpl w:val="3D381B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FF52EB"/>
    <w:multiLevelType w:val="multilevel"/>
    <w:tmpl w:val="4F2CA99C"/>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3C2808C0"/>
    <w:multiLevelType w:val="singleLevel"/>
    <w:tmpl w:val="92FC741A"/>
    <w:lvl w:ilvl="0">
      <w:start w:val="1"/>
      <w:numFmt w:val="bullet"/>
      <w:pStyle w:val="NotesPerm2"/>
      <w:lvlText w:val=""/>
      <w:lvlJc w:val="left"/>
      <w:pPr>
        <w:tabs>
          <w:tab w:val="num" w:pos="1446"/>
        </w:tabs>
        <w:ind w:left="1446" w:hanging="567"/>
      </w:pPr>
      <w:rPr>
        <w:rFonts w:ascii="Symbol" w:hAnsi="Symbol" w:hint="default"/>
      </w:r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10849</Words>
  <Characters>53815</Characters>
  <Application>Microsoft Office Word</Application>
  <DocSecurity>0</DocSecurity>
  <Lines>1251</Lines>
  <Paragraphs>458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01-c0-02 - 01-d0-05</dc:title>
  <dc:subject/>
  <dc:creator/>
  <cp:keywords/>
  <dc:description/>
  <cp:lastModifiedBy>svcMRProcess</cp:lastModifiedBy>
  <cp:revision>2</cp:revision>
  <cp:lastPrinted>2003-04-28T00:17:00Z</cp:lastPrinted>
  <dcterms:created xsi:type="dcterms:W3CDTF">2020-02-18T05:17:00Z</dcterms:created>
  <dcterms:modified xsi:type="dcterms:W3CDTF">2020-02-18T05:17:00Z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20060721</vt:lpwstr>
  </property>
  <property fmtid="{D5CDD505-2E9C-101B-9397-08002B2CF9AE}" pid="4" name="DocumentType">
    <vt:lpwstr>Act</vt:lpwstr>
  </property>
  <property fmtid="{D5CDD505-2E9C-101B-9397-08002B2CF9AE}" pid="5" name="OwlsUID">
    <vt:i4>750</vt:i4>
  </property>
  <property fmtid="{D5CDD505-2E9C-101B-9397-08002B2CF9AE}" pid="6" name="FromSuffix">
    <vt:lpwstr>01-c0-02</vt:lpwstr>
  </property>
  <property fmtid="{D5CDD505-2E9C-101B-9397-08002B2CF9AE}" pid="7" name="FromAsAtDate">
    <vt:lpwstr>09 Apr 2006</vt:lpwstr>
  </property>
  <property fmtid="{D5CDD505-2E9C-101B-9397-08002B2CF9AE}" pid="8" name="ToSuffix">
    <vt:lpwstr>01-d0-05</vt:lpwstr>
  </property>
  <property fmtid="{D5CDD505-2E9C-101B-9397-08002B2CF9AE}" pid="9" name="ToAsAtDate">
    <vt:lpwstr>21 Jul 2006</vt:lpwstr>
  </property>
</Properties>
</file>