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A</w:t>
      </w:r>
      <w:bookmarkStart w:id="0" w:name="_GoBack"/>
      <w:bookmarkEnd w:id="0"/>
      <w:r>
        <w:rPr>
          <w:snapToGrid w:val="0"/>
        </w:rPr>
        <w:t xml:space="preserve">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359581369"/>
      <w:bookmarkStart w:id="8" w:name="_Toc27204343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9" w:name="_Toc459106986"/>
      <w:bookmarkStart w:id="10" w:name="_Toc532872974"/>
      <w:bookmarkStart w:id="11" w:name="_Toc534795354"/>
      <w:bookmarkStart w:id="12" w:name="_Toc535308474"/>
      <w:bookmarkStart w:id="13" w:name="_Toc44928058"/>
      <w:bookmarkStart w:id="14" w:name="_Toc44928110"/>
      <w:bookmarkStart w:id="15" w:name="_Toc359581370"/>
      <w:bookmarkStart w:id="16" w:name="_Toc272043432"/>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7" w:name="_Toc459106987"/>
      <w:bookmarkStart w:id="18" w:name="_Toc532872975"/>
      <w:bookmarkStart w:id="19" w:name="_Toc534795355"/>
      <w:bookmarkStart w:id="20" w:name="_Toc535308475"/>
      <w:bookmarkStart w:id="21" w:name="_Toc44928059"/>
      <w:bookmarkStart w:id="22" w:name="_Toc44928111"/>
      <w:bookmarkStart w:id="23" w:name="_Toc359581371"/>
      <w:bookmarkStart w:id="24" w:name="_Toc272043433"/>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5" w:name="endcomma"/>
      <w:bookmarkEnd w:id="25"/>
      <w:r>
        <w:rPr>
          <w:rStyle w:val="CharDefText"/>
        </w:rPr>
        <w:t>the Variation Agreement</w:t>
      </w:r>
      <w:r>
        <w:t xml:space="preserve"> </w:t>
      </w:r>
      <w:bookmarkStart w:id="26" w:name="comma"/>
      <w:bookmarkEnd w:id="26"/>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7" w:name="_Toc459106988"/>
      <w:bookmarkStart w:id="28" w:name="_Toc532872976"/>
      <w:bookmarkStart w:id="29" w:name="_Toc534795356"/>
      <w:bookmarkStart w:id="30" w:name="_Toc535308476"/>
      <w:bookmarkStart w:id="31" w:name="_Toc44928060"/>
      <w:bookmarkStart w:id="32" w:name="_Toc44928112"/>
      <w:bookmarkStart w:id="33" w:name="_Toc359581372"/>
      <w:bookmarkStart w:id="34" w:name="_Toc272043434"/>
      <w:r>
        <w:rPr>
          <w:rStyle w:val="CharSectno"/>
        </w:rPr>
        <w:lastRenderedPageBreak/>
        <w:t>4</w:t>
      </w:r>
      <w:r>
        <w:rPr>
          <w:snapToGrid w:val="0"/>
        </w:rPr>
        <w:t>.</w:t>
      </w:r>
      <w:r>
        <w:rPr>
          <w:snapToGrid w:val="0"/>
        </w:rPr>
        <w:tab/>
        <w:t>Validation of Agreement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5" w:name="_Toc459106989"/>
      <w:bookmarkStart w:id="36" w:name="_Toc532872977"/>
      <w:bookmarkStart w:id="37" w:name="_Toc534795357"/>
      <w:bookmarkStart w:id="38" w:name="_Toc535308477"/>
      <w:bookmarkStart w:id="39" w:name="_Toc44928061"/>
      <w:bookmarkStart w:id="40" w:name="_Toc44928113"/>
      <w:bookmarkStart w:id="41" w:name="_Toc359581373"/>
      <w:bookmarkStart w:id="42" w:name="_Toc272043435"/>
      <w:r>
        <w:rPr>
          <w:rStyle w:val="CharSectno"/>
        </w:rPr>
        <w:lastRenderedPageBreak/>
        <w:t>4A</w:t>
      </w:r>
      <w:r>
        <w:rPr>
          <w:snapToGrid w:val="0"/>
        </w:rPr>
        <w:t>.</w:t>
      </w:r>
      <w:r>
        <w:rPr>
          <w:snapToGrid w:val="0"/>
        </w:rPr>
        <w:tab/>
        <w:t>Ratification of Variation Agreement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43" w:name="_Toc459106990"/>
      <w:bookmarkStart w:id="44" w:name="_Toc532872978"/>
      <w:bookmarkStart w:id="45" w:name="_Toc534795358"/>
      <w:bookmarkStart w:id="46" w:name="_Toc535308478"/>
      <w:bookmarkStart w:id="47" w:name="_Toc44928062"/>
      <w:bookmarkStart w:id="48" w:name="_Toc44928114"/>
      <w:bookmarkStart w:id="49" w:name="_Toc359581374"/>
      <w:bookmarkStart w:id="50" w:name="_Toc272043436"/>
      <w:r>
        <w:rPr>
          <w:rStyle w:val="CharSectno"/>
        </w:rPr>
        <w:t>5</w:t>
      </w:r>
      <w:r>
        <w:rPr>
          <w:snapToGrid w:val="0"/>
        </w:rPr>
        <w:t>.</w:t>
      </w:r>
      <w:r>
        <w:rPr>
          <w:snapToGrid w:val="0"/>
        </w:rPr>
        <w:tab/>
        <w:t>Cancellation of reserve 12562</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51" w:name="_Toc459106991"/>
      <w:bookmarkStart w:id="52" w:name="_Toc532872979"/>
      <w:bookmarkStart w:id="53" w:name="_Toc534795359"/>
      <w:bookmarkStart w:id="54" w:name="_Toc535308479"/>
      <w:bookmarkStart w:id="55" w:name="_Toc44928063"/>
      <w:bookmarkStart w:id="56" w:name="_Toc44928115"/>
      <w:bookmarkStart w:id="57" w:name="_Toc359581375"/>
      <w:bookmarkStart w:id="58" w:name="_Toc272043437"/>
      <w:r>
        <w:rPr>
          <w:rStyle w:val="CharSectno"/>
        </w:rPr>
        <w:t>6</w:t>
      </w:r>
      <w:r>
        <w:rPr>
          <w:snapToGrid w:val="0"/>
        </w:rPr>
        <w:t>.</w:t>
      </w:r>
      <w:r>
        <w:rPr>
          <w:snapToGrid w:val="0"/>
        </w:rPr>
        <w:tab/>
        <w:t>State’s obligations not to be prejudiced</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9" w:name="_Toc459106992"/>
      <w:bookmarkStart w:id="60" w:name="_Toc532872980"/>
      <w:bookmarkStart w:id="61" w:name="_Toc534795360"/>
      <w:bookmarkStart w:id="62" w:name="_Toc535308480"/>
      <w:bookmarkStart w:id="63" w:name="_Toc44928064"/>
      <w:bookmarkStart w:id="64" w:name="_Toc44928116"/>
      <w:bookmarkStart w:id="65" w:name="_Toc359581376"/>
      <w:bookmarkStart w:id="66" w:name="_Toc272043438"/>
      <w:r>
        <w:rPr>
          <w:rStyle w:val="CharSectno"/>
        </w:rPr>
        <w:t>7</w:t>
      </w:r>
      <w:r>
        <w:rPr>
          <w:snapToGrid w:val="0"/>
        </w:rPr>
        <w:t>.</w:t>
      </w:r>
      <w:r>
        <w:rPr>
          <w:snapToGrid w:val="0"/>
        </w:rPr>
        <w:tab/>
        <w:t>Act No. 46 of 1952 amended</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67" w:name="_Toc534795362"/>
      <w:bookmarkStart w:id="68" w:name="_Toc535308482"/>
      <w:bookmarkStart w:id="69" w:name="_Toc44928066"/>
      <w:bookmarkStart w:id="70" w:name="_Toc44928118"/>
      <w:bookmarkStart w:id="71" w:name="_Toc266971630"/>
      <w:r>
        <w:t>[Heading deleted by No. 19 of 2010 s. 42(2).]</w:t>
      </w:r>
    </w:p>
    <w:p>
      <w:pPr>
        <w:pStyle w:val="yScheduleHeading"/>
        <w:pageBreakBefore w:val="0"/>
      </w:pPr>
      <w:bookmarkStart w:id="72" w:name="_Toc268186488"/>
      <w:bookmarkStart w:id="73" w:name="_Toc272043439"/>
      <w:bookmarkStart w:id="74" w:name="_Toc359581377"/>
      <w:r>
        <w:rPr>
          <w:rStyle w:val="CharSchNo"/>
        </w:rPr>
        <w:t>First Schedule</w:t>
      </w:r>
      <w:bookmarkEnd w:id="67"/>
      <w:bookmarkEnd w:id="68"/>
      <w:bookmarkEnd w:id="69"/>
      <w:bookmarkEnd w:id="70"/>
      <w:bookmarkEnd w:id="71"/>
      <w:r>
        <w:t xml:space="preserve"> — </w:t>
      </w:r>
      <w:r>
        <w:rPr>
          <w:rStyle w:val="CharSchText"/>
        </w:rPr>
        <w:t>Broken Hill Proprietary Company’s Integrated Steel Works Agreement</w:t>
      </w:r>
      <w:bookmarkEnd w:id="72"/>
      <w:bookmarkEnd w:id="73"/>
      <w:bookmarkEnd w:id="74"/>
    </w:p>
    <w:p>
      <w:pPr>
        <w:pStyle w:val="yShoulderClause"/>
      </w:pPr>
      <w:r>
        <w:rPr>
          <w:snapToGrid w:val="0"/>
        </w:rPr>
        <w:t>[s. 3]</w:t>
      </w:r>
    </w:p>
    <w:p>
      <w:pPr>
        <w:pStyle w:val="yFootnoteheading"/>
        <w:rPr>
          <w:snapToGrid w:val="0"/>
        </w:rPr>
      </w:pPr>
      <w:r>
        <w:rPr>
          <w:snapToGrid w:val="0"/>
        </w:rPr>
        <w:tab/>
        <w:t>[Heading inserted by No. 47 of 1973 s. 6; amended by No. 19 of 2010 s. 4.]</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lang w:eastAsia="en-AU"/>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lang w:eastAsia="en-AU"/>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p>
      <w:pPr>
        <w:pStyle w:val="yTable"/>
        <w:jc w:val="center"/>
      </w:pPr>
      <w:bookmarkStart w:id="75" w:name="_MON_1243866692"/>
      <w:bookmarkStart w:id="76" w:name="_MON_1072512128"/>
      <w:bookmarkEnd w:id="75"/>
      <w:bookmarkEnd w:id="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5pt" fillcolor="window">
            <v:imagedata r:id="rId23" o:title=""/>
          </v:shape>
        </w:pi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lang w:eastAsia="en-AU"/>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lang w:eastAsia="en-AU"/>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lang w:eastAsia="en-AU"/>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77" w:name="_Toc534795363"/>
      <w:bookmarkStart w:id="78" w:name="_Toc535308483"/>
      <w:bookmarkStart w:id="79" w:name="_Toc44928067"/>
      <w:bookmarkStart w:id="80" w:name="_Toc44928119"/>
      <w:bookmarkStart w:id="81" w:name="_Toc266971631"/>
      <w:bookmarkStart w:id="82" w:name="_Toc268186489"/>
      <w:bookmarkStart w:id="83" w:name="_Toc272043440"/>
      <w:bookmarkStart w:id="84" w:name="_Toc359581378"/>
      <w:r>
        <w:rPr>
          <w:rStyle w:val="CharSchNo"/>
        </w:rPr>
        <w:t>Second Schedule</w:t>
      </w:r>
      <w:bookmarkEnd w:id="77"/>
      <w:bookmarkEnd w:id="78"/>
      <w:bookmarkEnd w:id="79"/>
      <w:bookmarkEnd w:id="80"/>
      <w:bookmarkEnd w:id="81"/>
      <w:r>
        <w:t xml:space="preserve"> — </w:t>
      </w:r>
      <w:r>
        <w:rPr>
          <w:rStyle w:val="CharSchText"/>
        </w:rPr>
        <w:t>Variation Agreement</w:t>
      </w:r>
      <w:bookmarkEnd w:id="82"/>
      <w:bookmarkEnd w:id="83"/>
      <w:bookmarkEnd w:id="84"/>
    </w:p>
    <w:p>
      <w:pPr>
        <w:pStyle w:val="yShoulderClause"/>
        <w:rPr>
          <w:snapToGrid w:val="0"/>
        </w:rPr>
      </w:pPr>
      <w:r>
        <w:rPr>
          <w:snapToGrid w:val="0"/>
        </w:rPr>
        <w:t>[s. 3]</w:t>
      </w:r>
    </w:p>
    <w:p>
      <w:pPr>
        <w:pStyle w:val="yFootnotesection"/>
      </w:pPr>
      <w:r>
        <w:tab/>
        <w:t>[Heading amended by No. 19 of 2010 s. 4.]</w:t>
      </w:r>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lang w:eastAsia="en-AU"/>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lang w:eastAsia="en-AU"/>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lang w:eastAsia="en-AU"/>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85" w:name="_Toc266971632"/>
      <w:bookmarkStart w:id="86" w:name="_Toc268186490"/>
      <w:bookmarkStart w:id="87" w:name="_Toc272043441"/>
      <w:bookmarkStart w:id="88" w:name="_Toc359581379"/>
      <w:r>
        <w:t>Notes</w:t>
      </w:r>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w:t>
      </w:r>
      <w:ins w:id="89" w:author="svcMRProcess" w:date="2020-02-13T23:55:00Z">
        <w:r>
          <w:rPr>
            <w:snapToGrid w:val="0"/>
            <w:vertAlign w:val="superscript"/>
          </w:rPr>
          <w:t> 1a</w:t>
        </w:r>
      </w:ins>
      <w:r>
        <w:rPr>
          <w:snapToGrid w:val="0"/>
        </w:rPr>
        <w:t>.  The table also contains information about any reprint.</w:t>
      </w:r>
    </w:p>
    <w:p>
      <w:pPr>
        <w:pStyle w:val="nHeading3"/>
        <w:rPr>
          <w:snapToGrid w:val="0"/>
        </w:rPr>
      </w:pPr>
      <w:bookmarkStart w:id="90" w:name="_Toc534795364"/>
      <w:bookmarkStart w:id="91" w:name="_Toc535308484"/>
      <w:bookmarkStart w:id="92" w:name="_Toc44928068"/>
      <w:bookmarkStart w:id="93" w:name="_Toc44928120"/>
      <w:bookmarkStart w:id="94" w:name="_Toc359581380"/>
      <w:bookmarkStart w:id="95" w:name="_Toc272043442"/>
      <w:r>
        <w:rPr>
          <w:snapToGrid w:val="0"/>
        </w:rPr>
        <w:t>Compilation table</w:t>
      </w:r>
      <w:bookmarkEnd w:id="90"/>
      <w:bookmarkEnd w:id="91"/>
      <w:bookmarkEnd w:id="92"/>
      <w:bookmarkEnd w:id="93"/>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gridSpan w:val="2"/>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5"/>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gridSpan w:val="2"/>
          </w:tcPr>
          <w:p>
            <w:pPr>
              <w:pStyle w:val="nTable"/>
              <w:spacing w:before="120"/>
              <w:ind w:right="113"/>
              <w:rPr>
                <w:i/>
                <w:sz w:val="19"/>
              </w:rPr>
            </w:pPr>
            <w:r>
              <w:rPr>
                <w:i/>
                <w:sz w:val="19"/>
              </w:rPr>
              <w:t xml:space="preserve">Public Transport Authority Act 2003 </w:t>
            </w:r>
            <w:r>
              <w:rPr>
                <w:sz w:val="19"/>
              </w:rPr>
              <w:t>s. 145</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2"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bookmarkStart w:id="96" w:name="UpToHere"/>
            <w:bookmarkEnd w:id="96"/>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tabs>
          <w:tab w:val="clear" w:pos="454"/>
          <w:tab w:val="left" w:pos="567"/>
        </w:tabs>
        <w:spacing w:before="120"/>
        <w:ind w:left="567" w:hanging="567"/>
        <w:rPr>
          <w:ins w:id="97" w:author="svcMRProcess" w:date="2020-02-13T23:55:00Z"/>
          <w:snapToGrid w:val="0"/>
        </w:rPr>
      </w:pPr>
      <w:ins w:id="98" w:author="svcMRProcess" w:date="2020-02-13T23: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99" w:author="svcMRProcess" w:date="2020-02-13T23:55:00Z"/>
        </w:rPr>
      </w:pPr>
      <w:bookmarkStart w:id="100" w:name="_Toc7405065"/>
      <w:bookmarkStart w:id="101" w:name="_Toc359581381"/>
      <w:ins w:id="102" w:author="svcMRProcess" w:date="2020-02-13T23:55:00Z">
        <w:r>
          <w:t>Provisions that have not come into operation</w:t>
        </w:r>
        <w:bookmarkEnd w:id="100"/>
        <w:bookmarkEnd w:id="10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3" w:author="svcMRProcess" w:date="2020-02-13T23:55:00Z"/>
        </w:trPr>
        <w:tc>
          <w:tcPr>
            <w:tcW w:w="2268" w:type="dxa"/>
          </w:tcPr>
          <w:p>
            <w:pPr>
              <w:pStyle w:val="nTable"/>
              <w:keepNext/>
              <w:keepLines/>
              <w:spacing w:after="40"/>
              <w:rPr>
                <w:ins w:id="104" w:author="svcMRProcess" w:date="2020-02-13T23:55:00Z"/>
                <w:b/>
                <w:snapToGrid w:val="0"/>
                <w:sz w:val="19"/>
                <w:lang w:val="en-US"/>
              </w:rPr>
            </w:pPr>
            <w:ins w:id="105" w:author="svcMRProcess" w:date="2020-02-13T23:55:00Z">
              <w:r>
                <w:rPr>
                  <w:b/>
                  <w:snapToGrid w:val="0"/>
                  <w:sz w:val="19"/>
                  <w:lang w:val="en-US"/>
                </w:rPr>
                <w:t>Short title</w:t>
              </w:r>
            </w:ins>
          </w:p>
        </w:tc>
        <w:tc>
          <w:tcPr>
            <w:tcW w:w="1118" w:type="dxa"/>
          </w:tcPr>
          <w:p>
            <w:pPr>
              <w:pStyle w:val="nTable"/>
              <w:keepNext/>
              <w:keepLines/>
              <w:spacing w:after="40"/>
              <w:rPr>
                <w:ins w:id="106" w:author="svcMRProcess" w:date="2020-02-13T23:55:00Z"/>
                <w:b/>
                <w:snapToGrid w:val="0"/>
                <w:sz w:val="19"/>
                <w:lang w:val="en-US"/>
              </w:rPr>
            </w:pPr>
            <w:ins w:id="107" w:author="svcMRProcess" w:date="2020-02-13T23:55:00Z">
              <w:r>
                <w:rPr>
                  <w:b/>
                  <w:snapToGrid w:val="0"/>
                  <w:sz w:val="19"/>
                  <w:lang w:val="en-US"/>
                </w:rPr>
                <w:t>Number and year</w:t>
              </w:r>
            </w:ins>
          </w:p>
        </w:tc>
        <w:tc>
          <w:tcPr>
            <w:tcW w:w="1134" w:type="dxa"/>
          </w:tcPr>
          <w:p>
            <w:pPr>
              <w:pStyle w:val="nTable"/>
              <w:keepNext/>
              <w:keepLines/>
              <w:spacing w:after="40"/>
              <w:rPr>
                <w:ins w:id="108" w:author="svcMRProcess" w:date="2020-02-13T23:55:00Z"/>
                <w:b/>
                <w:snapToGrid w:val="0"/>
                <w:sz w:val="19"/>
                <w:lang w:val="en-US"/>
              </w:rPr>
            </w:pPr>
            <w:ins w:id="109" w:author="svcMRProcess" w:date="2020-02-13T23:55:00Z">
              <w:r>
                <w:rPr>
                  <w:b/>
                  <w:snapToGrid w:val="0"/>
                  <w:sz w:val="19"/>
                  <w:lang w:val="en-US"/>
                </w:rPr>
                <w:t>Assent</w:t>
              </w:r>
            </w:ins>
          </w:p>
        </w:tc>
        <w:tc>
          <w:tcPr>
            <w:tcW w:w="2552" w:type="dxa"/>
          </w:tcPr>
          <w:p>
            <w:pPr>
              <w:pStyle w:val="nTable"/>
              <w:keepNext/>
              <w:keepLines/>
              <w:spacing w:after="40"/>
              <w:rPr>
                <w:ins w:id="110" w:author="svcMRProcess" w:date="2020-02-13T23:55:00Z"/>
                <w:b/>
                <w:snapToGrid w:val="0"/>
                <w:sz w:val="19"/>
                <w:lang w:val="en-US"/>
              </w:rPr>
            </w:pPr>
            <w:ins w:id="111" w:author="svcMRProcess" w:date="2020-02-13T23:55:00Z">
              <w:r>
                <w:rPr>
                  <w:b/>
                  <w:snapToGrid w:val="0"/>
                  <w:sz w:val="19"/>
                  <w:lang w:val="en-US"/>
                </w:rPr>
                <w:t>Commencement</w:t>
              </w:r>
            </w:ins>
          </w:p>
        </w:tc>
      </w:tr>
      <w:tr>
        <w:trPr>
          <w:ins w:id="112" w:author="svcMRProcess" w:date="2020-02-13T23:55:00Z"/>
        </w:trPr>
        <w:tc>
          <w:tcPr>
            <w:tcW w:w="2268" w:type="dxa"/>
          </w:tcPr>
          <w:p>
            <w:pPr>
              <w:pStyle w:val="nTable"/>
              <w:keepNext/>
              <w:keepLines/>
              <w:spacing w:after="40"/>
              <w:rPr>
                <w:ins w:id="113" w:author="svcMRProcess" w:date="2020-02-13T23:55:00Z"/>
                <w:snapToGrid w:val="0"/>
                <w:sz w:val="19"/>
                <w:lang w:val="en-US"/>
              </w:rPr>
            </w:pPr>
            <w:ins w:id="114" w:author="svcMRProcess" w:date="2020-02-13T23:55:00Z">
              <w:r>
                <w:rPr>
                  <w:i/>
                  <w:snapToGrid w:val="0"/>
                  <w:sz w:val="19"/>
                  <w:lang w:val="en-US"/>
                </w:rPr>
                <w:t>State Agreements Legislation Repeal Act 2013</w:t>
              </w:r>
              <w:r>
                <w:rPr>
                  <w:snapToGrid w:val="0"/>
                  <w:sz w:val="19"/>
                  <w:lang w:val="en-US"/>
                </w:rPr>
                <w:t xml:space="preserve"> s. 4</w:t>
              </w:r>
              <w:r>
                <w:rPr>
                  <w:snapToGrid w:val="0"/>
                  <w:sz w:val="19"/>
                  <w:vertAlign w:val="superscript"/>
                  <w:lang w:val="en-US"/>
                </w:rPr>
                <w:t> 7</w:t>
              </w:r>
            </w:ins>
          </w:p>
        </w:tc>
        <w:tc>
          <w:tcPr>
            <w:tcW w:w="1118" w:type="dxa"/>
          </w:tcPr>
          <w:p>
            <w:pPr>
              <w:pStyle w:val="nTable"/>
              <w:keepNext/>
              <w:keepLines/>
              <w:spacing w:after="40"/>
              <w:rPr>
                <w:ins w:id="115" w:author="svcMRProcess" w:date="2020-02-13T23:55:00Z"/>
                <w:snapToGrid w:val="0"/>
                <w:sz w:val="19"/>
                <w:lang w:val="en-US"/>
              </w:rPr>
            </w:pPr>
            <w:ins w:id="116" w:author="svcMRProcess" w:date="2020-02-13T23:55:00Z">
              <w:r>
                <w:rPr>
                  <w:snapToGrid w:val="0"/>
                  <w:sz w:val="19"/>
                  <w:lang w:val="en-US"/>
                </w:rPr>
                <w:t>1 of 2013</w:t>
              </w:r>
            </w:ins>
          </w:p>
        </w:tc>
        <w:tc>
          <w:tcPr>
            <w:tcW w:w="1134" w:type="dxa"/>
          </w:tcPr>
          <w:p>
            <w:pPr>
              <w:pStyle w:val="nTable"/>
              <w:keepNext/>
              <w:keepLines/>
              <w:spacing w:after="40"/>
              <w:rPr>
                <w:ins w:id="117" w:author="svcMRProcess" w:date="2020-02-13T23:55:00Z"/>
                <w:snapToGrid w:val="0"/>
                <w:sz w:val="19"/>
                <w:lang w:val="en-US"/>
              </w:rPr>
            </w:pPr>
            <w:ins w:id="118" w:author="svcMRProcess" w:date="2020-02-13T23:55:00Z">
              <w:r>
                <w:rPr>
                  <w:sz w:val="19"/>
                </w:rPr>
                <w:t>20 Jun 2013</w:t>
              </w:r>
            </w:ins>
          </w:p>
        </w:tc>
        <w:tc>
          <w:tcPr>
            <w:tcW w:w="2552" w:type="dxa"/>
          </w:tcPr>
          <w:p>
            <w:pPr>
              <w:pStyle w:val="nTable"/>
              <w:keepNext/>
              <w:keepLines/>
              <w:spacing w:after="40"/>
              <w:rPr>
                <w:ins w:id="119" w:author="svcMRProcess" w:date="2020-02-13T23:55:00Z"/>
                <w:snapToGrid w:val="0"/>
                <w:sz w:val="19"/>
                <w:lang w:val="en-US"/>
              </w:rPr>
            </w:pPr>
            <w:ins w:id="120" w:author="svcMRProcess" w:date="2020-02-13T23:55:00Z">
              <w:r>
                <w:rPr>
                  <w:snapToGrid w:val="0"/>
                  <w:sz w:val="19"/>
                  <w:lang w:val="en-US"/>
                </w:rPr>
                <w:t>To be proclaimed (see s. 2(b))</w:t>
              </w:r>
            </w:ins>
          </w:p>
        </w:tc>
      </w:tr>
    </w:tbl>
    <w:p>
      <w:pPr>
        <w:rPr>
          <w:ins w:id="121" w:author="svcMRProcess" w:date="2020-02-13T23:55:00Z"/>
        </w:rPr>
      </w:pPr>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ins w:id="122" w:author="svcMRProcess" w:date="2020-02-13T23:55:00Z"/>
        </w:rPr>
      </w:pPr>
      <w:ins w:id="123" w:author="svcMRProcess" w:date="2020-02-13T23:55:00Z">
        <w:r>
          <w:rPr>
            <w:vertAlign w:val="superscript"/>
          </w:rPr>
          <w:t>7</w:t>
        </w:r>
        <w:r>
          <w:tab/>
          <w:t xml:space="preserve">On the date as at which this compilation was prepared, the </w:t>
        </w:r>
        <w:r>
          <w:rPr>
            <w:i/>
          </w:rPr>
          <w:t>State Agreements Legislation Repeal Act 2013</w:t>
        </w:r>
        <w:r>
          <w:t xml:space="preserve"> s. 4 had not come into operation.  It reads as follows:</w:t>
        </w:r>
      </w:ins>
    </w:p>
    <w:p>
      <w:pPr>
        <w:pStyle w:val="BlankOpen"/>
        <w:rPr>
          <w:ins w:id="124" w:author="svcMRProcess" w:date="2020-02-13T23:55:00Z"/>
        </w:rPr>
      </w:pPr>
    </w:p>
    <w:p>
      <w:pPr>
        <w:pStyle w:val="nzHeading5"/>
        <w:rPr>
          <w:ins w:id="125" w:author="svcMRProcess" w:date="2020-02-13T23:55:00Z"/>
        </w:rPr>
      </w:pPr>
      <w:bookmarkStart w:id="126" w:name="_Toc353269620"/>
      <w:bookmarkStart w:id="127" w:name="_Toc359571597"/>
      <w:ins w:id="128" w:author="svcMRProcess" w:date="2020-02-13T23:55:00Z">
        <w:r>
          <w:rPr>
            <w:rStyle w:val="CharSectno"/>
          </w:rPr>
          <w:t>4</w:t>
        </w:r>
        <w:r>
          <w:t>.</w:t>
        </w:r>
        <w:r>
          <w:tab/>
        </w:r>
        <w:r>
          <w:rPr>
            <w:i/>
          </w:rPr>
          <w:t>Broken Hill Proprietary Company’s Integrated Steel Works Agreement Act 1960</w:t>
        </w:r>
        <w:r>
          <w:t xml:space="preserve"> repealed</w:t>
        </w:r>
        <w:bookmarkEnd w:id="126"/>
        <w:bookmarkEnd w:id="127"/>
      </w:ins>
    </w:p>
    <w:p>
      <w:pPr>
        <w:pStyle w:val="nzSubsection"/>
        <w:rPr>
          <w:ins w:id="129" w:author="svcMRProcess" w:date="2020-02-13T23:55:00Z"/>
        </w:rPr>
      </w:pPr>
      <w:ins w:id="130" w:author="svcMRProcess" w:date="2020-02-13T23:55:00Z">
        <w:r>
          <w:tab/>
        </w:r>
        <w:r>
          <w:tab/>
          <w:t xml:space="preserve">The </w:t>
        </w:r>
        <w:r>
          <w:rPr>
            <w:i/>
          </w:rPr>
          <w:t>Broken Hill Proprietary Company’s Integrated Steel Works Agreement Act 1960</w:t>
        </w:r>
        <w:r>
          <w:t xml:space="preserve"> is repealed.</w:t>
        </w:r>
      </w:ins>
    </w:p>
    <w:p>
      <w:pPr>
        <w:pStyle w:val="BlankClose"/>
        <w:rPr>
          <w:ins w:id="131" w:author="svcMRProcess" w:date="2020-02-13T23:55:00Z"/>
        </w:rPr>
      </w:pPr>
    </w:p>
    <w:p>
      <w:pPr>
        <w:rPr>
          <w:ins w:id="132" w:author="svcMRProcess" w:date="2020-02-13T23:55:00Z"/>
          <w:sz w:val="20"/>
        </w:rPr>
      </w:pPr>
    </w:p>
    <w:p>
      <w:pPr>
        <w:rPr>
          <w:sz w:val="2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z w:val="20"/>
        </w:rPr>
      </w:pPr>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ind w:right="279"/>
          </w:pPr>
          <w:fldSimple w:instr=" STYLEREF &quot;Name of Act/Reg&quot; \* MERGEFORMAT ">
            <w:r>
              <w:rPr>
                <w:noProof/>
              </w:rPr>
              <w:t>Broken Hill Proprietary Company’s Integrated Steel Works Agreement Act 1960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left="240" w:right="17"/>
          </w:pPr>
          <w:fldSimple w:instr=" Styleref &quot;Name of Act/Reg&quot; ">
            <w:r>
              <w:rPr>
                <w:noProof/>
              </w:rPr>
              <w:t>Broken Hill Proprietary Company’s Integrated Steel Works Agreement Act 1960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03"/>
    <w:docVar w:name="WAFER_20151207104403" w:val="RemoveTrackChanges"/>
    <w:docVar w:name="WAFER_20151207104403_GUID" w:val="886e48d3-b17b-4015-88b1-a17e1b1cc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18949</Words>
  <Characters>91146</Characters>
  <Application>Microsoft Office Word</Application>
  <DocSecurity>0</DocSecurity>
  <Lines>1898</Lines>
  <Paragraphs>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109534</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01-d0-02 - 01-e0-02</dc:title>
  <dc:subject/>
  <dc:creator/>
  <cp:keywords/>
  <dc:description/>
  <cp:lastModifiedBy>svcMRProcess</cp:lastModifiedBy>
  <cp:revision>2</cp:revision>
  <cp:lastPrinted>2002-01-16T03:55:00Z</cp:lastPrinted>
  <dcterms:created xsi:type="dcterms:W3CDTF">2020-02-13T15:55:00Z</dcterms:created>
  <dcterms:modified xsi:type="dcterms:W3CDTF">2020-02-13T15:55:00Z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20130620</vt:lpwstr>
  </property>
  <property fmtid="{D5CDD505-2E9C-101B-9397-08002B2CF9AE}" pid="4" name="OWLSUId">
    <vt:i4>84</vt:i4>
  </property>
  <property fmtid="{D5CDD505-2E9C-101B-9397-08002B2CF9AE}" pid="5" name="DocumentType">
    <vt:lpwstr>Act</vt:lpwstr>
  </property>
  <property fmtid="{D5CDD505-2E9C-101B-9397-08002B2CF9AE}" pid="6" name="FromSuffix">
    <vt:lpwstr>01-d0-02</vt:lpwstr>
  </property>
  <property fmtid="{D5CDD505-2E9C-101B-9397-08002B2CF9AE}" pid="7" name="FromAsAtDate">
    <vt:lpwstr>11 Sep 2010</vt:lpwstr>
  </property>
  <property fmtid="{D5CDD505-2E9C-101B-9397-08002B2CF9AE}" pid="8" name="ToSuffix">
    <vt:lpwstr>01-e0-02</vt:lpwstr>
  </property>
  <property fmtid="{D5CDD505-2E9C-101B-9397-08002B2CF9AE}" pid="9" name="ToAsAtDate">
    <vt:lpwstr>20 Jun 2013</vt:lpwstr>
  </property>
</Properties>
</file>