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Beneficiation (BHP) Agreement Act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 xml:space="preserve">as </w:t>
            </w:r>
            <w:r>
              <w:rPr>
                <w:b/>
                <w:sz w:val="22"/>
              </w:rPr>
              <w:br/>
              <w:t>at 3 September 2004</w:t>
            </w:r>
          </w:p>
        </w:tc>
      </w:tr>
    </w:tbl>
    <w:p>
      <w:pPr>
        <w:pStyle w:val="WA"/>
        <w:spacing w:before="120"/>
      </w:pPr>
      <w:r>
        <w:t>Western Australia</w:t>
      </w:r>
    </w:p>
    <w:p>
      <w:pPr>
        <w:pStyle w:val="NameofActRegPage1"/>
        <w:ind w:left="567" w:right="859"/>
      </w:pPr>
      <w:r>
        <w:fldChar w:fldCharType="begin"/>
      </w:r>
      <w:r>
        <w:instrText xml:space="preserve"> STYLEREF "Name Of Act/Reg"</w:instrText>
      </w:r>
      <w:r>
        <w:fldChar w:fldCharType="separate"/>
      </w:r>
      <w:r>
        <w:rPr>
          <w:noProof/>
        </w:rPr>
        <w:t>Iron Ore Beneficiation (BHP) Agreement Act 1996</w:t>
      </w:r>
      <w:r>
        <w:fldChar w:fldCharType="end"/>
      </w:r>
    </w:p>
    <w:p>
      <w:pPr>
        <w:pStyle w:val="Arrangement"/>
      </w:pPr>
      <w:r>
        <w:t>CONTENTS</w:t>
      </w:r>
    </w:p>
    <w:p>
      <w:pPr>
        <w:pStyle w:val="TOC4"/>
        <w:rPr>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_Toc83462686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_Toc83462687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_Toc83462688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 and implementation authorised</w:t>
      </w:r>
      <w:r>
        <w:rPr>
          <w:noProof/>
        </w:rPr>
        <w:tab/>
      </w:r>
      <w:r>
        <w:rPr>
          <w:noProof/>
        </w:rPr>
        <w:fldChar w:fldCharType="begin"/>
      </w:r>
      <w:r>
        <w:rPr>
          <w:noProof/>
        </w:rPr>
        <w:instrText xml:space="preserve"> PAGEREF _Toc83462689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5.</w:t>
      </w:r>
      <w:r>
        <w:rPr>
          <w:noProof/>
          <w:sz w:val="24"/>
          <w:szCs w:val="24"/>
        </w:rPr>
        <w:tab/>
      </w:r>
      <w:r>
        <w:rPr>
          <w:noProof/>
          <w:szCs w:val="24"/>
        </w:rPr>
        <w:t>First Variation Agreement</w:t>
      </w:r>
      <w:r>
        <w:rPr>
          <w:noProof/>
        </w:rPr>
        <w:tab/>
      </w:r>
      <w:r>
        <w:rPr>
          <w:noProof/>
        </w:rPr>
        <w:fldChar w:fldCharType="begin"/>
      </w:r>
      <w:r>
        <w:rPr>
          <w:noProof/>
        </w:rPr>
        <w:instrText xml:space="preserve"> PAGEREF _Toc83462690 \h </w:instrText>
      </w:r>
      <w:r>
        <w:rPr>
          <w:noProof/>
        </w:rPr>
      </w:r>
      <w:r>
        <w:rPr>
          <w:noProof/>
        </w:rPr>
        <w:fldChar w:fldCharType="separate"/>
      </w:r>
      <w:r>
        <w:rPr>
          <w:noProof/>
        </w:rPr>
        <w:t>2</w:t>
      </w:r>
      <w:r>
        <w:rPr>
          <w:noProof/>
        </w:rPr>
        <w:fldChar w:fldCharType="end"/>
      </w:r>
    </w:p>
    <w:p>
      <w:pPr>
        <w:pStyle w:val="TOC5"/>
        <w:rPr>
          <w:b w:val="0"/>
          <w:noProof/>
          <w:sz w:val="24"/>
          <w:szCs w:val="24"/>
        </w:rPr>
      </w:pPr>
      <w:r>
        <w:rPr>
          <w:noProof/>
          <w:szCs w:val="28"/>
        </w:rPr>
        <w:t>Schedule 1</w:t>
      </w:r>
      <w:r>
        <w:rPr>
          <w:noProof/>
        </w:rPr>
        <w:tab/>
      </w:r>
      <w:r>
        <w:rPr>
          <w:b w:val="0"/>
          <w:noProof/>
          <w:sz w:val="22"/>
        </w:rPr>
        <w:fldChar w:fldCharType="begin"/>
      </w:r>
      <w:r>
        <w:rPr>
          <w:b w:val="0"/>
          <w:noProof/>
          <w:sz w:val="22"/>
        </w:rPr>
        <w:instrText xml:space="preserve"> PAGEREF _Toc83462691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5"/>
        <w:rPr>
          <w:b w:val="0"/>
          <w:noProof/>
          <w:sz w:val="24"/>
          <w:szCs w:val="24"/>
        </w:rPr>
      </w:pPr>
      <w:r>
        <w:rPr>
          <w:noProof/>
          <w:szCs w:val="28"/>
        </w:rPr>
        <w:t>Schedule 2</w:t>
      </w:r>
      <w:r>
        <w:rPr>
          <w:noProof/>
        </w:rPr>
        <w:tab/>
      </w:r>
      <w:r>
        <w:rPr>
          <w:b w:val="0"/>
          <w:noProof/>
          <w:sz w:val="22"/>
        </w:rPr>
        <w:fldChar w:fldCharType="begin"/>
      </w:r>
      <w:r>
        <w:rPr>
          <w:b w:val="0"/>
          <w:noProof/>
          <w:sz w:val="22"/>
        </w:rPr>
        <w:instrText xml:space="preserve"> PAGEREF _Toc83462692 \h </w:instrText>
      </w:r>
      <w:r>
        <w:rPr>
          <w:b w:val="0"/>
          <w:noProof/>
          <w:sz w:val="22"/>
        </w:rPr>
      </w:r>
      <w:r>
        <w:rPr>
          <w:b w:val="0"/>
          <w:noProof/>
          <w:sz w:val="22"/>
        </w:rPr>
        <w:fldChar w:fldCharType="separate"/>
      </w:r>
      <w:r>
        <w:rPr>
          <w:b w:val="0"/>
          <w:noProof/>
          <w:sz w:val="22"/>
        </w:rPr>
        <w:t>39</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_Toc83462694 \h </w:instrText>
      </w:r>
      <w:r>
        <w:rPr>
          <w:noProof/>
        </w:rPr>
      </w:r>
      <w:r>
        <w:rPr>
          <w:noProof/>
        </w:rPr>
        <w:fldChar w:fldCharType="separate"/>
      </w:r>
      <w:r>
        <w:rPr>
          <w:noProof/>
        </w:rPr>
        <w:t>44</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 xml:space="preserve">as </w:t>
            </w:r>
            <w:r>
              <w:rPr>
                <w:b/>
                <w:sz w:val="22"/>
              </w:rPr>
              <w:br/>
              <w:t>at 3</w:t>
            </w:r>
            <w:r>
              <w:rPr>
                <w:b/>
                <w:snapToGrid w:val="0"/>
                <w:sz w:val="22"/>
              </w:rPr>
              <w:t xml:space="preserve"> September 2004</w:t>
            </w:r>
          </w:p>
        </w:tc>
      </w:tr>
    </w:tbl>
    <w:p>
      <w:pPr>
        <w:pStyle w:val="WA"/>
        <w:spacing w:before="120"/>
      </w:pPr>
      <w:r>
        <w:t>Western Australia</w:t>
      </w:r>
    </w:p>
    <w:p>
      <w:pPr>
        <w:pStyle w:val="NameofActReg"/>
      </w:pPr>
      <w:r>
        <w:t>Iron Ore Beneficiation (BHP) Agreement Act 1996</w:t>
      </w:r>
    </w:p>
    <w:p>
      <w:pPr>
        <w:pStyle w:val="LongTitle"/>
        <w:rPr>
          <w:snapToGrid w:val="0"/>
        </w:rPr>
      </w:pPr>
      <w:r>
        <w:rPr>
          <w:snapToGrid w:val="0"/>
        </w:rPr>
        <w:t xml:space="preserve">An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1" w:name="_Toc64782476"/>
      <w:bookmarkStart w:id="2" w:name="_Toc64782567"/>
      <w:bookmarkStart w:id="3" w:name="_Toc83462686"/>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Beneficiation (BHP) Agreement Act 1996</w:t>
      </w:r>
      <w:r>
        <w:rPr>
          <w:snapToGrid w:val="0"/>
          <w:vertAlign w:val="superscript"/>
        </w:rPr>
        <w:t> 1</w:t>
      </w:r>
      <w:r>
        <w:rPr>
          <w:snapToGrid w:val="0"/>
        </w:rPr>
        <w:t>.</w:t>
      </w:r>
    </w:p>
    <w:p>
      <w:pPr>
        <w:pStyle w:val="Heading5"/>
        <w:rPr>
          <w:snapToGrid w:val="0"/>
        </w:rPr>
      </w:pPr>
      <w:bookmarkStart w:id="4" w:name="_Toc64782477"/>
      <w:bookmarkStart w:id="5" w:name="_Toc64782568"/>
      <w:bookmarkStart w:id="6" w:name="_Toc83462687"/>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7" w:name="_Toc64782478"/>
      <w:bookmarkStart w:id="8" w:name="_Toc64782569"/>
      <w:bookmarkStart w:id="9" w:name="_Toc83462688"/>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bookmarkStart w:id="10" w:name="RuleErr_133"/>
      <w:bookmarkStart w:id="11" w:name="RuleErr_134"/>
      <w:r>
        <w:rPr>
          <w:rStyle w:val="CharDefText"/>
        </w:rPr>
        <w:t>the First Variation Agreement</w:t>
      </w:r>
      <w:bookmarkEnd w:id="10"/>
      <w:bookmarkEnd w:id="11"/>
      <w:r>
        <w:t xml:space="preserve"> means the agreement a copy of which is set out in Schedule 2.</w:t>
      </w:r>
    </w:p>
    <w:p>
      <w:pPr>
        <w:pStyle w:val="Footnotesection"/>
      </w:pPr>
      <w:r>
        <w:tab/>
        <w:t>[Section 3 amended by No. 57 of 2000 s. 24.]</w:t>
      </w:r>
    </w:p>
    <w:p>
      <w:pPr>
        <w:pStyle w:val="Heading5"/>
        <w:rPr>
          <w:snapToGrid w:val="0"/>
        </w:rPr>
      </w:pPr>
      <w:bookmarkStart w:id="12" w:name="_Toc64782479"/>
      <w:bookmarkStart w:id="13" w:name="_Toc64782570"/>
      <w:bookmarkStart w:id="14" w:name="_Toc83462689"/>
      <w:r>
        <w:rPr>
          <w:rStyle w:val="CharSectno"/>
        </w:rPr>
        <w:t>4</w:t>
      </w:r>
      <w:r>
        <w:rPr>
          <w:snapToGrid w:val="0"/>
        </w:rPr>
        <w:t>.</w:t>
      </w:r>
      <w:r>
        <w:rPr>
          <w:snapToGrid w:val="0"/>
        </w:rPr>
        <w:tab/>
        <w:t>Agreement ratified and implementation authorised</w:t>
      </w:r>
      <w:bookmarkEnd w:id="12"/>
      <w:bookmarkEnd w:id="13"/>
      <w:bookmarkEnd w:id="1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5" w:name="_Toc64782480"/>
      <w:bookmarkStart w:id="16" w:name="_Toc64782571"/>
      <w:bookmarkStart w:id="17" w:name="_Toc83462690"/>
      <w:r>
        <w:rPr>
          <w:rStyle w:val="CharSectno"/>
        </w:rPr>
        <w:t>5</w:t>
      </w:r>
      <w:r>
        <w:t>.</w:t>
      </w:r>
      <w:r>
        <w:tab/>
        <w:t>First Variation Agreement</w:t>
      </w:r>
      <w:bookmarkEnd w:id="15"/>
      <w:bookmarkEnd w:id="16"/>
      <w:bookmarkEnd w:id="17"/>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8" w:name="_Toc83462691"/>
      <w:r>
        <w:rPr>
          <w:rStyle w:val="CharSchNo"/>
        </w:rPr>
        <w:t>Schedule 1</w:t>
      </w:r>
      <w:bookmarkEnd w:id="18"/>
      <w:r>
        <w:rPr>
          <w:rStyle w:val="CharSchText"/>
        </w:rPr>
        <w:t xml:space="preserve"> </w:t>
      </w:r>
    </w:p>
    <w:p>
      <w:pPr>
        <w:pStyle w:val="yMiscellaneousBody"/>
        <w:jc w:val="right"/>
        <w:rPr>
          <w:snapToGrid w:val="0"/>
        </w:rPr>
      </w:pPr>
      <w:r>
        <w:rPr>
          <w:snapToGrid w:val="0"/>
        </w:rPr>
        <w:t>[Section 3]</w:t>
      </w:r>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w:t>
      </w:r>
      <w:bookmarkStart w:id="19" w:name="RuleErr_43"/>
      <w:bookmarkStart w:id="20" w:name="RuleErr_87"/>
      <w:r>
        <w:rPr>
          <w:spacing w:val="-2"/>
        </w:rPr>
        <w:t xml:space="preserve"> the</w:t>
      </w:r>
      <w:bookmarkStart w:id="21" w:name="RuleErr_72"/>
      <w:r>
        <w:rPr>
          <w:spacing w:val="-2"/>
        </w:rPr>
        <w:t xml:space="preserve"> said</w:t>
      </w:r>
      <w:bookmarkEnd w:id="19"/>
      <w:bookmarkEnd w:id="20"/>
      <w:bookmarkEnd w:id="21"/>
      <w:r>
        <w:rPr>
          <w:spacing w:val="-2"/>
        </w:rPr>
        <w:t xml:space="preserve">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w:t>
      </w:r>
      <w:bookmarkStart w:id="22" w:name="RuleErr_124"/>
      <w:r>
        <w:rPr>
          <w:spacing w:val="-2"/>
        </w:rPr>
        <w:t>inflexion</w:t>
      </w:r>
      <w:bookmarkEnd w:id="22"/>
      <w:r>
        <w:rPr>
          <w:spacing w:val="-2"/>
        </w:rPr>
        <w:t xml:space="preserve">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Western </w:t>
      </w:r>
      <w:r>
        <w:rPr>
          <w:bCs/>
          <w:spacing w:val="-2"/>
        </w:rPr>
        <w:t>Australia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w:t>
      </w:r>
      <w:bookmarkStart w:id="23" w:name="RuleErr_13"/>
      <w:r>
        <w:rPr>
          <w:i/>
          <w:spacing w:val="-2"/>
        </w:rPr>
        <w:t xml:space="preserve">3 </w:t>
      </w:r>
      <w:r>
        <w:rPr>
          <w:spacing w:val="-2"/>
        </w:rPr>
        <w:t>(</w:t>
      </w:r>
      <w:bookmarkEnd w:id="23"/>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w:t>
      </w:r>
      <w:bookmarkStart w:id="24" w:name="RuleErr_58"/>
      <w:r>
        <w:rPr>
          <w:spacing w:val="-2"/>
        </w:rPr>
        <w:t xml:space="preserve"> hereto</w:t>
      </w:r>
      <w:bookmarkEnd w:id="24"/>
      <w:r>
        <w:rPr>
          <w:spacing w:val="-2"/>
        </w:rPr>
        <w:t xml:space="preserve">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w:t>
      </w:r>
      <w:bookmarkStart w:id="25" w:name="RuleErr_59"/>
      <w:r>
        <w:rPr>
          <w:spacing w:val="-2"/>
        </w:rPr>
        <w:t xml:space="preserve"> hereto</w:t>
      </w:r>
      <w:bookmarkEnd w:id="25"/>
      <w:r>
        <w:rPr>
          <w:spacing w:val="-2"/>
        </w:rPr>
        <w:t>.</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w:t>
      </w:r>
      <w:bookmarkStart w:id="26" w:name="RuleErr_44"/>
      <w:bookmarkStart w:id="27" w:name="RuleErr_88"/>
      <w:r>
        <w:rPr>
          <w:spacing w:val="-2"/>
        </w:rPr>
        <w:t xml:space="preserve"> the</w:t>
      </w:r>
      <w:bookmarkStart w:id="28" w:name="RuleErr_73"/>
      <w:r>
        <w:rPr>
          <w:spacing w:val="-2"/>
        </w:rPr>
        <w:t xml:space="preserve"> said</w:t>
      </w:r>
      <w:bookmarkEnd w:id="26"/>
      <w:bookmarkEnd w:id="27"/>
      <w:bookmarkEnd w:id="28"/>
      <w:r>
        <w:rPr>
          <w:spacing w:val="-2"/>
        </w:rPr>
        <w:t xml:space="preserve"> Bill has not commenced to operate as an Act then, unless the parties</w:t>
      </w:r>
      <w:bookmarkStart w:id="29" w:name="RuleErr_60"/>
      <w:r>
        <w:rPr>
          <w:spacing w:val="-2"/>
        </w:rPr>
        <w:t xml:space="preserve"> hereto</w:t>
      </w:r>
      <w:bookmarkEnd w:id="29"/>
      <w:r>
        <w:rPr>
          <w:spacing w:val="-2"/>
        </w:rPr>
        <w:t xml:space="preserve"> otherwise agree, this Agreement shall then cease and determine and no party</w:t>
      </w:r>
      <w:bookmarkStart w:id="30" w:name="RuleErr_61"/>
      <w:r>
        <w:rPr>
          <w:spacing w:val="-2"/>
        </w:rPr>
        <w:t xml:space="preserve"> hereto</w:t>
      </w:r>
      <w:bookmarkEnd w:id="30"/>
      <w:r>
        <w:rPr>
          <w:spacing w:val="-2"/>
        </w:rPr>
        <w:t xml:space="preserve"> shall have any claim against any other party</w:t>
      </w:r>
      <w:bookmarkStart w:id="31" w:name="RuleErr_62"/>
      <w:r>
        <w:rPr>
          <w:spacing w:val="-2"/>
        </w:rPr>
        <w:t xml:space="preserve"> hereto</w:t>
      </w:r>
      <w:bookmarkEnd w:id="31"/>
      <w:r>
        <w:rPr>
          <w:spacing w:val="-2"/>
        </w:rPr>
        <w:t xml:space="preserve">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w:t>
      </w:r>
      <w:bookmarkStart w:id="32" w:name="RuleErr_45"/>
      <w:bookmarkStart w:id="33" w:name="RuleErr_89"/>
      <w:r>
        <w:rPr>
          <w:spacing w:val="-2"/>
        </w:rPr>
        <w:t xml:space="preserve"> the</w:t>
      </w:r>
      <w:bookmarkStart w:id="34" w:name="RuleErr_74"/>
      <w:r>
        <w:rPr>
          <w:spacing w:val="-2"/>
        </w:rPr>
        <w:t xml:space="preserve"> said</w:t>
      </w:r>
      <w:bookmarkEnd w:id="32"/>
      <w:bookmarkEnd w:id="33"/>
      <w:bookmarkEnd w:id="34"/>
      <w:r>
        <w:rPr>
          <w:spacing w:val="-2"/>
        </w:rPr>
        <w:t xml:space="preserve">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w:t>
      </w:r>
      <w:bookmarkStart w:id="35" w:name="RuleErr_35"/>
      <w:r>
        <w:rPr>
          <w:spacing w:val="-2"/>
        </w:rPr>
        <w:t xml:space="preserve"> of this clause</w:t>
      </w:r>
      <w:bookmarkEnd w:id="35"/>
      <w:r>
        <w:rPr>
          <w:spacing w:val="-2"/>
        </w:rPr>
        <w:t xml:space="preserve"> and to enable it to </w:t>
      </w:r>
      <w:bookmarkStart w:id="36" w:name="RuleErr_117"/>
      <w:r>
        <w:rPr>
          <w:spacing w:val="-2"/>
        </w:rPr>
        <w:t>finalise</w:t>
      </w:r>
      <w:bookmarkEnd w:id="36"/>
      <w:r>
        <w:rPr>
          <w:spacing w:val="-2"/>
        </w:rPr>
        <w:t xml:space="preserv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 xml:space="preserve">The Company shall </w:t>
      </w:r>
      <w:bookmarkStart w:id="37" w:name="RuleErr_127"/>
      <w:bookmarkStart w:id="38" w:name="RuleErr_128"/>
      <w:r>
        <w:rPr>
          <w:spacing w:val="-2"/>
        </w:rPr>
        <w:t>co</w:t>
      </w:r>
      <w:r>
        <w:rPr>
          <w:spacing w:val="-2"/>
        </w:rPr>
        <w:noBreakHyphen/>
        <w:t>operat</w:t>
      </w:r>
      <w:bookmarkEnd w:id="37"/>
      <w:bookmarkEnd w:id="38"/>
      <w:r>
        <w:rPr>
          <w:spacing w:val="-2"/>
        </w:rPr>
        <w: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w:t>
      </w:r>
      <w:bookmarkStart w:id="39" w:name="RuleErr_14"/>
      <w:r>
        <w:rPr>
          <w:i/>
          <w:iCs/>
          <w:spacing w:val="-2"/>
        </w:rPr>
        <w:t>2</w:t>
      </w:r>
      <w:r>
        <w:rPr>
          <w:spacing w:val="-2"/>
        </w:rPr>
        <w:t xml:space="preserve"> (</w:t>
      </w:r>
      <w:bookmarkEnd w:id="39"/>
      <w:r>
        <w:rPr>
          <w:spacing w:val="-2"/>
        </w:rPr>
        <w:t>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 xml:space="preserve">Each of the proposals pursuant to subclause (1) may, with the approval of the Minister or if so required by </w:t>
      </w:r>
      <w:bookmarkStart w:id="40" w:name="RuleErr_24"/>
      <w:r>
        <w:rPr>
          <w:spacing w:val="-2"/>
        </w:rPr>
        <w:t>him</w:t>
      </w:r>
      <w:bookmarkEnd w:id="40"/>
      <w:r>
        <w:rPr>
          <w:spacing w:val="-2"/>
        </w:rPr>
        <w:t>,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w:t>
      </w:r>
      <w:bookmarkStart w:id="41" w:name="RuleErr_46"/>
      <w:bookmarkStart w:id="42" w:name="RuleErr_90"/>
      <w:r>
        <w:rPr>
          <w:spacing w:val="-2"/>
        </w:rPr>
        <w:t xml:space="preserve"> the</w:t>
      </w:r>
      <w:bookmarkStart w:id="43" w:name="RuleErr_75"/>
      <w:r>
        <w:rPr>
          <w:spacing w:val="-2"/>
        </w:rPr>
        <w:t xml:space="preserve"> said</w:t>
      </w:r>
      <w:bookmarkEnd w:id="41"/>
      <w:bookmarkEnd w:id="42"/>
      <w:bookmarkEnd w:id="43"/>
      <w:r>
        <w:rPr>
          <w:spacing w:val="-2"/>
        </w:rPr>
        <w:t xml:space="preserve">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w:t>
      </w:r>
      <w:bookmarkStart w:id="44" w:name="RuleErr_47"/>
      <w:bookmarkStart w:id="45" w:name="RuleErr_91"/>
      <w:r>
        <w:rPr>
          <w:spacing w:val="-2"/>
        </w:rPr>
        <w:t xml:space="preserve"> the</w:t>
      </w:r>
      <w:bookmarkStart w:id="46" w:name="RuleErr_76"/>
      <w:r>
        <w:rPr>
          <w:spacing w:val="-2"/>
        </w:rPr>
        <w:t xml:space="preserve"> said</w:t>
      </w:r>
      <w:bookmarkEnd w:id="44"/>
      <w:bookmarkEnd w:id="45"/>
      <w:bookmarkEnd w:id="46"/>
      <w:r>
        <w:rPr>
          <w:spacing w:val="-2"/>
        </w:rPr>
        <w:t xml:space="preserve"> proposal; or</w:t>
      </w:r>
    </w:p>
    <w:p>
      <w:pPr>
        <w:pStyle w:val="yMiscellaneousBody"/>
        <w:tabs>
          <w:tab w:val="left" w:pos="1134"/>
          <w:tab w:val="left" w:pos="1701"/>
        </w:tabs>
        <w:ind w:left="1701" w:hanging="1701"/>
        <w:rPr>
          <w:spacing w:val="-2"/>
        </w:rPr>
      </w:pPr>
      <w:r>
        <w:rPr>
          <w:spacing w:val="-2"/>
        </w:rPr>
        <w:tab/>
        <w:t>(c)</w:t>
      </w:r>
      <w:r>
        <w:rPr>
          <w:spacing w:val="-2"/>
        </w:rPr>
        <w:tab/>
        <w:t xml:space="preserve">require, as a condition precedent to the giving of </w:t>
      </w:r>
      <w:bookmarkStart w:id="47" w:name="RuleErr_27"/>
      <w:r>
        <w:rPr>
          <w:spacing w:val="-2"/>
        </w:rPr>
        <w:t>his</w:t>
      </w:r>
      <w:bookmarkEnd w:id="47"/>
      <w:r>
        <w:rPr>
          <w:spacing w:val="-2"/>
        </w:rPr>
        <w:t xml:space="preserve"> approval to</w:t>
      </w:r>
      <w:bookmarkStart w:id="48" w:name="RuleErr_48"/>
      <w:bookmarkStart w:id="49" w:name="RuleErr_92"/>
      <w:r>
        <w:rPr>
          <w:spacing w:val="-2"/>
        </w:rPr>
        <w:t xml:space="preserve"> the</w:t>
      </w:r>
      <w:bookmarkStart w:id="50" w:name="RuleErr_77"/>
      <w:r>
        <w:rPr>
          <w:spacing w:val="-2"/>
        </w:rPr>
        <w:t xml:space="preserve"> said</w:t>
      </w:r>
      <w:bookmarkEnd w:id="48"/>
      <w:bookmarkEnd w:id="49"/>
      <w:bookmarkEnd w:id="50"/>
      <w:r>
        <w:rPr>
          <w:spacing w:val="-2"/>
        </w:rPr>
        <w:t xml:space="preserve"> proposal, that the Company makes such alteration thereto or complies with such conditions in respect thereto as </w:t>
      </w:r>
      <w:bookmarkStart w:id="51" w:name="RuleErr_20"/>
      <w:r>
        <w:rPr>
          <w:spacing w:val="-2"/>
        </w:rPr>
        <w:t>he</w:t>
      </w:r>
      <w:bookmarkEnd w:id="51"/>
      <w:r>
        <w:rPr>
          <w:spacing w:val="-2"/>
        </w:rPr>
        <w:t xml:space="preserve"> thinks reasonable, and in such a case the Minister shall disclose </w:t>
      </w:r>
      <w:bookmarkStart w:id="52" w:name="RuleErr_28"/>
      <w:r>
        <w:rPr>
          <w:spacing w:val="-2"/>
        </w:rPr>
        <w:t>his</w:t>
      </w:r>
      <w:bookmarkEnd w:id="52"/>
      <w:r>
        <w:rPr>
          <w:spacing w:val="-2"/>
        </w:rPr>
        <w:t xml:space="preserve">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 xml:space="preserve">The Minister shall, within </w:t>
      </w:r>
      <w:bookmarkStart w:id="53" w:name="RuleErr_119"/>
      <w:r>
        <w:rPr>
          <w:spacing w:val="-2"/>
        </w:rPr>
        <w:t>two</w:t>
      </w:r>
      <w:bookmarkEnd w:id="53"/>
      <w:r>
        <w:rPr>
          <w:spacing w:val="-2"/>
        </w:rPr>
        <w:t xml:space="preserve"> months after receipt of proposals pursuant to subclause (1) of Clause 5 give notice to the Company of </w:t>
      </w:r>
      <w:bookmarkStart w:id="54" w:name="RuleErr_29"/>
      <w:r>
        <w:rPr>
          <w:spacing w:val="-2"/>
        </w:rPr>
        <w:t>his</w:t>
      </w:r>
      <w:bookmarkEnd w:id="54"/>
      <w:r>
        <w:rPr>
          <w:spacing w:val="-2"/>
        </w:rPr>
        <w:t xml:space="preserve">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where a proposal is to be assessed under section 40(1)(b) of the EP Act the Minister shall only give notice to the Company of </w:t>
      </w:r>
      <w:bookmarkStart w:id="55" w:name="RuleErr_30"/>
      <w:r>
        <w:rPr>
          <w:spacing w:val="-2"/>
        </w:rPr>
        <w:t>his</w:t>
      </w:r>
      <w:bookmarkEnd w:id="55"/>
      <w:r>
        <w:rPr>
          <w:spacing w:val="-2"/>
        </w:rPr>
        <w:t xml:space="preserve"> decision in respect to the proposal within 2 months after service on </w:t>
      </w:r>
      <w:bookmarkStart w:id="56" w:name="RuleErr_25"/>
      <w:r>
        <w:rPr>
          <w:spacing w:val="-2"/>
        </w:rPr>
        <w:t>him</w:t>
      </w:r>
      <w:bookmarkEnd w:id="56"/>
      <w:r>
        <w:rPr>
          <w:spacing w:val="-2"/>
        </w:rPr>
        <w:t xml:space="preserve">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 xml:space="preserve">where implementation of a proposal by the State will require the State to take any native title rights and interests the Minister shall only give notice to the Company of </w:t>
      </w:r>
      <w:bookmarkStart w:id="57" w:name="RuleErr_31"/>
      <w:r>
        <w:rPr>
          <w:spacing w:val="-2"/>
        </w:rPr>
        <w:t>his</w:t>
      </w:r>
      <w:bookmarkEnd w:id="57"/>
      <w:r>
        <w:rPr>
          <w:spacing w:val="-2"/>
        </w:rPr>
        <w:t xml:space="preserve">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 xml:space="preserve">If the decision of the Minister is as mentioned in either of paragraphs (b) or (c) of subclause (1), the Minister shall afford the Company full opportunity to consult with </w:t>
      </w:r>
      <w:bookmarkStart w:id="58" w:name="RuleErr_26"/>
      <w:r>
        <w:rPr>
          <w:spacing w:val="-2"/>
        </w:rPr>
        <w:t>him</w:t>
      </w:r>
      <w:bookmarkEnd w:id="58"/>
      <w:r>
        <w:rPr>
          <w:spacing w:val="-2"/>
        </w:rPr>
        <w:t xml:space="preserve">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 xml:space="preserve">If the decision of the Minister is as mentioned in either of paragraphs (b) or (c) of subclause (1) and the Company considers that the decision is unreasonable, the Company within </w:t>
      </w:r>
      <w:bookmarkStart w:id="59" w:name="RuleErr_120"/>
      <w:r>
        <w:rPr>
          <w:spacing w:val="-2"/>
        </w:rPr>
        <w:t>two</w:t>
      </w:r>
      <w:bookmarkEnd w:id="59"/>
      <w:r>
        <w:rPr>
          <w:spacing w:val="-2"/>
        </w:rPr>
        <w:t xml:space="preserve">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 xml:space="preserve">if by the award the dispute is decided in favour of the Company, the decision shall take effect as (and be deemed to be) a notice by the Minister that </w:t>
      </w:r>
      <w:bookmarkStart w:id="60" w:name="RuleErr_21"/>
      <w:r>
        <w:rPr>
          <w:spacing w:val="-2"/>
        </w:rPr>
        <w:t>he</w:t>
      </w:r>
      <w:bookmarkEnd w:id="60"/>
      <w:r>
        <w:rPr>
          <w:spacing w:val="-2"/>
        </w:rPr>
        <w:t xml:space="preserv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w:t>
      </w:r>
      <w:bookmarkStart w:id="61" w:name="RuleErr_49"/>
      <w:bookmarkStart w:id="62" w:name="RuleErr_93"/>
      <w:r>
        <w:rPr>
          <w:spacing w:val="-2"/>
        </w:rPr>
        <w:t xml:space="preserve"> the</w:t>
      </w:r>
      <w:bookmarkStart w:id="63" w:name="RuleErr_78"/>
      <w:r>
        <w:rPr>
          <w:spacing w:val="-2"/>
        </w:rPr>
        <w:t xml:space="preserve"> said</w:t>
      </w:r>
      <w:bookmarkEnd w:id="61"/>
      <w:bookmarkEnd w:id="62"/>
      <w:bookmarkEnd w:id="63"/>
      <w:r>
        <w:rPr>
          <w:spacing w:val="-2"/>
        </w:rPr>
        <w:t xml:space="preserve">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w:t>
      </w:r>
      <w:bookmarkStart w:id="64" w:name="RuleErr_63"/>
      <w:r>
        <w:rPr>
          <w:spacing w:val="-2"/>
        </w:rPr>
        <w:t xml:space="preserve"> hereto</w:t>
      </w:r>
      <w:bookmarkEnd w:id="64"/>
      <w:r>
        <w:rPr>
          <w:spacing w:val="-2"/>
        </w:rPr>
        <w:t xml:space="preserve">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w:t>
      </w:r>
      <w:bookmarkStart w:id="65" w:name="RuleErr_15"/>
      <w:r>
        <w:rPr>
          <w:spacing w:val="-2"/>
        </w:rPr>
        <w:t>6 (</w:t>
      </w:r>
      <w:bookmarkEnd w:id="65"/>
      <w:r>
        <w:rPr>
          <w:spacing w:val="-2"/>
        </w:rPr>
        <w:t xml:space="preserve">other than subclauses (5)(a), (6) and (7) of Clause 6) shall </w:t>
      </w:r>
      <w:bookmarkStart w:id="66" w:name="RuleErr_129"/>
      <w:r>
        <w:rPr>
          <w:spacing w:val="-2"/>
        </w:rPr>
        <w:t>mutatis mutandis</w:t>
      </w:r>
      <w:bookmarkEnd w:id="66"/>
      <w:r>
        <w:rPr>
          <w:spacing w:val="-2"/>
        </w:rPr>
        <w:t xml:space="preserve">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w:t>
      </w:r>
      <w:bookmarkStart w:id="67" w:name="RuleErr_16"/>
      <w:r>
        <w:rPr>
          <w:i/>
          <w:spacing w:val="-2"/>
        </w:rPr>
        <w:t xml:space="preserve">3 </w:t>
      </w:r>
      <w:r>
        <w:rPr>
          <w:spacing w:val="-2"/>
        </w:rPr>
        <w:t>(</w:t>
      </w:r>
      <w:bookmarkEnd w:id="67"/>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w:t>
      </w:r>
      <w:bookmarkStart w:id="68" w:name="RuleErr_50"/>
      <w:bookmarkStart w:id="69" w:name="RuleErr_94"/>
      <w:r>
        <w:rPr>
          <w:spacing w:val="-2"/>
        </w:rPr>
        <w:t xml:space="preserve"> the</w:t>
      </w:r>
      <w:bookmarkStart w:id="70" w:name="RuleErr_79"/>
      <w:r>
        <w:rPr>
          <w:spacing w:val="-2"/>
        </w:rPr>
        <w:t xml:space="preserve"> said</w:t>
      </w:r>
      <w:bookmarkEnd w:id="68"/>
      <w:bookmarkEnd w:id="69"/>
      <w:bookmarkEnd w:id="70"/>
      <w:r>
        <w:rPr>
          <w:spacing w:val="-2"/>
        </w:rPr>
        <w:t xml:space="preserve">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w:t>
      </w:r>
      <w:bookmarkStart w:id="71" w:name="RuleErr_34"/>
      <w:r>
        <w:rPr>
          <w:spacing w:val="-2"/>
        </w:rPr>
        <w:t xml:space="preserve"> of this section</w:t>
      </w:r>
      <w:bookmarkEnd w:id="71"/>
      <w:r>
        <w:rPr>
          <w:spacing w:val="-2"/>
        </w:rPr>
        <w:t xml:space="preserve">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w:t>
      </w:r>
      <w:bookmarkStart w:id="72" w:name="RuleErr_38"/>
      <w:r>
        <w:rPr>
          <w:spacing w:val="-2"/>
        </w:rPr>
        <w:t xml:space="preserve"> of this subclause</w:t>
      </w:r>
      <w:bookmarkEnd w:id="72"/>
      <w:r>
        <w:rPr>
          <w:spacing w:val="-2"/>
        </w:rPr>
        <w:t xml:space="preserv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 xml:space="preserve">not more than one year or less than </w:t>
      </w:r>
      <w:bookmarkStart w:id="73" w:name="RuleErr_123"/>
      <w:r>
        <w:rPr>
          <w:spacing w:val="-2"/>
        </w:rPr>
        <w:t>six</w:t>
      </w:r>
      <w:bookmarkEnd w:id="73"/>
      <w:r>
        <w:rPr>
          <w:spacing w:val="-2"/>
        </w:rPr>
        <w:t xml:space="preserve">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 xml:space="preserve">With respect to the area hatched on the Plan (“the surrounding land”) or such other area within a </w:t>
      </w:r>
      <w:bookmarkStart w:id="74" w:name="RuleErr_122"/>
      <w:r>
        <w:rPr>
          <w:spacing w:val="-2"/>
        </w:rPr>
        <w:t>five</w:t>
      </w:r>
      <w:bookmarkEnd w:id="74"/>
      <w:r>
        <w:rPr>
          <w:spacing w:val="-2"/>
        </w:rPr>
        <w:t xml:space="preser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 xml:space="preserve">The Minister may, within 2 months of the receipt of a detailed report pursuant to subclause (1) or (2), notify the Company that </w:t>
      </w:r>
      <w:bookmarkStart w:id="75" w:name="RuleErr_22"/>
      <w:r>
        <w:rPr>
          <w:spacing w:val="-2"/>
        </w:rPr>
        <w:t>he</w:t>
      </w:r>
      <w:bookmarkEnd w:id="75"/>
      <w:r>
        <w:rPr>
          <w:spacing w:val="-2"/>
        </w:rPr>
        <w:t xml:space="preserv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 xml:space="preserve">The Company shall, within 2 months of receipt of a notice given pursuant to subclause (3), submit to the Minister additional detailed proposals as required and the provisions of subclauses (1), (2), (3) and (4) of Clause 6 shall </w:t>
      </w:r>
      <w:bookmarkStart w:id="76" w:name="RuleErr_130"/>
      <w:r>
        <w:rPr>
          <w:spacing w:val="-2"/>
        </w:rPr>
        <w:t>mutatis mutandis</w:t>
      </w:r>
      <w:bookmarkEnd w:id="76"/>
      <w:r>
        <w:rPr>
          <w:spacing w:val="-2"/>
        </w:rPr>
        <w:t xml:space="preserve">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w:t>
      </w:r>
      <w:bookmarkStart w:id="77" w:name="RuleErr_109"/>
      <w:r>
        <w:rPr>
          <w:spacing w:val="-2"/>
        </w:rPr>
        <w:t xml:space="preserve"> as</w:t>
      </w:r>
      <w:bookmarkStart w:id="78" w:name="RuleErr_101"/>
      <w:r>
        <w:rPr>
          <w:spacing w:val="-2"/>
        </w:rPr>
        <w:t xml:space="preserve"> aforesaid</w:t>
      </w:r>
      <w:bookmarkEnd w:id="77"/>
      <w:bookmarkEnd w:id="78"/>
      <w:r>
        <w:rPr>
          <w:spacing w:val="-2"/>
        </w:rPr>
        <w:t>,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w:t>
      </w:r>
      <w:bookmarkStart w:id="79" w:name="RuleErr_110"/>
      <w:r>
        <w:rPr>
          <w:spacing w:val="-2"/>
        </w:rPr>
        <w:t xml:space="preserve"> as</w:t>
      </w:r>
      <w:bookmarkStart w:id="80" w:name="RuleErr_102"/>
      <w:r>
        <w:rPr>
          <w:spacing w:val="-2"/>
        </w:rPr>
        <w:t xml:space="preserve"> aforesaid</w:t>
      </w:r>
      <w:bookmarkEnd w:id="79"/>
      <w:bookmarkEnd w:id="80"/>
      <w:r>
        <w:rPr>
          <w:spacing w:val="-2"/>
        </w:rPr>
        <w:t>,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w:t>
      </w:r>
      <w:bookmarkStart w:id="81" w:name="RuleErr_39"/>
      <w:r>
        <w:rPr>
          <w:spacing w:val="-2"/>
        </w:rPr>
        <w:t xml:space="preserve"> of this subclause</w:t>
      </w:r>
      <w:bookmarkEnd w:id="81"/>
      <w:r>
        <w:rPr>
          <w:spacing w:val="-2"/>
        </w:rPr>
        <w:t>,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w:t>
      </w:r>
      <w:bookmarkStart w:id="82" w:name="RuleErr_36"/>
      <w:r>
        <w:rPr>
          <w:spacing w:val="-2"/>
        </w:rPr>
        <w:t xml:space="preserve"> of this clause</w:t>
      </w:r>
      <w:bookmarkEnd w:id="82"/>
      <w:r>
        <w:rPr>
          <w:spacing w:val="-2"/>
        </w:rPr>
        <w:t>;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 xml:space="preserve">If the Company advises the Minister that it has not been able, for a period of at least </w:t>
      </w:r>
      <w:bookmarkStart w:id="83" w:name="RuleErr_121"/>
      <w:r>
        <w:rPr>
          <w:spacing w:val="-2"/>
        </w:rPr>
        <w:t>two</w:t>
      </w:r>
      <w:bookmarkEnd w:id="83"/>
      <w:r>
        <w:rPr>
          <w:spacing w:val="-2"/>
        </w:rPr>
        <w:t xml:space="preserve">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w:t>
      </w:r>
      <w:bookmarkStart w:id="84" w:name="RuleErr_23"/>
      <w:r>
        <w:rPr>
          <w:spacing w:val="-2"/>
        </w:rPr>
        <w:t>he</w:t>
      </w:r>
      <w:bookmarkEnd w:id="84"/>
      <w:r>
        <w:rPr>
          <w:spacing w:val="-2"/>
        </w:rPr>
        <w:t xml:space="preserve"> reasonably considers are appropriate in the circumstances to the agreement.  Unless the Minister is advised within one month of </w:t>
      </w:r>
      <w:bookmarkStart w:id="85" w:name="RuleErr_32"/>
      <w:r>
        <w:rPr>
          <w:spacing w:val="-2"/>
        </w:rPr>
        <w:t>his</w:t>
      </w:r>
      <w:bookmarkEnd w:id="85"/>
      <w:r>
        <w:rPr>
          <w:spacing w:val="-2"/>
        </w:rPr>
        <w:t xml:space="preserve">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w:t>
      </w:r>
      <w:bookmarkStart w:id="86" w:name="RuleErr_57"/>
      <w:r>
        <w:rPr>
          <w:spacing w:val="-2"/>
        </w:rPr>
        <w:t xml:space="preserve"> hereof</w:t>
      </w:r>
      <w:bookmarkEnd w:id="86"/>
      <w:r>
        <w:rPr>
          <w:spacing w:val="-2"/>
        </w:rPr>
        <w:t xml:space="preserve">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bookmarkStart w:id="87" w:name="RuleErr_111"/>
      <w:r>
        <w:rPr>
          <w:spacing w:val="-2"/>
        </w:rPr>
        <w:t xml:space="preserve"> as</w:t>
      </w:r>
      <w:bookmarkStart w:id="88" w:name="RuleErr_103"/>
      <w:r>
        <w:rPr>
          <w:spacing w:val="-2"/>
        </w:rPr>
        <w:t xml:space="preserve"> aforesaid</w:t>
      </w:r>
      <w:bookmarkEnd w:id="87"/>
      <w:bookmarkEnd w:id="88"/>
      <w:r>
        <w:rPr>
          <w:spacing w:val="-2"/>
        </w:rPr>
        <w:t xml:space="preserve">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w:t>
      </w:r>
      <w:bookmarkStart w:id="89" w:name="RuleErr_51"/>
      <w:bookmarkStart w:id="90" w:name="RuleErr_95"/>
      <w:r>
        <w:rPr>
          <w:spacing w:val="-2"/>
        </w:rPr>
        <w:t xml:space="preserve"> the</w:t>
      </w:r>
      <w:bookmarkStart w:id="91" w:name="RuleErr_80"/>
      <w:r>
        <w:rPr>
          <w:spacing w:val="-2"/>
        </w:rPr>
        <w:t xml:space="preserve"> said</w:t>
      </w:r>
      <w:bookmarkEnd w:id="89"/>
      <w:bookmarkEnd w:id="90"/>
      <w:bookmarkEnd w:id="91"/>
      <w:r>
        <w:rPr>
          <w:spacing w:val="-2"/>
        </w:rPr>
        <w:t xml:space="preserve">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w:t>
      </w:r>
      <w:bookmarkStart w:id="92" w:name="RuleErr_81"/>
      <w:r>
        <w:rPr>
          <w:spacing w:val="-2"/>
        </w:rPr>
        <w:t xml:space="preserve"> said</w:t>
      </w:r>
      <w:bookmarkEnd w:id="92"/>
      <w:r>
        <w:rPr>
          <w:spacing w:val="-2"/>
        </w:rPr>
        <w:t xml:space="preserve">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bookmarkStart w:id="93" w:name="RuleErr_126"/>
      <w:r>
        <w:rPr>
          <w:spacing w:val="-2"/>
        </w:rPr>
        <w:t>bona fide</w:t>
      </w:r>
      <w:bookmarkEnd w:id="93"/>
      <w:r>
        <w:rPr>
          <w:spacing w:val="-2"/>
        </w:rPr>
        <w:t xml:space="preserv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w:t>
      </w:r>
      <w:bookmarkStart w:id="94" w:name="RuleErr_112"/>
      <w:r>
        <w:rPr>
          <w:spacing w:val="-2"/>
        </w:rPr>
        <w:t xml:space="preserve"> as</w:t>
      </w:r>
      <w:bookmarkStart w:id="95" w:name="RuleErr_104"/>
      <w:r>
        <w:rPr>
          <w:spacing w:val="-2"/>
        </w:rPr>
        <w:t xml:space="preserve"> aforesaid</w:t>
      </w:r>
      <w:bookmarkEnd w:id="94"/>
      <w:bookmarkEnd w:id="95"/>
      <w:r>
        <w:rPr>
          <w:spacing w:val="-2"/>
        </w:rPr>
        <w:t xml:space="preserve"> the State, instead of determining this Agreement</w:t>
      </w:r>
      <w:bookmarkStart w:id="96" w:name="RuleErr_113"/>
      <w:r>
        <w:rPr>
          <w:spacing w:val="-2"/>
        </w:rPr>
        <w:t xml:space="preserve"> as</w:t>
      </w:r>
      <w:bookmarkStart w:id="97" w:name="RuleErr_105"/>
      <w:r>
        <w:rPr>
          <w:spacing w:val="-2"/>
        </w:rPr>
        <w:t xml:space="preserve"> aforesaid</w:t>
      </w:r>
      <w:bookmarkEnd w:id="96"/>
      <w:bookmarkEnd w:id="97"/>
      <w:r>
        <w:rPr>
          <w:spacing w:val="-2"/>
        </w:rP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w:t>
      </w:r>
      <w:bookmarkStart w:id="98" w:name="RuleErr_64"/>
      <w:r>
        <w:rPr>
          <w:spacing w:val="-2"/>
        </w:rPr>
        <w:t xml:space="preserve"> hereto</w:t>
      </w:r>
      <w:bookmarkEnd w:id="98"/>
      <w:r>
        <w:rPr>
          <w:spacing w:val="-2"/>
        </w:rPr>
        <w:t xml:space="preserve">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w:t>
      </w:r>
      <w:bookmarkStart w:id="99" w:name="RuleErr_114"/>
      <w:r>
        <w:rPr>
          <w:spacing w:val="-2"/>
        </w:rPr>
        <w:t xml:space="preserve"> as</w:t>
      </w:r>
      <w:bookmarkStart w:id="100" w:name="RuleErr_106"/>
      <w:r>
        <w:rPr>
          <w:spacing w:val="-2"/>
        </w:rPr>
        <w:t xml:space="preserve"> aforesaid</w:t>
      </w:r>
      <w:bookmarkEnd w:id="99"/>
      <w:bookmarkEnd w:id="100"/>
      <w:r>
        <w:rPr>
          <w:spacing w:val="-2"/>
        </w:rPr>
        <w:t xml:space="preserve">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 xml:space="preserve">Where, on the determination of this Agreement pursuant to Clause 19 approved proposals have been implemented by the Company in accordance with the terms thereof if the Minister in </w:t>
      </w:r>
      <w:bookmarkStart w:id="101" w:name="RuleErr_33"/>
      <w:r>
        <w:rPr>
          <w:spacing w:val="-2"/>
        </w:rPr>
        <w:t>his</w:t>
      </w:r>
      <w:bookmarkEnd w:id="101"/>
      <w:r>
        <w:rPr>
          <w:spacing w:val="-2"/>
        </w:rPr>
        <w:t xml:space="preserve">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Western Australia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w:t>
      </w:r>
      <w:bookmarkStart w:id="102" w:name="RuleErr_40"/>
      <w:r>
        <w:rPr>
          <w:spacing w:val="-2"/>
        </w:rPr>
        <w:t xml:space="preserve"> of this subclause</w:t>
      </w:r>
      <w:bookmarkEnd w:id="102"/>
      <w:r>
        <w:rPr>
          <w:spacing w:val="-2"/>
        </w:rPr>
        <w:t>,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w:t>
      </w:r>
      <w:bookmarkStart w:id="103" w:name="RuleErr_41"/>
      <w:r>
        <w:rPr>
          <w:spacing w:val="-2"/>
        </w:rPr>
        <w:t xml:space="preserve"> of this subclause</w:t>
      </w:r>
      <w:bookmarkEnd w:id="103"/>
      <w:r>
        <w:rPr>
          <w:spacing w:val="-2"/>
        </w:rPr>
        <w:t>.</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w:t>
      </w:r>
      <w:bookmarkStart w:id="104" w:name="RuleErr_42"/>
      <w:r>
        <w:rPr>
          <w:spacing w:val="-2"/>
        </w:rPr>
        <w:t xml:space="preserve"> of this subclause</w:t>
      </w:r>
      <w:bookmarkEnd w:id="104"/>
      <w:r>
        <w:rPr>
          <w:spacing w:val="-2"/>
        </w:rPr>
        <w:t xml:space="preserve">, it shall give to the State notice of such desire and thereby shall grant to the State the right or option exercisable within 3 months thereafter to purchase in situ such fixed or </w:t>
      </w:r>
      <w:bookmarkStart w:id="105" w:name="RuleErr_118"/>
      <w:bookmarkStart w:id="106" w:name="RuleErr_125"/>
      <w:r>
        <w:rPr>
          <w:spacing w:val="-2"/>
        </w:rPr>
        <w:t>moveable</w:t>
      </w:r>
      <w:bookmarkEnd w:id="105"/>
      <w:bookmarkEnd w:id="106"/>
      <w:r>
        <w:rPr>
          <w:spacing w:val="-2"/>
        </w:rPr>
        <w:t xml:space="preserv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w:t>
      </w:r>
      <w:bookmarkStart w:id="107" w:name="RuleErr_52"/>
      <w:bookmarkStart w:id="108" w:name="RuleErr_96"/>
      <w:r>
        <w:rPr>
          <w:spacing w:val="-2"/>
        </w:rPr>
        <w:t xml:space="preserve"> the</w:t>
      </w:r>
      <w:bookmarkStart w:id="109" w:name="RuleErr_82"/>
      <w:r>
        <w:rPr>
          <w:spacing w:val="-2"/>
        </w:rPr>
        <w:t xml:space="preserve"> said</w:t>
      </w:r>
      <w:bookmarkEnd w:id="107"/>
      <w:bookmarkEnd w:id="108"/>
      <w:bookmarkEnd w:id="109"/>
      <w:r>
        <w:rPr>
          <w:spacing w:val="-2"/>
        </w:rPr>
        <w:t xml:space="preserve">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w:t>
      </w:r>
      <w:bookmarkStart w:id="110" w:name="RuleErr_115"/>
      <w:r>
        <w:rPr>
          <w:spacing w:val="-2"/>
        </w:rPr>
        <w:t xml:space="preserve"> as</w:t>
      </w:r>
      <w:bookmarkStart w:id="111" w:name="RuleErr_107"/>
      <w:r>
        <w:rPr>
          <w:spacing w:val="-2"/>
        </w:rPr>
        <w:t xml:space="preserve"> aforesaid</w:t>
      </w:r>
      <w:bookmarkEnd w:id="110"/>
      <w:bookmarkEnd w:id="111"/>
      <w:r>
        <w:rPr>
          <w:spacing w:val="-2"/>
        </w:rPr>
        <w:t xml:space="preserve">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The State shall spend to an agreed timetable a further sum of $5,000,000 on public infrastructure agreed by the Minister and the Company to be required for the purposes of the Project and of heavy industry in the vicinity of the Town of Port Hedland.</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w:t>
      </w:r>
      <w:bookmarkStart w:id="112" w:name="RuleErr_37"/>
      <w:r>
        <w:rPr>
          <w:spacing w:val="-2"/>
        </w:rPr>
        <w:t xml:space="preserve"> of this clause</w:t>
      </w:r>
      <w:bookmarkEnd w:id="112"/>
      <w:r>
        <w:rPr>
          <w:spacing w:val="-2"/>
        </w:rPr>
        <w:t>,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This Agreement shall be interpreted according to the law for the time being in force in the State of Western Australia.</w:t>
      </w:r>
    </w:p>
    <w:p>
      <w:pPr>
        <w:pStyle w:val="yMiscellaneousBody"/>
        <w:spacing w:before="320"/>
        <w:rPr>
          <w:spacing w:val="-2"/>
        </w:rPr>
      </w:pPr>
      <w:r>
        <w:rPr>
          <w:spacing w:val="-2"/>
        </w:rPr>
        <w:t>IN WITNESS WHEREOF this Agreement has been executed by or on behalf of the parties</w:t>
      </w:r>
      <w:bookmarkStart w:id="113" w:name="RuleErr_65"/>
      <w:r>
        <w:rPr>
          <w:spacing w:val="-2"/>
        </w:rPr>
        <w:t xml:space="preserve"> hereto</w:t>
      </w:r>
      <w:bookmarkEnd w:id="113"/>
      <w:r>
        <w:rPr>
          <w:spacing w:val="-2"/>
        </w:rP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w:t>
            </w:r>
            <w:bookmarkStart w:id="114" w:name="RuleErr_53"/>
            <w:bookmarkStart w:id="115" w:name="RuleErr_97"/>
            <w:r>
              <w:rPr>
                <w:spacing w:val="-2"/>
              </w:rPr>
              <w:t xml:space="preserve"> the</w:t>
            </w:r>
            <w:bookmarkStart w:id="116" w:name="RuleErr_83"/>
            <w:r>
              <w:rPr>
                <w:spacing w:val="-2"/>
              </w:rPr>
              <w:t xml:space="preserve"> said</w:t>
            </w:r>
            <w:bookmarkEnd w:id="114"/>
            <w:bookmarkEnd w:id="115"/>
            <w:bookmarkEnd w:id="116"/>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r>
              <w:rPr>
                <w:b/>
                <w:spacing w:val="-2"/>
              </w:rPr>
              <w:t>FAIRFAX COURT</w:t>
            </w:r>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t>R F Court</w:t>
            </w:r>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spacing w:val="-2"/>
        </w:rPr>
      </w:pPr>
      <w:r>
        <w:rPr>
          <w:noProof/>
          <w:spacing w:val="-2"/>
          <w:lang w:eastAsia="en-AU"/>
        </w:rPr>
        <w:drawing>
          <wp:inline distT="0" distB="0" distL="0" distR="0">
            <wp:extent cx="4714875" cy="6486525"/>
            <wp:effectExtent l="0" t="0" r="9525" b="9525"/>
            <wp:docPr id="2" name="Picture 2"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p>
    <w:p>
      <w:pPr>
        <w:pStyle w:val="yScheduleHeading"/>
      </w:pPr>
      <w:bookmarkStart w:id="117" w:name="_Toc83462692"/>
      <w:r>
        <w:rPr>
          <w:rStyle w:val="CharSchNo"/>
        </w:rPr>
        <w:t>Schedule 2</w:t>
      </w:r>
      <w:bookmarkEnd w:id="117"/>
      <w:r>
        <w:rPr>
          <w:rStyle w:val="CharSchText"/>
        </w:rPr>
        <w:t xml:space="preserve"> </w:t>
      </w:r>
    </w:p>
    <w:p>
      <w:pPr>
        <w:pStyle w:val="yMiscellaneousBody"/>
        <w:jc w:val="right"/>
      </w:pPr>
      <w:r>
        <w:t>[s. 5]</w:t>
      </w:r>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118" w:name="RuleErr_54"/>
      <w:bookmarkStart w:id="119" w:name="RuleErr_98"/>
      <w:r>
        <w:t xml:space="preserve"> the</w:t>
      </w:r>
      <w:bookmarkStart w:id="120" w:name="RuleErr_84"/>
      <w:r>
        <w:t xml:space="preserve"> said</w:t>
      </w:r>
      <w:bookmarkEnd w:id="118"/>
      <w:bookmarkEnd w:id="119"/>
      <w:bookmarkEnd w:id="120"/>
      <w:r>
        <w:t xml:space="preserve">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Iron Ore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w:t>
      </w:r>
      <w:bookmarkStart w:id="121" w:name="RuleErr_66"/>
      <w:r>
        <w:t xml:space="preserve"> hereto</w:t>
      </w:r>
      <w:bookmarkEnd w:id="121"/>
      <w:r>
        <w:t>.</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w:t>
      </w:r>
      <w:bookmarkStart w:id="122" w:name="RuleErr_67"/>
      <w:r>
        <w:t xml:space="preserve"> hereto</w:t>
      </w:r>
      <w:bookmarkEnd w:id="122"/>
      <w:r>
        <w:t xml:space="preserve"> may agree upon.</w:t>
      </w:r>
    </w:p>
    <w:p>
      <w:pPr>
        <w:pStyle w:val="yMiscellaneousBody"/>
        <w:ind w:left="1134" w:hanging="567"/>
      </w:pPr>
      <w:r>
        <w:t>(2)</w:t>
      </w:r>
      <w:r>
        <w:tab/>
        <w:t>If before 31 December 2000 or such later agreed date</w:t>
      </w:r>
      <w:bookmarkStart w:id="123" w:name="RuleErr_55"/>
      <w:bookmarkStart w:id="124" w:name="RuleErr_99"/>
      <w:r>
        <w:t xml:space="preserve"> the</w:t>
      </w:r>
      <w:bookmarkStart w:id="125" w:name="RuleErr_85"/>
      <w:r>
        <w:t xml:space="preserve"> said</w:t>
      </w:r>
      <w:bookmarkEnd w:id="123"/>
      <w:bookmarkEnd w:id="124"/>
      <w:bookmarkEnd w:id="125"/>
      <w:r>
        <w:t xml:space="preserve"> Bills have not commenced to operate as Acts then unless the parties</w:t>
      </w:r>
      <w:bookmarkStart w:id="126" w:name="RuleErr_68"/>
      <w:r>
        <w:t xml:space="preserve"> hereto</w:t>
      </w:r>
      <w:bookmarkEnd w:id="126"/>
      <w:r>
        <w:t xml:space="preserve"> otherwise agree this Agreement shall then cease and determine and no party</w:t>
      </w:r>
      <w:bookmarkStart w:id="127" w:name="RuleErr_69"/>
      <w:r>
        <w:t xml:space="preserve"> hereto</w:t>
      </w:r>
      <w:bookmarkEnd w:id="127"/>
      <w:r>
        <w:t xml:space="preserve"> shall have any claim against any other party</w:t>
      </w:r>
      <w:bookmarkStart w:id="128" w:name="RuleErr_70"/>
      <w:r>
        <w:t xml:space="preserve"> hereto</w:t>
      </w:r>
      <w:bookmarkEnd w:id="128"/>
      <w:r>
        <w:t xml:space="preserve"> with respect to any matter or thing arising out of, done, performed, or omitted to be done or performed under this Agreement.</w:t>
      </w:r>
    </w:p>
    <w:p>
      <w:pPr>
        <w:pStyle w:val="yMiscellaneousBody"/>
        <w:ind w:left="1134" w:hanging="567"/>
      </w:pPr>
      <w:r>
        <w:t>(3)</w:t>
      </w:r>
      <w:r>
        <w:tab/>
        <w:t>On</w:t>
      </w:r>
      <w:bookmarkStart w:id="129" w:name="RuleErr_56"/>
      <w:bookmarkStart w:id="130" w:name="RuleErr_100"/>
      <w:r>
        <w:t xml:space="preserve"> the</w:t>
      </w:r>
      <w:bookmarkStart w:id="131" w:name="RuleErr_86"/>
      <w:r>
        <w:t xml:space="preserve"> said</w:t>
      </w:r>
      <w:bookmarkEnd w:id="129"/>
      <w:bookmarkEnd w:id="130"/>
      <w:bookmarkEnd w:id="131"/>
      <w:r>
        <w:t xml:space="preserve">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w:t>
      </w:r>
      <w:bookmarkStart w:id="132" w:name="RuleErr_116"/>
      <w:r>
        <w:t xml:space="preserve"> as</w:t>
      </w:r>
      <w:bookmarkStart w:id="133" w:name="RuleErr_108"/>
      <w:r>
        <w:t xml:space="preserve"> aforesaid</w:t>
      </w:r>
      <w:bookmarkEnd w:id="132"/>
      <w:bookmarkEnd w:id="133"/>
      <w:r>
        <w:t>)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w:t>
      </w:r>
      <w:bookmarkStart w:id="134" w:name="RuleErr_71"/>
      <w:r>
        <w:t xml:space="preserve"> hereto</w:t>
      </w:r>
      <w:bookmarkEnd w:id="134"/>
      <w: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r>
              <w:rPr>
                <w:noProof/>
                <w:lang w:eastAsia="en-AU"/>
              </w:rPr>
              <w:drawing>
                <wp:inline distT="0" distB="0" distL="0" distR="0">
                  <wp:extent cx="12382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MiscellaneousBody"/>
              <w:spacing w:before="120"/>
              <w:rPr>
                <w:spacing w:val="-2"/>
              </w:rPr>
            </w:pPr>
            <w:r>
              <w:rPr>
                <w:spacing w:val="-2"/>
              </w:rPr>
              <w:br/>
              <w:t>RICHARD COURT</w:t>
            </w:r>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r>
        <w:t xml:space="preserve">[Schedule 2 inserted by No. 57 of 2000 </w:t>
      </w:r>
      <w:bookmarkStart w:id="135" w:name="RuleErr_131"/>
      <w:r>
        <w:t>s. 2</w:t>
      </w:r>
      <w:bookmarkEnd w:id="135"/>
      <w:r>
        <w:t>6.]</w:t>
      </w:r>
    </w:p>
    <w:p>
      <w:pPr>
        <w:pStyle w:val="yMiscellaneousBody"/>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136" w:name="_Toc68927899"/>
      <w:bookmarkStart w:id="137" w:name="_Toc68927926"/>
      <w:bookmarkStart w:id="138" w:name="_Toc78185382"/>
      <w:bookmarkStart w:id="139" w:name="_Toc78344181"/>
      <w:bookmarkStart w:id="140" w:name="_Toc83462693"/>
      <w:r>
        <w:t>Notes</w:t>
      </w:r>
      <w:bookmarkEnd w:id="136"/>
      <w:bookmarkEnd w:id="137"/>
      <w:bookmarkEnd w:id="138"/>
      <w:bookmarkEnd w:id="139"/>
      <w:bookmarkEnd w:id="140"/>
    </w:p>
    <w:p>
      <w:pPr>
        <w:pStyle w:val="nSubsection"/>
        <w:rPr>
          <w:snapToGrid w:val="0"/>
        </w:rPr>
      </w:pPr>
      <w:r>
        <w:rPr>
          <w:snapToGrid w:val="0"/>
          <w:vertAlign w:val="superscript"/>
        </w:rPr>
        <w:t>1</w:t>
      </w:r>
      <w:r>
        <w:rPr>
          <w:snapToGrid w:val="0"/>
        </w:rPr>
        <w:tab/>
        <w:t xml:space="preserve">This reprint is a compilation as at 3 September 2004 of the </w:t>
      </w:r>
      <w:r>
        <w:rPr>
          <w:i/>
          <w:noProof/>
          <w:snapToGrid w:val="0"/>
        </w:rPr>
        <w:t>Iron Ore Beneficiation (BHP) Agreement Act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41" w:name="_Toc83462694"/>
      <w:r>
        <w:rPr>
          <w:snapToGrid w:val="0"/>
        </w:rPr>
        <w:t xml:space="preserve">Compilation </w:t>
      </w:r>
      <w:bookmarkStart w:id="142" w:name="RuleErr_12"/>
      <w:r>
        <w:rPr>
          <w:snapToGrid w:val="0"/>
        </w:rPr>
        <w:t>table</w:t>
      </w:r>
      <w:bookmarkEnd w:id="141"/>
      <w:bookmarkEnd w:id="14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Assent</w:t>
            </w:r>
          </w:p>
        </w:tc>
        <w:tc>
          <w:tcPr>
            <w:tcW w:w="2551" w:type="dxa"/>
            <w:tcBorders>
              <w:top w:val="single" w:sz="8" w:space="0" w:color="auto"/>
              <w:bottom w:val="single" w:sz="8" w:space="0" w:color="auto"/>
            </w:tcBorders>
          </w:tcPr>
          <w:p>
            <w:pPr>
              <w:pStyle w:val="yMiscellaneousBody"/>
              <w:spacing w:before="40" w:after="40"/>
              <w:rPr>
                <w:b/>
                <w:sz w:val="19"/>
              </w:rPr>
            </w:pPr>
            <w:r>
              <w:rPr>
                <w:b/>
                <w:sz w:val="19"/>
              </w:rPr>
              <w:t>Commencement</w:t>
            </w:r>
          </w:p>
        </w:tc>
      </w:tr>
      <w:tr>
        <w:tc>
          <w:tcPr>
            <w:tcW w:w="2268" w:type="dxa"/>
            <w:tcBorders>
              <w:top w:val="nil"/>
              <w:bottom w:val="nil"/>
            </w:tcBorders>
          </w:tcPr>
          <w:p>
            <w:pPr>
              <w:pStyle w:val="yMiscellaneousBody"/>
              <w:rPr>
                <w:sz w:val="19"/>
              </w:rPr>
            </w:pPr>
            <w:r>
              <w:rPr>
                <w:i/>
                <w:sz w:val="19"/>
              </w:rPr>
              <w:t>Iron Ore Beneficiation (BHP) Agreement Act 1996</w:t>
            </w:r>
          </w:p>
        </w:tc>
        <w:tc>
          <w:tcPr>
            <w:tcW w:w="1134" w:type="dxa"/>
            <w:tcBorders>
              <w:top w:val="nil"/>
              <w:bottom w:val="nil"/>
            </w:tcBorders>
          </w:tcPr>
          <w:p>
            <w:pPr>
              <w:pStyle w:val="yMiscellaneousBody"/>
              <w:rPr>
                <w:sz w:val="19"/>
              </w:rPr>
            </w:pPr>
            <w:r>
              <w:rPr>
                <w:sz w:val="19"/>
              </w:rPr>
              <w:t>4 of 1996</w:t>
            </w:r>
          </w:p>
        </w:tc>
        <w:tc>
          <w:tcPr>
            <w:tcW w:w="1134" w:type="dxa"/>
            <w:tcBorders>
              <w:top w:val="nil"/>
              <w:bottom w:val="nil"/>
            </w:tcBorders>
          </w:tcPr>
          <w:p>
            <w:pPr>
              <w:pStyle w:val="yMiscellaneousBody"/>
              <w:rPr>
                <w:sz w:val="19"/>
              </w:rPr>
            </w:pPr>
            <w:r>
              <w:rPr>
                <w:sz w:val="19"/>
              </w:rPr>
              <w:t>24 May 1996</w:t>
            </w:r>
          </w:p>
        </w:tc>
        <w:tc>
          <w:tcPr>
            <w:tcW w:w="2551" w:type="dxa"/>
            <w:tcBorders>
              <w:top w:val="nil"/>
              <w:bottom w:val="nil"/>
            </w:tcBorders>
          </w:tcPr>
          <w:p>
            <w:pPr>
              <w:pStyle w:val="yMiscellaneousBody"/>
              <w:rPr>
                <w:sz w:val="19"/>
              </w:rPr>
            </w:pPr>
            <w:r>
              <w:rPr>
                <w:sz w:val="19"/>
              </w:rPr>
              <w:t>24 May 1996 (see s. 2)</w:t>
            </w:r>
          </w:p>
        </w:tc>
      </w:tr>
      <w:tr>
        <w:tc>
          <w:tcPr>
            <w:tcW w:w="2268" w:type="dxa"/>
            <w:tcBorders>
              <w:top w:val="nil"/>
              <w:bottom w:val="nil"/>
            </w:tcBorders>
          </w:tcPr>
          <w:p>
            <w:pPr>
              <w:pStyle w:val="yMiscellaneousBody"/>
              <w:rPr>
                <w:sz w:val="19"/>
              </w:rPr>
            </w:pPr>
            <w:r>
              <w:rPr>
                <w:i/>
                <w:sz w:val="19"/>
              </w:rPr>
              <w:t xml:space="preserve">Acts Amendment (Iron Ore Agreements) Act 2000 </w:t>
            </w:r>
            <w:r>
              <w:rPr>
                <w:sz w:val="19"/>
              </w:rPr>
              <w:t>Pt. 7</w:t>
            </w:r>
          </w:p>
        </w:tc>
        <w:tc>
          <w:tcPr>
            <w:tcW w:w="1134" w:type="dxa"/>
            <w:tcBorders>
              <w:top w:val="nil"/>
              <w:bottom w:val="nil"/>
            </w:tcBorders>
          </w:tcPr>
          <w:p>
            <w:pPr>
              <w:pStyle w:val="yMiscellaneousBody"/>
              <w:rPr>
                <w:sz w:val="19"/>
              </w:rPr>
            </w:pPr>
            <w:r>
              <w:rPr>
                <w:sz w:val="19"/>
              </w:rPr>
              <w:t>57 of 2000</w:t>
            </w:r>
          </w:p>
        </w:tc>
        <w:tc>
          <w:tcPr>
            <w:tcW w:w="1134" w:type="dxa"/>
            <w:tcBorders>
              <w:top w:val="nil"/>
              <w:bottom w:val="nil"/>
            </w:tcBorders>
          </w:tcPr>
          <w:p>
            <w:pPr>
              <w:pStyle w:val="yMiscellaneousBody"/>
              <w:rPr>
                <w:sz w:val="19"/>
              </w:rPr>
            </w:pPr>
            <w:r>
              <w:rPr>
                <w:sz w:val="19"/>
              </w:rPr>
              <w:t>7 Dec 2000</w:t>
            </w:r>
          </w:p>
        </w:tc>
        <w:tc>
          <w:tcPr>
            <w:tcW w:w="2551" w:type="dxa"/>
            <w:tcBorders>
              <w:top w:val="nil"/>
              <w:bottom w:val="nil"/>
            </w:tcBorders>
          </w:tcPr>
          <w:p>
            <w:pPr>
              <w:pStyle w:val="yMiscellaneousBody"/>
              <w:rPr>
                <w:sz w:val="19"/>
              </w:rPr>
            </w:pPr>
            <w:r>
              <w:rPr>
                <w:sz w:val="19"/>
              </w:rPr>
              <w:t>7 Dec 200</w:t>
            </w:r>
            <w:bookmarkStart w:id="143" w:name="RuleErr_17"/>
            <w:r>
              <w:rPr>
                <w:sz w:val="19"/>
              </w:rPr>
              <w:t>0 (</w:t>
            </w:r>
            <w:bookmarkEnd w:id="143"/>
            <w:r>
              <w:rPr>
                <w:sz w:val="19"/>
              </w:rPr>
              <w:t>see s. 2)</w:t>
            </w:r>
          </w:p>
        </w:tc>
      </w:tr>
      <w:tr>
        <w:trPr>
          <w:cantSplit/>
        </w:trPr>
        <w:tc>
          <w:tcPr>
            <w:tcW w:w="7087" w:type="dxa"/>
            <w:gridSpan w:val="4"/>
            <w:tcBorders>
              <w:top w:val="nil"/>
            </w:tcBorders>
          </w:tcPr>
          <w:p>
            <w:pPr>
              <w:pStyle w:val="yMiscellaneousBody"/>
              <w:rPr>
                <w:sz w:val="19"/>
              </w:rPr>
            </w:pPr>
            <w:r>
              <w:rPr>
                <w:b/>
                <w:sz w:val="19"/>
              </w:rPr>
              <w:t>Reprint 1:  The</w:t>
            </w:r>
            <w:r>
              <w:rPr>
                <w:b/>
                <w:i/>
                <w:sz w:val="19"/>
              </w:rPr>
              <w:t xml:space="preserve"> Iron Ore Beneficiation (BHP) Agreement Act 1996</w:t>
            </w:r>
            <w:r>
              <w:rPr>
                <w:b/>
                <w:sz w:val="19"/>
              </w:rPr>
              <w:t xml:space="preserve"> as at 3 Sep 200</w:t>
            </w:r>
            <w:bookmarkStart w:id="144" w:name="RuleErr_18"/>
            <w:r>
              <w:rPr>
                <w:b/>
                <w:sz w:val="19"/>
              </w:rPr>
              <w:t>4</w:t>
            </w:r>
            <w:r>
              <w:rPr>
                <w:sz w:val="19"/>
              </w:rPr>
              <w:t xml:space="preserve"> (</w:t>
            </w:r>
            <w:bookmarkEnd w:id="144"/>
            <w:r>
              <w:rPr>
                <w:sz w:val="19"/>
              </w:rPr>
              <w:t>includes amendments listed above)</w:t>
            </w:r>
          </w:p>
        </w:tc>
      </w:tr>
    </w:tbl>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xliv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Sep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Beneficiation (BHP) Agreement Act 1996</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tabs>
              <w:tab w:val="left" w:pos="4455"/>
            </w:tabs>
            <w:jc w:val="left"/>
          </w:pPr>
          <w:r>
            <w:tab/>
          </w: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Beneficiation (BHP) Agreement Act 1996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customStyle="1" w:styleId="TableAm">
    <w:name w:val="TableAm"/>
    <w:basedOn w:val="Normal"/>
    <w:pPr>
      <w:spacing w:before="120"/>
    </w:p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customStyle="1" w:styleId="TableAm">
    <w:name w:val="TableAm"/>
    <w:basedOn w:val="Normal"/>
    <w:pPr>
      <w:spacing w:before="120"/>
    </w:p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12894</Words>
  <Characters>64218</Characters>
  <Application>Microsoft Office Word</Application>
  <DocSecurity>0</DocSecurity>
  <Lines>1459</Lines>
  <Paragraphs>497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76615</CharactersWithSpaces>
  <SharedDoc>false</SharedDoc>
  <HLinks>
    <vt:vector size="12" baseType="variant">
      <vt:variant>
        <vt:i4>65542</vt:i4>
      </vt:variant>
      <vt:variant>
        <vt:i4>1943</vt:i4>
      </vt:variant>
      <vt:variant>
        <vt:i4>1025</vt:i4>
      </vt:variant>
      <vt:variant>
        <vt:i4>1</vt:i4>
      </vt:variant>
      <vt:variant>
        <vt:lpwstr>Crest</vt:lpwstr>
      </vt:variant>
      <vt:variant>
        <vt:lpwstr/>
      </vt:variant>
      <vt:variant>
        <vt:i4>1835014</vt:i4>
      </vt:variant>
      <vt:variant>
        <vt:i4>71755</vt:i4>
      </vt:variant>
      <vt:variant>
        <vt:i4>1026</vt:i4>
      </vt:variant>
      <vt:variant>
        <vt:i4>1</vt:i4>
      </vt:variant>
      <vt:variant>
        <vt:lpwstr>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1996 - 01-a0-05</dc:title>
  <dc:subject/>
  <dc:creator/>
  <cp:keywords/>
  <dc:description/>
  <cp:lastModifiedBy>svcMRProcess</cp:lastModifiedBy>
  <cp:revision>4</cp:revision>
  <cp:lastPrinted>2004-09-16T03:04:00Z</cp:lastPrinted>
  <dcterms:created xsi:type="dcterms:W3CDTF">2020-02-16T22:07:00Z</dcterms:created>
  <dcterms:modified xsi:type="dcterms:W3CDTF">2020-02-16T22:07:00Z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20040903</vt:lpwstr>
  </property>
  <property fmtid="{D5CDD505-2E9C-101B-9397-08002B2CF9AE}" pid="4" name="DocumentType">
    <vt:lpwstr>Act</vt:lpwstr>
  </property>
  <property fmtid="{D5CDD505-2E9C-101B-9397-08002B2CF9AE}" pid="5" name="OwlsUID">
    <vt:i4>386</vt:i4>
  </property>
  <property fmtid="{D5CDD505-2E9C-101B-9397-08002B2CF9AE}" pid="6" name="AsAtDate">
    <vt:lpwstr>03 Sep 2004</vt:lpwstr>
  </property>
  <property fmtid="{D5CDD505-2E9C-101B-9397-08002B2CF9AE}" pid="7" name="Suffix">
    <vt:lpwstr>01-a0-05</vt:lpwstr>
  </property>
</Properties>
</file>