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0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pStyle w:val="Arrangement"/>
        <w:spacing w:after="240"/>
        <w:ind w:left="2302" w:right="2302"/>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_Toc170188247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_Toc170188248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Approval of agreement</w:t>
      </w:r>
      <w:r>
        <w:tab/>
      </w:r>
      <w:r>
        <w:fldChar w:fldCharType="begin"/>
      </w:r>
      <w:r>
        <w:instrText xml:space="preserve"> PAGEREF _Toc170188249 \h </w:instrText>
      </w:r>
      <w:r>
        <w:fldChar w:fldCharType="separate"/>
      </w:r>
      <w:r>
        <w:t>1</w:t>
      </w:r>
      <w:r>
        <w:fldChar w:fldCharType="end"/>
      </w:r>
    </w:p>
    <w:p>
      <w:pPr>
        <w:pStyle w:val="TOC8"/>
        <w:rPr>
          <w:sz w:val="24"/>
          <w:szCs w:val="24"/>
        </w:rPr>
      </w:pPr>
      <w:r>
        <w:rPr>
          <w:szCs w:val="24"/>
        </w:rPr>
        <w:t>3A</w:t>
      </w:r>
      <w:r>
        <w:rPr>
          <w:snapToGrid w:val="0"/>
          <w:szCs w:val="24"/>
        </w:rPr>
        <w:t>.</w:t>
      </w:r>
      <w:r>
        <w:rPr>
          <w:snapToGrid w:val="0"/>
          <w:szCs w:val="24"/>
        </w:rPr>
        <w:tab/>
        <w:t>Approval of supplemental agreement</w:t>
      </w:r>
      <w:r>
        <w:tab/>
      </w:r>
      <w:r>
        <w:fldChar w:fldCharType="begin"/>
      </w:r>
      <w:r>
        <w:instrText xml:space="preserve"> PAGEREF _Toc170188250 \h </w:instrText>
      </w:r>
      <w:r>
        <w:fldChar w:fldCharType="separate"/>
      </w:r>
      <w:r>
        <w:t>2</w:t>
      </w:r>
      <w:r>
        <w:fldChar w:fldCharType="end"/>
      </w:r>
    </w:p>
    <w:p>
      <w:pPr>
        <w:pStyle w:val="TOC8"/>
        <w:rPr>
          <w:sz w:val="24"/>
          <w:szCs w:val="24"/>
        </w:rPr>
      </w:pPr>
      <w:r>
        <w:rPr>
          <w:szCs w:val="24"/>
        </w:rPr>
        <w:t>3B</w:t>
      </w:r>
      <w:r>
        <w:rPr>
          <w:snapToGrid w:val="0"/>
          <w:szCs w:val="24"/>
        </w:rPr>
        <w:t>.</w:t>
      </w:r>
      <w:r>
        <w:rPr>
          <w:snapToGrid w:val="0"/>
          <w:szCs w:val="24"/>
        </w:rPr>
        <w:tab/>
        <w:t>Approval of second supplemental agreement</w:t>
      </w:r>
      <w:r>
        <w:tab/>
      </w:r>
      <w:r>
        <w:fldChar w:fldCharType="begin"/>
      </w:r>
      <w:r>
        <w:instrText xml:space="preserve"> PAGEREF _Toc170188251 \h </w:instrText>
      </w:r>
      <w:r>
        <w:fldChar w:fldCharType="separate"/>
      </w:r>
      <w:r>
        <w:t>2</w:t>
      </w:r>
      <w:r>
        <w:fldChar w:fldCharType="end"/>
      </w:r>
    </w:p>
    <w:p>
      <w:pPr>
        <w:pStyle w:val="TOC2"/>
        <w:tabs>
          <w:tab w:val="right" w:pos="7086"/>
        </w:tabs>
        <w:rPr>
          <w:b w:val="0"/>
          <w:sz w:val="24"/>
          <w:szCs w:val="24"/>
        </w:rPr>
      </w:pPr>
      <w:r>
        <w:rPr>
          <w:szCs w:val="28"/>
        </w:rPr>
        <w:t>The Schedules</w:t>
      </w:r>
    </w:p>
    <w:p>
      <w:pPr>
        <w:pStyle w:val="TOC2"/>
        <w:tabs>
          <w:tab w:val="right" w:pos="7086"/>
        </w:tabs>
        <w:rPr>
          <w:b w:val="0"/>
          <w:sz w:val="24"/>
          <w:szCs w:val="24"/>
        </w:rPr>
      </w:pPr>
      <w:r>
        <w:rPr>
          <w:szCs w:val="28"/>
        </w:rPr>
        <w:t>First Schedule</w:t>
      </w:r>
    </w:p>
    <w:p>
      <w:pPr>
        <w:pStyle w:val="TOC2"/>
        <w:tabs>
          <w:tab w:val="right" w:pos="7086"/>
        </w:tabs>
        <w:rPr>
          <w:b w:val="0"/>
          <w:sz w:val="24"/>
          <w:szCs w:val="24"/>
        </w:rPr>
      </w:pPr>
      <w:r>
        <w:rPr>
          <w:szCs w:val="28"/>
        </w:rPr>
        <w:t>Second Schedule</w:t>
      </w:r>
    </w:p>
    <w:p>
      <w:pPr>
        <w:pStyle w:val="TOC2"/>
        <w:tabs>
          <w:tab w:val="right" w:pos="7086"/>
        </w:tabs>
        <w:rPr>
          <w:b w:val="0"/>
          <w:sz w:val="24"/>
          <w:szCs w:val="24"/>
        </w:rPr>
      </w:pPr>
      <w:r>
        <w:rPr>
          <w:szCs w:val="28"/>
        </w:rPr>
        <w:t>Third Schedule</w:t>
      </w:r>
    </w:p>
    <w:p>
      <w:pPr>
        <w:pStyle w:val="TOC2"/>
        <w:tabs>
          <w:tab w:val="righ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_Toc170188257 \h </w:instrText>
      </w:r>
      <w:r>
        <w:fldChar w:fldCharType="separate"/>
      </w:r>
      <w:r>
        <w:t>77</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Nickel Refinery (Western Mining Corporation Limited) Agreement Act 1968 </w:t>
      </w:r>
    </w:p>
    <w:p>
      <w:pPr>
        <w:pStyle w:val="LongTitle"/>
        <w:rPr>
          <w:snapToGrid w:val="0"/>
        </w:rPr>
      </w:pPr>
      <w:r>
        <w:rPr>
          <w:snapToGrid w:val="0"/>
        </w:rPr>
        <w:t xml:space="preserve">An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2" w:name="_Toc459171447"/>
      <w:bookmarkStart w:id="3" w:name="_Toc170188247"/>
      <w:r>
        <w:rPr>
          <w:rStyle w:val="CharSectno"/>
        </w:rPr>
        <w:t>1</w:t>
      </w:r>
      <w:r>
        <w:rPr>
          <w:snapToGrid w:val="0"/>
        </w:rPr>
        <w:t>.</w:t>
      </w:r>
      <w:r>
        <w:rPr>
          <w:snapToGrid w:val="0"/>
        </w:rPr>
        <w:tab/>
        <w:t>Short title</w:t>
      </w:r>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4" w:name="_Toc459171448"/>
      <w:bookmarkStart w:id="5" w:name="_Toc170188248"/>
      <w:r>
        <w:rPr>
          <w:rStyle w:val="CharSectno"/>
        </w:rPr>
        <w:t>2</w:t>
      </w:r>
      <w:r>
        <w:rPr>
          <w:snapToGrid w:val="0"/>
        </w:rPr>
        <w:t>.</w:t>
      </w:r>
      <w:r>
        <w:rPr>
          <w:snapToGrid w:val="0"/>
        </w:rPr>
        <w:tab/>
        <w:t>Interpretation</w:t>
      </w:r>
      <w:bookmarkEnd w:id="4"/>
      <w:bookmarkEnd w:id="5"/>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6" w:name="_Toc459171449"/>
      <w:bookmarkStart w:id="7" w:name="_Toc170188249"/>
      <w:r>
        <w:rPr>
          <w:rStyle w:val="CharSectno"/>
        </w:rPr>
        <w:t>3</w:t>
      </w:r>
      <w:r>
        <w:rPr>
          <w:snapToGrid w:val="0"/>
        </w:rPr>
        <w:t>.</w:t>
      </w:r>
      <w:r>
        <w:rPr>
          <w:snapToGrid w:val="0"/>
        </w:rPr>
        <w:tab/>
        <w:t>Approval of agreement</w:t>
      </w:r>
      <w:bookmarkEnd w:id="6"/>
      <w:bookmarkEnd w:id="7"/>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8" w:name="_Toc459171450"/>
      <w:bookmarkStart w:id="9" w:name="_Toc170188250"/>
      <w:r>
        <w:rPr>
          <w:rStyle w:val="CharSectno"/>
        </w:rPr>
        <w:t>3A</w:t>
      </w:r>
      <w:r>
        <w:rPr>
          <w:snapToGrid w:val="0"/>
        </w:rPr>
        <w:t>.</w:t>
      </w:r>
      <w:r>
        <w:rPr>
          <w:snapToGrid w:val="0"/>
        </w:rPr>
        <w:tab/>
        <w:t>Approval of supplemental agreement</w:t>
      </w:r>
      <w:bookmarkEnd w:id="8"/>
      <w:bookmarkEnd w:id="9"/>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10" w:name="_Toc459171451"/>
      <w:bookmarkStart w:id="11" w:name="_Toc170188251"/>
      <w:r>
        <w:rPr>
          <w:rStyle w:val="CharSectno"/>
        </w:rPr>
        <w:t>3B</w:t>
      </w:r>
      <w:r>
        <w:rPr>
          <w:snapToGrid w:val="0"/>
        </w:rPr>
        <w:t>.</w:t>
      </w:r>
      <w:r>
        <w:rPr>
          <w:snapToGrid w:val="0"/>
        </w:rPr>
        <w:tab/>
        <w:t>Approval of second supplemental agreement</w:t>
      </w:r>
      <w:bookmarkEnd w:id="10"/>
      <w:bookmarkEnd w:id="11"/>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2" w:name="_Toc156706868"/>
      <w:bookmarkStart w:id="13" w:name="_Toc156706880"/>
      <w:bookmarkStart w:id="14" w:name="_Toc170188252"/>
      <w:r>
        <w:t>The Schedules</w:t>
      </w:r>
      <w:bookmarkEnd w:id="12"/>
      <w:bookmarkEnd w:id="13"/>
      <w:bookmarkEnd w:id="14"/>
    </w:p>
    <w:p>
      <w:pPr>
        <w:pStyle w:val="yScheduleHeading"/>
      </w:pPr>
      <w:bookmarkStart w:id="15" w:name="_Toc156706869"/>
      <w:bookmarkStart w:id="16" w:name="_Toc156706881"/>
      <w:bookmarkStart w:id="17" w:name="_Toc170188253"/>
      <w:r>
        <w:rPr>
          <w:rStyle w:val="CharSchNo"/>
        </w:rPr>
        <w:t>First Schedule</w:t>
      </w:r>
      <w:bookmarkEnd w:id="15"/>
      <w:bookmarkEnd w:id="16"/>
      <w:bookmarkEnd w:id="17"/>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fillcolor="window">
            <v:imagedata r:id="rId26" o:title=""/>
          </v:shape>
          <o:OLEObject Type="Embed" ProgID="Equation.3" ShapeID="_x0000_i1025" DrawAspect="Content" ObjectID="_1643459065" r:id="rId27"/>
        </w:obje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object w:dxaOrig="1960" w:dyaOrig="620">
          <v:shape id="_x0000_i1026" type="#_x0000_t75" style="width:98.25pt;height:30.75pt" o:ole="" fillcolor="window">
            <v:imagedata r:id="rId28" o:title=""/>
          </v:shape>
          <o:OLEObject Type="Embed" ProgID="Equation.3" ShapeID="_x0000_i1026" DrawAspect="Content" ObjectID="_1643459066" r:id="rId29"/>
        </w:obje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lang w:eastAsia="en-AU"/>
              </w:rPr>
              <w:drawing>
                <wp:inline distT="0" distB="0" distL="0" distR="0">
                  <wp:extent cx="1047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lang w:eastAsia="en-AU"/>
              </w:rPr>
              <w:drawing>
                <wp:inline distT="0" distB="0" distL="0" distR="0">
                  <wp:extent cx="1047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18" w:name="_Toc156706870"/>
      <w:bookmarkStart w:id="19" w:name="_Toc156706882"/>
      <w:bookmarkStart w:id="20" w:name="_Toc170188254"/>
      <w:r>
        <w:rPr>
          <w:rStyle w:val="CharSchNo"/>
        </w:rPr>
        <w:t>Second Schedule</w:t>
      </w:r>
      <w:bookmarkEnd w:id="18"/>
      <w:bookmarkEnd w:id="19"/>
      <w:bookmarkEnd w:id="20"/>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object w:dxaOrig="5860" w:dyaOrig="660">
          <v:shape id="_x0000_i1027" type="#_x0000_t75" style="width:293.25pt;height:33pt" o:ole="" fillcolor="window">
            <v:imagedata r:id="rId32" o:title=""/>
          </v:shape>
          <o:OLEObject Type="Embed" ProgID="Equation.3" ShapeID="_x0000_i1027" DrawAspect="Content" ObjectID="_1643459067" r:id="rId33"/>
        </w:obje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lang w:eastAsia="en-AU"/>
              </w:rPr>
              <w:drawing>
                <wp:inline distT="0" distB="0" distL="0" distR="0">
                  <wp:extent cx="10477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lang w:eastAsia="en-AU"/>
              </w:rPr>
              <w:drawing>
                <wp:inline distT="0" distB="0" distL="0" distR="0">
                  <wp:extent cx="10477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21" w:name="_Toc156706871"/>
      <w:bookmarkStart w:id="22" w:name="_Toc156706883"/>
      <w:bookmarkStart w:id="23" w:name="_Toc170188255"/>
      <w:r>
        <w:rPr>
          <w:rStyle w:val="CharSchNo"/>
        </w:rPr>
        <w:t>Third Schedule</w:t>
      </w:r>
      <w:bookmarkEnd w:id="21"/>
      <w:bookmarkEnd w:id="22"/>
      <w:bookmarkEnd w:id="23"/>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lang w:eastAsia="en-AU"/>
              </w:rPr>
              <w:drawing>
                <wp:inline distT="0" distB="0" distL="0" distR="0">
                  <wp:extent cx="1047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lang w:eastAsia="en-AU"/>
              </w:rPr>
              <w:drawing>
                <wp:inline distT="0" distB="0" distL="0" distR="0">
                  <wp:extent cx="104775" cy="638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pPr>
        <w:pStyle w:val="nHeading2"/>
      </w:pPr>
      <w:bookmarkStart w:id="24" w:name="_Toc156706872"/>
      <w:bookmarkStart w:id="25" w:name="_Toc156706884"/>
      <w:bookmarkStart w:id="26" w:name="_Toc170188256"/>
      <w:r>
        <w:t>Notes</w:t>
      </w:r>
      <w:bookmarkEnd w:id="24"/>
      <w:bookmarkEnd w:id="25"/>
      <w:bookmarkEnd w:id="26"/>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Nickel Refinery (Western Mining Corporation Limited) Agreement Act 1968</w:t>
      </w:r>
      <w:r>
        <w:rPr>
          <w:snapToGrid w:val="0"/>
        </w:rPr>
        <w:t xml:space="preserve"> and includes all amendments effected by the other Acts referred to in the following Table.</w:t>
      </w:r>
    </w:p>
    <w:p>
      <w:pPr>
        <w:pStyle w:val="nHeading3"/>
        <w:rPr>
          <w:snapToGrid w:val="0"/>
        </w:rPr>
      </w:pPr>
      <w:bookmarkStart w:id="27" w:name="_Toc170188257"/>
      <w:r>
        <w:rPr>
          <w:snapToGrid w:val="0"/>
        </w:rPr>
        <w:t>Compilation table</w:t>
      </w:r>
      <w:bookmarkEnd w:id="2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Nickel Refinery (Western Mining Corporation Limited) Agreement Act 1968</w:t>
            </w:r>
          </w:p>
        </w:tc>
        <w:tc>
          <w:tcPr>
            <w:tcW w:w="1134" w:type="dxa"/>
          </w:tcPr>
          <w:p>
            <w:pPr>
              <w:pStyle w:val="nTable"/>
              <w:spacing w:after="40"/>
              <w:rPr>
                <w:sz w:val="19"/>
              </w:rPr>
            </w:pPr>
            <w:r>
              <w:rPr>
                <w:sz w:val="19"/>
              </w:rPr>
              <w:t>24 of 1968</w:t>
            </w:r>
          </w:p>
        </w:tc>
        <w:tc>
          <w:tcPr>
            <w:tcW w:w="1134" w:type="dxa"/>
          </w:tcPr>
          <w:p>
            <w:pPr>
              <w:pStyle w:val="nTable"/>
              <w:spacing w:after="40"/>
              <w:rPr>
                <w:sz w:val="19"/>
              </w:rPr>
            </w:pPr>
            <w:r>
              <w:rPr>
                <w:sz w:val="19"/>
              </w:rPr>
              <w:t>25 Oct 1968</w:t>
            </w:r>
          </w:p>
        </w:tc>
        <w:tc>
          <w:tcPr>
            <w:tcW w:w="2551" w:type="dxa"/>
          </w:tcPr>
          <w:p>
            <w:pPr>
              <w:pStyle w:val="nTable"/>
              <w:spacing w:after="40"/>
              <w:rPr>
                <w:sz w:val="19"/>
              </w:rPr>
            </w:pPr>
            <w:r>
              <w:rPr>
                <w:sz w:val="19"/>
              </w:rPr>
              <w:t>25 Oct 1968</w:t>
            </w:r>
          </w:p>
        </w:tc>
      </w:tr>
      <w:tr>
        <w:tc>
          <w:tcPr>
            <w:tcW w:w="2268" w:type="dxa"/>
          </w:tcPr>
          <w:p>
            <w:pPr>
              <w:pStyle w:val="nTable"/>
              <w:spacing w:after="40"/>
              <w:rPr>
                <w:sz w:val="19"/>
              </w:rPr>
            </w:pPr>
          </w:p>
        </w:tc>
        <w:tc>
          <w:tcPr>
            <w:tcW w:w="1134" w:type="dxa"/>
          </w:tcPr>
          <w:p>
            <w:pPr>
              <w:pStyle w:val="nTable"/>
              <w:spacing w:after="40"/>
              <w:rPr>
                <w:sz w:val="19"/>
              </w:rPr>
            </w:pPr>
            <w:r>
              <w:rPr>
                <w:sz w:val="19"/>
              </w:rPr>
              <w:t>76 of 1970</w:t>
            </w:r>
          </w:p>
        </w:tc>
        <w:tc>
          <w:tcPr>
            <w:tcW w:w="1134" w:type="dxa"/>
          </w:tcPr>
          <w:p>
            <w:pPr>
              <w:pStyle w:val="nTable"/>
              <w:spacing w:after="40"/>
              <w:rPr>
                <w:sz w:val="19"/>
              </w:rPr>
            </w:pPr>
            <w:r>
              <w:rPr>
                <w:sz w:val="19"/>
              </w:rPr>
              <w:t>18 Nov 1970</w:t>
            </w:r>
          </w:p>
        </w:tc>
        <w:tc>
          <w:tcPr>
            <w:tcW w:w="2551" w:type="dxa"/>
          </w:tcPr>
          <w:p>
            <w:pPr>
              <w:pStyle w:val="nTable"/>
              <w:spacing w:after="40"/>
              <w:rPr>
                <w:sz w:val="19"/>
              </w:rPr>
            </w:pPr>
            <w:r>
              <w:rPr>
                <w:sz w:val="19"/>
              </w:rPr>
              <w:t>18 Nov 1970</w:t>
            </w:r>
          </w:p>
        </w:tc>
      </w:tr>
      <w:tr>
        <w:tc>
          <w:tcPr>
            <w:tcW w:w="2268" w:type="dxa"/>
            <w:tcBorders>
              <w:bottom w:val="single" w:sz="8" w:space="0" w:color="auto"/>
            </w:tcBorders>
          </w:tcPr>
          <w:p>
            <w:pPr>
              <w:pStyle w:val="nTable"/>
              <w:spacing w:after="40"/>
              <w:rPr>
                <w:sz w:val="19"/>
              </w:rPr>
            </w:pPr>
          </w:p>
        </w:tc>
        <w:tc>
          <w:tcPr>
            <w:tcW w:w="1134" w:type="dxa"/>
            <w:tcBorders>
              <w:bottom w:val="single" w:sz="8" w:space="0" w:color="auto"/>
            </w:tcBorders>
          </w:tcPr>
          <w:p>
            <w:pPr>
              <w:pStyle w:val="nTable"/>
              <w:spacing w:after="40"/>
              <w:rPr>
                <w:sz w:val="19"/>
              </w:rPr>
            </w:pPr>
            <w:r>
              <w:rPr>
                <w:sz w:val="19"/>
              </w:rPr>
              <w:t>16 of 1974</w:t>
            </w:r>
          </w:p>
        </w:tc>
        <w:tc>
          <w:tcPr>
            <w:tcW w:w="1134" w:type="dxa"/>
            <w:tcBorders>
              <w:bottom w:val="single" w:sz="8" w:space="0" w:color="auto"/>
            </w:tcBorders>
          </w:tcPr>
          <w:p>
            <w:pPr>
              <w:pStyle w:val="nTable"/>
              <w:spacing w:after="40"/>
              <w:rPr>
                <w:sz w:val="19"/>
              </w:rPr>
            </w:pPr>
            <w:r>
              <w:rPr>
                <w:sz w:val="19"/>
              </w:rPr>
              <w:t>16 Oct 1974</w:t>
            </w:r>
          </w:p>
        </w:tc>
        <w:tc>
          <w:tcPr>
            <w:tcW w:w="2551" w:type="dxa"/>
            <w:tcBorders>
              <w:bottom w:val="single" w:sz="8" w:space="0" w:color="auto"/>
            </w:tcBorders>
          </w:tcPr>
          <w:p>
            <w:pPr>
              <w:pStyle w:val="nTable"/>
              <w:spacing w:after="40"/>
              <w:rPr>
                <w:sz w:val="19"/>
              </w:rPr>
            </w:pPr>
            <w:r>
              <w:rPr>
                <w:sz w:val="19"/>
              </w:rPr>
              <w:t>16 Oct 1974</w:t>
            </w:r>
          </w:p>
        </w:tc>
      </w:tr>
    </w:tbl>
    <w:p>
      <w:pPr>
        <w:pStyle w:val="nSubsection"/>
      </w:pPr>
      <w:r>
        <w:rPr>
          <w:vertAlign w:val="superscript"/>
        </w:rPr>
        <w:t>2</w:t>
      </w:r>
      <w:r>
        <w:tab/>
        <w:t xml:space="preserve">Lands and Surveys plans are now being held by the Western Australian Land Information Authority (see the </w:t>
      </w:r>
      <w:r>
        <w:rPr>
          <w:i/>
          <w:iCs/>
        </w:rPr>
        <w:t>Land Information Authority Act 2006</w:t>
      </w:r>
      <w:r>
        <w:t xml:space="preserve"> s. 100).</w:t>
      </w:r>
    </w:p>
    <w:p/>
    <w:p>
      <w:pPr>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sectPr>
      <w:headerReference w:type="even" r:id="rId42"/>
      <w:headerReference w:type="default" r:id="rId4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1998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Nickel Refinery (Western Mining Corporation Limited) Agreement Act 1968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Nickel Refinery (Western Mining Corporation Limited) Agreement Act 1968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4253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9E94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FCA1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D60A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pStyle w:val="ListNumber"/>
      <w:lvlText w:val="%1."/>
      <w:lvlJc w:val="left"/>
      <w:pPr>
        <w:tabs>
          <w:tab w:val="num" w:pos="360"/>
        </w:tabs>
        <w:ind w:left="360" w:hanging="360"/>
      </w:pPr>
    </w:lvl>
  </w:abstractNum>
  <w:abstractNum w:abstractNumId="9">
    <w:nsid w:val="FFFFFF89"/>
    <w:multiLevelType w:val="singleLevel"/>
    <w:tmpl w:val="2ED4D6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110CBA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6.wmf"/><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oleObject" Target="embeddings/oleObject3.bin"/><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2.bin"/><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5.wmf"/><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image" Target="media/image7.wmf"/><Relationship Id="rId43"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22703</Words>
  <Characters>110337</Characters>
  <Application>Microsoft Office Word</Application>
  <DocSecurity>0</DocSecurity>
  <Lines>2758</Lines>
  <Paragraphs>711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1968 - 00-b0-09</dc:title>
  <dc:subject/>
  <dc:creator/>
  <cp:keywords/>
  <dc:description/>
  <cp:lastModifiedBy>svcMRProcess</cp:lastModifiedBy>
  <cp:revision>4</cp:revision>
  <cp:lastPrinted>1997-12-22T00:14:00Z</cp:lastPrinted>
  <dcterms:created xsi:type="dcterms:W3CDTF">2020-02-17T07:38:00Z</dcterms:created>
  <dcterms:modified xsi:type="dcterms:W3CDTF">2020-02-17T07:38:00Z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19980706</vt:lpwstr>
  </property>
  <property fmtid="{D5CDD505-2E9C-101B-9397-08002B2CF9AE}" pid="4" name="DocumentType">
    <vt:lpwstr>Act</vt:lpwstr>
  </property>
  <property fmtid="{D5CDD505-2E9C-101B-9397-08002B2CF9AE}" pid="5" name="AsAtDate">
    <vt:lpwstr>06 Jul 1998</vt:lpwstr>
  </property>
  <property fmtid="{D5CDD505-2E9C-101B-9397-08002B2CF9AE}" pid="6" name="Suffix">
    <vt:lpwstr>00-b0-09</vt:lpwstr>
  </property>
</Properties>
</file>