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Diamond (Argyle Diamond Mines Joint Venture) Agreement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Diamond (Argyle Diamond Mines Joint Venture) Agreement Act 1981</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_Toc272058835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_Toc272058836 \h </w:instrText>
      </w:r>
      <w:r>
        <w:fldChar w:fldCharType="separate"/>
      </w:r>
      <w:r>
        <w:t>2</w:t>
      </w:r>
      <w:r>
        <w:fldChar w:fldCharType="end"/>
      </w:r>
    </w:p>
    <w:p>
      <w:pPr>
        <w:pStyle w:val="TOC2"/>
        <w:tabs>
          <w:tab w:val="right" w:leader="dot" w:pos="7078"/>
        </w:tabs>
        <w:rPr>
          <w:b w:val="0"/>
          <w:sz w:val="24"/>
          <w:szCs w:val="24"/>
        </w:rPr>
      </w:pPr>
      <w:r>
        <w:rPr>
          <w:szCs w:val="30"/>
        </w:rPr>
        <w:t>Part II — Ratification of Agreement and supplementary agreements</w:t>
      </w:r>
    </w:p>
    <w:p>
      <w:pPr>
        <w:pStyle w:val="TOC8"/>
        <w:rPr>
          <w:sz w:val="24"/>
          <w:szCs w:val="24"/>
        </w:rPr>
      </w:pPr>
      <w:r>
        <w:rPr>
          <w:szCs w:val="24"/>
        </w:rPr>
        <w:t>3</w:t>
      </w:r>
      <w:r>
        <w:rPr>
          <w:snapToGrid w:val="0"/>
          <w:szCs w:val="24"/>
        </w:rPr>
        <w:t>.</w:t>
      </w:r>
      <w:r>
        <w:rPr>
          <w:snapToGrid w:val="0"/>
          <w:szCs w:val="24"/>
        </w:rPr>
        <w:tab/>
        <w:t>Agreement ratified and implementation authorised</w:t>
      </w:r>
      <w:r>
        <w:tab/>
      </w:r>
      <w:r>
        <w:fldChar w:fldCharType="begin"/>
      </w:r>
      <w:r>
        <w:instrText xml:space="preserve"> PAGEREF _Toc272058838 \h </w:instrText>
      </w:r>
      <w:r>
        <w:fldChar w:fldCharType="separate"/>
      </w:r>
      <w:r>
        <w:t>3</w:t>
      </w:r>
      <w:r>
        <w:fldChar w:fldCharType="end"/>
      </w:r>
    </w:p>
    <w:p>
      <w:pPr>
        <w:pStyle w:val="TOC8"/>
        <w:rPr>
          <w:sz w:val="24"/>
          <w:szCs w:val="24"/>
        </w:rPr>
      </w:pPr>
      <w:r>
        <w:rPr>
          <w:szCs w:val="24"/>
        </w:rPr>
        <w:t>3A.</w:t>
      </w:r>
      <w:r>
        <w:rPr>
          <w:szCs w:val="24"/>
        </w:rPr>
        <w:tab/>
        <w:t>First supplementary agreement</w:t>
      </w:r>
      <w:r>
        <w:tab/>
      </w:r>
      <w:r>
        <w:fldChar w:fldCharType="begin"/>
      </w:r>
      <w:r>
        <w:instrText xml:space="preserve"> PAGEREF _Toc272058839 \h </w:instrText>
      </w:r>
      <w:r>
        <w:fldChar w:fldCharType="separate"/>
      </w:r>
      <w:r>
        <w:t>3</w:t>
      </w:r>
      <w:r>
        <w:fldChar w:fldCharType="end"/>
      </w:r>
    </w:p>
    <w:p>
      <w:pPr>
        <w:pStyle w:val="TOC8"/>
        <w:rPr>
          <w:sz w:val="24"/>
          <w:szCs w:val="24"/>
        </w:rPr>
      </w:pPr>
      <w:r>
        <w:rPr>
          <w:szCs w:val="24"/>
        </w:rPr>
        <w:t>3B.</w:t>
      </w:r>
      <w:r>
        <w:rPr>
          <w:szCs w:val="24"/>
        </w:rPr>
        <w:tab/>
        <w:t>Second supplementary agreement</w:t>
      </w:r>
      <w:r>
        <w:tab/>
      </w:r>
      <w:r>
        <w:fldChar w:fldCharType="begin"/>
      </w:r>
      <w:r>
        <w:instrText xml:space="preserve"> PAGEREF _Toc272058840 \h </w:instrText>
      </w:r>
      <w:r>
        <w:fldChar w:fldCharType="separate"/>
      </w:r>
      <w:r>
        <w:t>3</w:t>
      </w:r>
      <w:r>
        <w:fldChar w:fldCharType="end"/>
      </w:r>
    </w:p>
    <w:p>
      <w:pPr>
        <w:pStyle w:val="TOC8"/>
        <w:rPr>
          <w:sz w:val="24"/>
          <w:szCs w:val="24"/>
        </w:rPr>
      </w:pPr>
      <w:r>
        <w:rPr>
          <w:szCs w:val="24"/>
        </w:rPr>
        <w:t>3C.</w:t>
      </w:r>
      <w:r>
        <w:rPr>
          <w:szCs w:val="24"/>
        </w:rPr>
        <w:tab/>
        <w:t>Third supplementary agreement</w:t>
      </w:r>
      <w:r>
        <w:tab/>
      </w:r>
      <w:r>
        <w:fldChar w:fldCharType="begin"/>
      </w:r>
      <w:r>
        <w:instrText xml:space="preserve"> PAGEREF _Toc272058841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_Toc272058842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r>
      <w:r>
        <w:rPr>
          <w:i/>
          <w:snapToGrid w:val="0"/>
          <w:szCs w:val="24"/>
        </w:rPr>
        <w:t>Money Lenders Act 1912</w:t>
      </w:r>
      <w:r>
        <w:rPr>
          <w:snapToGrid w:val="0"/>
          <w:szCs w:val="24"/>
        </w:rPr>
        <w:t xml:space="preserve"> not to apply</w:t>
      </w:r>
      <w:r>
        <w:tab/>
      </w:r>
      <w:r>
        <w:fldChar w:fldCharType="begin"/>
      </w:r>
      <w:r>
        <w:instrText xml:space="preserve"> PAGEREF _Toc272058843 \h </w:instrText>
      </w:r>
      <w:r>
        <w:fldChar w:fldCharType="separate"/>
      </w:r>
      <w:r>
        <w:t>4</w:t>
      </w:r>
      <w:r>
        <w:fldChar w:fldCharType="end"/>
      </w:r>
    </w:p>
    <w:p>
      <w:pPr>
        <w:pStyle w:val="TOC2"/>
        <w:tabs>
          <w:tab w:val="right" w:leader="dot" w:pos="7078"/>
        </w:tabs>
        <w:rPr>
          <w:b w:val="0"/>
          <w:sz w:val="24"/>
          <w:szCs w:val="24"/>
        </w:rPr>
      </w:pPr>
      <w:r>
        <w:rPr>
          <w:szCs w:val="30"/>
        </w:rPr>
        <w:t>Part III — Mining tenements and rights as to minerals</w:t>
      </w:r>
    </w:p>
    <w:p>
      <w:pPr>
        <w:pStyle w:val="TOC8"/>
        <w:rPr>
          <w:sz w:val="24"/>
          <w:szCs w:val="24"/>
        </w:rPr>
      </w:pPr>
      <w:r>
        <w:rPr>
          <w:szCs w:val="24"/>
        </w:rPr>
        <w:t>6</w:t>
      </w:r>
      <w:r>
        <w:rPr>
          <w:snapToGrid w:val="0"/>
          <w:szCs w:val="24"/>
        </w:rPr>
        <w:t>.</w:t>
      </w:r>
      <w:r>
        <w:rPr>
          <w:snapToGrid w:val="0"/>
          <w:szCs w:val="24"/>
        </w:rPr>
        <w:tab/>
        <w:t>Interpretation and application of this Part</w:t>
      </w:r>
      <w:r>
        <w:tab/>
      </w:r>
      <w:r>
        <w:fldChar w:fldCharType="begin"/>
      </w:r>
      <w:r>
        <w:instrText xml:space="preserve"> PAGEREF _Toc272058845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Registration and validity of certain mineral claims</w:t>
      </w:r>
      <w:r>
        <w:tab/>
      </w:r>
      <w:r>
        <w:fldChar w:fldCharType="begin"/>
      </w:r>
      <w:r>
        <w:instrText xml:space="preserve"> PAGEREF _Toc272058846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Protection of certain rights and interests of Company</w:t>
      </w:r>
      <w:r>
        <w:tab/>
      </w:r>
      <w:r>
        <w:fldChar w:fldCharType="begin"/>
      </w:r>
      <w:r>
        <w:instrText xml:space="preserve"> PAGEREF _Toc272058847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Termination of other rights and interests</w:t>
      </w:r>
      <w:r>
        <w:tab/>
      </w:r>
      <w:r>
        <w:fldChar w:fldCharType="begin"/>
      </w:r>
      <w:r>
        <w:instrText xml:space="preserve"> PAGEREF _Toc272058848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Effect of marking out of certain land</w:t>
      </w:r>
      <w:r>
        <w:tab/>
      </w:r>
      <w:r>
        <w:fldChar w:fldCharType="begin"/>
      </w:r>
      <w:r>
        <w:instrText xml:space="preserve"> PAGEREF _Toc272058849 \h </w:instrText>
      </w:r>
      <w:r>
        <w:fldChar w:fldCharType="separate"/>
      </w:r>
      <w:r>
        <w:t>12</w:t>
      </w:r>
      <w:r>
        <w:fldChar w:fldCharType="end"/>
      </w:r>
    </w:p>
    <w:p>
      <w:pPr>
        <w:pStyle w:val="TOC8"/>
        <w:rPr>
          <w:sz w:val="24"/>
          <w:szCs w:val="24"/>
        </w:rPr>
      </w:pPr>
      <w:r>
        <w:rPr>
          <w:szCs w:val="24"/>
        </w:rPr>
        <w:t>11</w:t>
      </w:r>
      <w:r>
        <w:rPr>
          <w:snapToGrid w:val="0"/>
          <w:szCs w:val="24"/>
        </w:rPr>
        <w:t>.</w:t>
      </w:r>
      <w:r>
        <w:rPr>
          <w:snapToGrid w:val="0"/>
          <w:szCs w:val="24"/>
        </w:rPr>
        <w:tab/>
        <w:t>Saving of applications</w:t>
      </w:r>
      <w:r>
        <w:tab/>
      </w:r>
      <w:r>
        <w:fldChar w:fldCharType="begin"/>
      </w:r>
      <w:r>
        <w:instrText xml:space="preserve"> PAGEREF _Toc272058850 \h </w:instrText>
      </w:r>
      <w:r>
        <w:fldChar w:fldCharType="separate"/>
      </w:r>
      <w:r>
        <w:t>13</w:t>
      </w:r>
      <w:r>
        <w:fldChar w:fldCharType="end"/>
      </w:r>
    </w:p>
    <w:p>
      <w:pPr>
        <w:pStyle w:val="TOC8"/>
        <w:rPr>
          <w:sz w:val="24"/>
          <w:szCs w:val="24"/>
        </w:rPr>
      </w:pPr>
      <w:r>
        <w:rPr>
          <w:szCs w:val="24"/>
        </w:rPr>
        <w:t>12</w:t>
      </w:r>
      <w:r>
        <w:rPr>
          <w:snapToGrid w:val="0"/>
          <w:szCs w:val="24"/>
        </w:rPr>
        <w:t>.</w:t>
      </w:r>
      <w:r>
        <w:rPr>
          <w:snapToGrid w:val="0"/>
          <w:szCs w:val="24"/>
        </w:rPr>
        <w:tab/>
        <w:t>Validity of mining lease under Agreement</w:t>
      </w:r>
      <w:r>
        <w:tab/>
      </w:r>
      <w:r>
        <w:fldChar w:fldCharType="begin"/>
      </w:r>
      <w:r>
        <w:instrText xml:space="preserve"> PAGEREF _Toc272058851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Continuation of mining tenements</w:t>
      </w:r>
      <w:r>
        <w:tab/>
      </w:r>
      <w:r>
        <w:fldChar w:fldCharType="begin"/>
      </w:r>
      <w:r>
        <w:instrText xml:space="preserve"> PAGEREF _Toc272058852 \h </w:instrText>
      </w:r>
      <w:r>
        <w:fldChar w:fldCharType="separate"/>
      </w:r>
      <w:r>
        <w:t>15</w:t>
      </w:r>
      <w:r>
        <w:fldChar w:fldCharType="end"/>
      </w:r>
    </w:p>
    <w:p>
      <w:pPr>
        <w:pStyle w:val="TOC2"/>
        <w:tabs>
          <w:tab w:val="right" w:leader="dot" w:pos="7078"/>
        </w:tabs>
        <w:rPr>
          <w:b w:val="0"/>
          <w:sz w:val="24"/>
          <w:szCs w:val="24"/>
        </w:rPr>
      </w:pPr>
      <w:r>
        <w:rPr>
          <w:szCs w:val="30"/>
        </w:rPr>
        <w:lastRenderedPageBreak/>
        <w:t>Part IV — Security of diamond mining and processing areas</w:t>
      </w:r>
    </w:p>
    <w:p>
      <w:pPr>
        <w:pStyle w:val="TOC8"/>
        <w:rPr>
          <w:sz w:val="24"/>
          <w:szCs w:val="24"/>
        </w:rPr>
      </w:pPr>
      <w:r>
        <w:rPr>
          <w:szCs w:val="24"/>
        </w:rPr>
        <w:t>14</w:t>
      </w:r>
      <w:r>
        <w:rPr>
          <w:snapToGrid w:val="0"/>
          <w:szCs w:val="24"/>
        </w:rPr>
        <w:t>.</w:t>
      </w:r>
      <w:r>
        <w:rPr>
          <w:snapToGrid w:val="0"/>
          <w:szCs w:val="24"/>
        </w:rPr>
        <w:tab/>
        <w:t>Interpretation of this Part</w:t>
      </w:r>
      <w:r>
        <w:tab/>
      </w:r>
      <w:r>
        <w:fldChar w:fldCharType="begin"/>
      </w:r>
      <w:r>
        <w:instrText xml:space="preserve"> PAGEREF _Toc272058854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Designated areas</w:t>
      </w:r>
      <w:r>
        <w:tab/>
      </w:r>
      <w:r>
        <w:fldChar w:fldCharType="begin"/>
      </w:r>
      <w:r>
        <w:instrText xml:space="preserve"> PAGEREF _Toc272058855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Unlawful possession of diamonds</w:t>
      </w:r>
      <w:r>
        <w:tab/>
      </w:r>
      <w:r>
        <w:fldChar w:fldCharType="begin"/>
      </w:r>
      <w:r>
        <w:instrText xml:space="preserve"> PAGEREF _Toc272058856 \h </w:instrText>
      </w:r>
      <w:r>
        <w:fldChar w:fldCharType="separate"/>
      </w:r>
      <w:r>
        <w:t>19</w:t>
      </w:r>
      <w:r>
        <w:fldChar w:fldCharType="end"/>
      </w:r>
    </w:p>
    <w:p>
      <w:pPr>
        <w:pStyle w:val="TOC8"/>
        <w:rPr>
          <w:sz w:val="24"/>
          <w:szCs w:val="24"/>
        </w:rPr>
      </w:pPr>
      <w:r>
        <w:rPr>
          <w:szCs w:val="24"/>
        </w:rPr>
        <w:t>17</w:t>
      </w:r>
      <w:r>
        <w:rPr>
          <w:snapToGrid w:val="0"/>
          <w:szCs w:val="24"/>
        </w:rPr>
        <w:t>.</w:t>
      </w:r>
      <w:r>
        <w:rPr>
          <w:snapToGrid w:val="0"/>
          <w:szCs w:val="24"/>
        </w:rPr>
        <w:tab/>
        <w:t>Entry to and egress from designated area</w:t>
      </w:r>
      <w:r>
        <w:tab/>
      </w:r>
      <w:r>
        <w:fldChar w:fldCharType="begin"/>
      </w:r>
      <w:r>
        <w:instrText xml:space="preserve"> PAGEREF _Toc272058857 \h </w:instrText>
      </w:r>
      <w:r>
        <w:fldChar w:fldCharType="separate"/>
      </w:r>
      <w:r>
        <w:t>19</w:t>
      </w:r>
      <w:r>
        <w:fldChar w:fldCharType="end"/>
      </w:r>
    </w:p>
    <w:p>
      <w:pPr>
        <w:pStyle w:val="TOC8"/>
        <w:rPr>
          <w:sz w:val="24"/>
          <w:szCs w:val="24"/>
        </w:rPr>
      </w:pPr>
      <w:r>
        <w:rPr>
          <w:szCs w:val="24"/>
        </w:rPr>
        <w:t>18</w:t>
      </w:r>
      <w:r>
        <w:rPr>
          <w:snapToGrid w:val="0"/>
          <w:szCs w:val="24"/>
        </w:rPr>
        <w:t>.</w:t>
      </w:r>
      <w:r>
        <w:rPr>
          <w:snapToGrid w:val="0"/>
          <w:szCs w:val="24"/>
        </w:rPr>
        <w:tab/>
        <w:t>Security officer may give direction etc. to persons on designated area</w:t>
      </w:r>
      <w:r>
        <w:tab/>
      </w:r>
      <w:r>
        <w:fldChar w:fldCharType="begin"/>
      </w:r>
      <w:r>
        <w:instrText xml:space="preserve"> PAGEREF _Toc272058858 \h </w:instrText>
      </w:r>
      <w:r>
        <w:fldChar w:fldCharType="separate"/>
      </w:r>
      <w:r>
        <w:t>21</w:t>
      </w:r>
      <w:r>
        <w:fldChar w:fldCharType="end"/>
      </w:r>
    </w:p>
    <w:p>
      <w:pPr>
        <w:pStyle w:val="TOC8"/>
        <w:rPr>
          <w:sz w:val="24"/>
          <w:szCs w:val="24"/>
        </w:rPr>
      </w:pPr>
      <w:r>
        <w:rPr>
          <w:szCs w:val="24"/>
        </w:rPr>
        <w:t>19</w:t>
      </w:r>
      <w:r>
        <w:rPr>
          <w:snapToGrid w:val="0"/>
          <w:szCs w:val="24"/>
        </w:rPr>
        <w:t>.</w:t>
      </w:r>
      <w:r>
        <w:rPr>
          <w:snapToGrid w:val="0"/>
          <w:szCs w:val="24"/>
        </w:rPr>
        <w:tab/>
        <w:t>Removal of persons and things</w:t>
      </w:r>
      <w:r>
        <w:tab/>
      </w:r>
      <w:r>
        <w:fldChar w:fldCharType="begin"/>
      </w:r>
      <w:r>
        <w:instrText xml:space="preserve"> PAGEREF _Toc272058859 \h </w:instrText>
      </w:r>
      <w:r>
        <w:fldChar w:fldCharType="separate"/>
      </w:r>
      <w:r>
        <w:t>22</w:t>
      </w:r>
      <w:r>
        <w:fldChar w:fldCharType="end"/>
      </w:r>
    </w:p>
    <w:p>
      <w:pPr>
        <w:pStyle w:val="TOC8"/>
        <w:rPr>
          <w:sz w:val="24"/>
          <w:szCs w:val="24"/>
        </w:rPr>
      </w:pPr>
      <w:r>
        <w:rPr>
          <w:szCs w:val="24"/>
        </w:rPr>
        <w:t>20</w:t>
      </w:r>
      <w:r>
        <w:rPr>
          <w:snapToGrid w:val="0"/>
          <w:szCs w:val="24"/>
        </w:rPr>
        <w:t>.</w:t>
      </w:r>
      <w:r>
        <w:rPr>
          <w:snapToGrid w:val="0"/>
          <w:szCs w:val="24"/>
        </w:rPr>
        <w:tab/>
        <w:t>Search of property</w:t>
      </w:r>
      <w:r>
        <w:tab/>
      </w:r>
      <w:r>
        <w:fldChar w:fldCharType="begin"/>
      </w:r>
      <w:r>
        <w:instrText xml:space="preserve"> PAGEREF _Toc272058860 \h </w:instrText>
      </w:r>
      <w:r>
        <w:fldChar w:fldCharType="separate"/>
      </w:r>
      <w:r>
        <w:t>23</w:t>
      </w:r>
      <w:r>
        <w:fldChar w:fldCharType="end"/>
      </w:r>
    </w:p>
    <w:p>
      <w:pPr>
        <w:pStyle w:val="TOC8"/>
        <w:rPr>
          <w:sz w:val="24"/>
          <w:szCs w:val="24"/>
        </w:rPr>
      </w:pPr>
      <w:r>
        <w:rPr>
          <w:szCs w:val="24"/>
        </w:rPr>
        <w:t>21</w:t>
      </w:r>
      <w:r>
        <w:rPr>
          <w:snapToGrid w:val="0"/>
          <w:szCs w:val="24"/>
        </w:rPr>
        <w:t>.</w:t>
      </w:r>
      <w:r>
        <w:rPr>
          <w:snapToGrid w:val="0"/>
          <w:szCs w:val="24"/>
        </w:rPr>
        <w:tab/>
        <w:t>Detention and search of persons</w:t>
      </w:r>
      <w:r>
        <w:tab/>
      </w:r>
      <w:r>
        <w:fldChar w:fldCharType="begin"/>
      </w:r>
      <w:r>
        <w:instrText xml:space="preserve"> PAGEREF _Toc272058861 \h </w:instrText>
      </w:r>
      <w:r>
        <w:fldChar w:fldCharType="separate"/>
      </w:r>
      <w:r>
        <w:t>23</w:t>
      </w:r>
      <w:r>
        <w:fldChar w:fldCharType="end"/>
      </w:r>
    </w:p>
    <w:p>
      <w:pPr>
        <w:pStyle w:val="TOC8"/>
        <w:rPr>
          <w:sz w:val="24"/>
          <w:szCs w:val="24"/>
        </w:rPr>
      </w:pPr>
      <w:r>
        <w:rPr>
          <w:szCs w:val="24"/>
        </w:rPr>
        <w:t>22</w:t>
      </w:r>
      <w:r>
        <w:rPr>
          <w:snapToGrid w:val="0"/>
          <w:szCs w:val="24"/>
        </w:rPr>
        <w:t>.</w:t>
      </w:r>
      <w:r>
        <w:rPr>
          <w:snapToGrid w:val="0"/>
          <w:szCs w:val="24"/>
        </w:rPr>
        <w:tab/>
        <w:t>Emergency action exempted</w:t>
      </w:r>
      <w:r>
        <w:tab/>
      </w:r>
      <w:r>
        <w:fldChar w:fldCharType="begin"/>
      </w:r>
      <w:r>
        <w:instrText xml:space="preserve"> PAGEREF _Toc272058862 \h </w:instrText>
      </w:r>
      <w:r>
        <w:fldChar w:fldCharType="separate"/>
      </w:r>
      <w:r>
        <w:t>26</w:t>
      </w:r>
      <w:r>
        <w:fldChar w:fldCharType="end"/>
      </w:r>
    </w:p>
    <w:p>
      <w:pPr>
        <w:pStyle w:val="TOC8"/>
        <w:rPr>
          <w:sz w:val="24"/>
          <w:szCs w:val="24"/>
        </w:rPr>
      </w:pPr>
      <w:r>
        <w:rPr>
          <w:szCs w:val="24"/>
        </w:rPr>
        <w:t>23</w:t>
      </w:r>
      <w:r>
        <w:rPr>
          <w:snapToGrid w:val="0"/>
          <w:szCs w:val="24"/>
        </w:rPr>
        <w:t>.</w:t>
      </w:r>
      <w:r>
        <w:rPr>
          <w:snapToGrid w:val="0"/>
          <w:szCs w:val="24"/>
        </w:rPr>
        <w:tab/>
        <w:t>Powers of police not affected</w:t>
      </w:r>
      <w:r>
        <w:tab/>
      </w:r>
      <w:r>
        <w:fldChar w:fldCharType="begin"/>
      </w:r>
      <w:r>
        <w:instrText xml:space="preserve"> PAGEREF _Toc272058863 \h </w:instrText>
      </w:r>
      <w:r>
        <w:fldChar w:fldCharType="separate"/>
      </w:r>
      <w:r>
        <w:t>26</w:t>
      </w:r>
      <w:r>
        <w:fldChar w:fldCharType="end"/>
      </w:r>
    </w:p>
    <w:p>
      <w:pPr>
        <w:pStyle w:val="TOC8"/>
        <w:rPr>
          <w:sz w:val="24"/>
          <w:szCs w:val="24"/>
        </w:rPr>
      </w:pPr>
      <w:r>
        <w:rPr>
          <w:szCs w:val="24"/>
        </w:rPr>
        <w:t>24</w:t>
      </w:r>
      <w:r>
        <w:rPr>
          <w:snapToGrid w:val="0"/>
          <w:szCs w:val="24"/>
        </w:rPr>
        <w:t>.</w:t>
      </w:r>
      <w:r>
        <w:rPr>
          <w:snapToGrid w:val="0"/>
          <w:szCs w:val="24"/>
        </w:rPr>
        <w:tab/>
        <w:t>Evidence</w:t>
      </w:r>
      <w:r>
        <w:tab/>
      </w:r>
      <w:r>
        <w:fldChar w:fldCharType="begin"/>
      </w:r>
      <w:r>
        <w:instrText xml:space="preserve"> PAGEREF _Toc272058864 \h </w:instrText>
      </w:r>
      <w:r>
        <w:fldChar w:fldCharType="separate"/>
      </w:r>
      <w:r>
        <w:t>27</w:t>
      </w:r>
      <w:r>
        <w:fldChar w:fldCharType="end"/>
      </w:r>
    </w:p>
    <w:p>
      <w:pPr>
        <w:pStyle w:val="TOC8"/>
        <w:rPr>
          <w:sz w:val="24"/>
          <w:szCs w:val="24"/>
        </w:rPr>
      </w:pPr>
      <w:r>
        <w:rPr>
          <w:szCs w:val="24"/>
        </w:rPr>
        <w:t>25</w:t>
      </w:r>
      <w:r>
        <w:rPr>
          <w:snapToGrid w:val="0"/>
          <w:szCs w:val="24"/>
        </w:rPr>
        <w:t>.</w:t>
      </w:r>
      <w:r>
        <w:rPr>
          <w:snapToGrid w:val="0"/>
          <w:szCs w:val="24"/>
        </w:rPr>
        <w:tab/>
        <w:t>Restitution of diamonds</w:t>
      </w:r>
      <w:r>
        <w:tab/>
      </w:r>
      <w:r>
        <w:fldChar w:fldCharType="begin"/>
      </w:r>
      <w:r>
        <w:instrText xml:space="preserve"> PAGEREF _Toc272058865 \h </w:instrText>
      </w:r>
      <w:r>
        <w:fldChar w:fldCharType="separate"/>
      </w:r>
      <w:r>
        <w:t>27</w:t>
      </w:r>
      <w:r>
        <w:fldChar w:fldCharType="end"/>
      </w:r>
    </w:p>
    <w:p>
      <w:pPr>
        <w:pStyle w:val="TOC8"/>
        <w:rPr>
          <w:sz w:val="24"/>
          <w:szCs w:val="24"/>
        </w:rPr>
      </w:pPr>
      <w:r>
        <w:rPr>
          <w:szCs w:val="24"/>
        </w:rPr>
        <w:t>26</w:t>
      </w:r>
      <w:r>
        <w:rPr>
          <w:snapToGrid w:val="0"/>
          <w:szCs w:val="24"/>
        </w:rPr>
        <w:t>.</w:t>
      </w:r>
      <w:r>
        <w:rPr>
          <w:snapToGrid w:val="0"/>
          <w:szCs w:val="24"/>
        </w:rPr>
        <w:tab/>
      </w:r>
      <w:r>
        <w:rPr>
          <w:i/>
          <w:snapToGrid w:val="0"/>
          <w:szCs w:val="24"/>
        </w:rPr>
        <w:t>Security and Related Activities (Control) Act 1996</w:t>
      </w:r>
      <w:r>
        <w:rPr>
          <w:snapToGrid w:val="0"/>
          <w:szCs w:val="24"/>
        </w:rPr>
        <w:t xml:space="preserve"> to apply</w:t>
      </w:r>
      <w:r>
        <w:tab/>
      </w:r>
      <w:r>
        <w:fldChar w:fldCharType="begin"/>
      </w:r>
      <w:r>
        <w:instrText xml:space="preserve"> PAGEREF _Toc272058866 \h </w:instrText>
      </w:r>
      <w:r>
        <w:fldChar w:fldCharType="separate"/>
      </w:r>
      <w:r>
        <w:t>27</w:t>
      </w:r>
      <w:r>
        <w:fldChar w:fldCharType="end"/>
      </w:r>
    </w:p>
    <w:p>
      <w:pPr>
        <w:pStyle w:val="TOC8"/>
        <w:rPr>
          <w:sz w:val="24"/>
          <w:szCs w:val="24"/>
        </w:rPr>
      </w:pPr>
      <w:r>
        <w:rPr>
          <w:szCs w:val="24"/>
        </w:rPr>
        <w:t>27</w:t>
      </w:r>
      <w:r>
        <w:rPr>
          <w:snapToGrid w:val="0"/>
          <w:szCs w:val="24"/>
        </w:rPr>
        <w:t>.</w:t>
      </w:r>
      <w:r>
        <w:rPr>
          <w:snapToGrid w:val="0"/>
          <w:szCs w:val="24"/>
        </w:rPr>
        <w:tab/>
        <w:t>Offences under other Acts not excluded</w:t>
      </w:r>
      <w:r>
        <w:tab/>
      </w:r>
      <w:r>
        <w:fldChar w:fldCharType="begin"/>
      </w:r>
      <w:r>
        <w:instrText xml:space="preserve"> PAGEREF _Toc272058867 \h </w:instrText>
      </w:r>
      <w:r>
        <w:fldChar w:fldCharType="separate"/>
      </w:r>
      <w:r>
        <w:t>27</w:t>
      </w:r>
      <w:r>
        <w:fldChar w:fldCharType="end"/>
      </w:r>
    </w:p>
    <w:p>
      <w:pPr>
        <w:pStyle w:val="TOC8"/>
        <w:rPr>
          <w:sz w:val="24"/>
          <w:szCs w:val="24"/>
        </w:rPr>
      </w:pPr>
      <w:r>
        <w:rPr>
          <w:szCs w:val="24"/>
        </w:rPr>
        <w:t>28.</w:t>
      </w:r>
      <w:r>
        <w:rPr>
          <w:szCs w:val="24"/>
        </w:rPr>
        <w:tab/>
        <w:t>Exercise of powers lawful</w:t>
      </w:r>
      <w:r>
        <w:tab/>
      </w:r>
      <w:r>
        <w:fldChar w:fldCharType="begin"/>
      </w:r>
      <w:r>
        <w:instrText xml:space="preserve"> PAGEREF _Toc272058868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Regulations</w:t>
      </w:r>
      <w:r>
        <w:tab/>
      </w:r>
      <w:r>
        <w:fldChar w:fldCharType="begin"/>
      </w:r>
      <w:r>
        <w:instrText xml:space="preserve"> PAGEREF _Toc272058869 \h </w:instrText>
      </w:r>
      <w:r>
        <w:fldChar w:fldCharType="separate"/>
      </w:r>
      <w:r>
        <w:t>28</w:t>
      </w:r>
      <w:r>
        <w:fldChar w:fldCharType="end"/>
      </w:r>
    </w:p>
    <w:p>
      <w:pPr>
        <w:pStyle w:val="TOC2"/>
        <w:tabs>
          <w:tab w:val="right" w:leader="dot" w:pos="7078"/>
        </w:tabs>
        <w:rPr>
          <w:b w:val="0"/>
          <w:sz w:val="24"/>
          <w:szCs w:val="24"/>
        </w:rPr>
      </w:pPr>
      <w:r>
        <w:rPr>
          <w:szCs w:val="28"/>
        </w:rPr>
        <w:t>Schedule 1 — Mineral claims</w:t>
      </w:r>
    </w:p>
    <w:p>
      <w:pPr>
        <w:pStyle w:val="TOC2"/>
        <w:tabs>
          <w:tab w:val="right" w:leader="dot" w:pos="7078"/>
        </w:tabs>
        <w:rPr>
          <w:b w:val="0"/>
          <w:sz w:val="24"/>
          <w:szCs w:val="24"/>
        </w:rPr>
      </w:pPr>
      <w:r>
        <w:rPr>
          <w:szCs w:val="28"/>
        </w:rPr>
        <w:t>Schedule 2 — Diamond (Argyle Diamond Mines Joint Venture) Agreement</w:t>
      </w:r>
    </w:p>
    <w:p>
      <w:pPr>
        <w:pStyle w:val="TOC2"/>
        <w:tabs>
          <w:tab w:val="right" w:leader="dot" w:pos="7078"/>
        </w:tabs>
        <w:rPr>
          <w:b w:val="0"/>
          <w:sz w:val="24"/>
          <w:szCs w:val="24"/>
        </w:rPr>
      </w:pPr>
      <w:r>
        <w:rPr>
          <w:szCs w:val="28"/>
        </w:rPr>
        <w:t>Schedule 3 — First supplementary agreement</w:t>
      </w:r>
    </w:p>
    <w:p>
      <w:pPr>
        <w:pStyle w:val="TOC2"/>
        <w:tabs>
          <w:tab w:val="right" w:leader="dot" w:pos="7078"/>
        </w:tabs>
        <w:rPr>
          <w:b w:val="0"/>
          <w:sz w:val="24"/>
          <w:szCs w:val="24"/>
        </w:rPr>
      </w:pPr>
      <w:r>
        <w:rPr>
          <w:szCs w:val="28"/>
        </w:rPr>
        <w:t>Schedule 4 — Second supplementary agreement</w:t>
      </w:r>
    </w:p>
    <w:p>
      <w:pPr>
        <w:pStyle w:val="TOC2"/>
        <w:tabs>
          <w:tab w:val="right" w:leader="dot" w:pos="7078"/>
        </w:tabs>
        <w:rPr>
          <w:b w:val="0"/>
          <w:sz w:val="24"/>
          <w:szCs w:val="24"/>
        </w:rPr>
      </w:pPr>
      <w:r>
        <w:rPr>
          <w:szCs w:val="28"/>
        </w:rPr>
        <w:t>Schedule 5</w:t>
      </w:r>
      <w:r>
        <w:rPr>
          <w:sz w:val="24"/>
          <w:szCs w:val="28"/>
        </w:rPr>
        <w:t> </w:t>
      </w:r>
      <w:r>
        <w:rPr>
          <w:szCs w:val="28"/>
        </w:rPr>
        <w:t>—</w:t>
      </w:r>
      <w:r>
        <w:rPr>
          <w:sz w:val="24"/>
          <w:szCs w:val="28"/>
        </w:rPr>
        <w:t> </w:t>
      </w:r>
      <w:r>
        <w:rPr>
          <w:szCs w:val="28"/>
        </w:rPr>
        <w:t>Third supplementary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_Toc272058876 \h </w:instrText>
      </w:r>
      <w:r>
        <w:fldChar w:fldCharType="separate"/>
      </w:r>
      <w:r>
        <w:t>152</w:t>
      </w:r>
      <w:r>
        <w:fldChar w:fldCharType="end"/>
      </w:r>
    </w:p>
    <w:p>
      <w:pPr>
        <w:pStyle w:val="TOC8"/>
        <w:rPr>
          <w:sz w:val="24"/>
        </w:rPr>
      </w:pPr>
      <w:r>
        <w:tab/>
        <w:t>Provisions that have not come into operation</w:t>
      </w:r>
      <w:r>
        <w:tab/>
      </w:r>
      <w:r>
        <w:fldChar w:fldCharType="begin"/>
      </w:r>
      <w:r>
        <w:instrText xml:space="preserve"> PAGEREF _Toc272058877 \h </w:instrText>
      </w:r>
      <w:r>
        <w:fldChar w:fldCharType="separate"/>
      </w:r>
      <w:r>
        <w:t>153</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after="1560"/>
      </w:pPr>
      <w:r>
        <w:t xml:space="preserve">Diamond (Argyle Diamond Mines Joint Venture) Agreement Act 1981 </w:t>
      </w:r>
    </w:p>
    <w:p>
      <w:pPr>
        <w:pStyle w:val="LongTitle"/>
        <w:rPr>
          <w:snapToGrid w:val="0"/>
        </w:rPr>
      </w:pPr>
      <w:r>
        <w:rPr>
          <w:snapToGrid w:val="0"/>
        </w:rPr>
        <w:t xml:space="preserve">An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2" w:name="_Toc95644796"/>
      <w:bookmarkStart w:id="3" w:name="_Toc96923006"/>
      <w:bookmarkStart w:id="4" w:name="_Toc102725871"/>
      <w:bookmarkStart w:id="5" w:name="_Toc199739627"/>
      <w:bookmarkStart w:id="6" w:name="_Toc199739669"/>
      <w:bookmarkStart w:id="7" w:name="_Toc199739711"/>
      <w:bookmarkStart w:id="8" w:name="_Toc199739753"/>
      <w:bookmarkStart w:id="9" w:name="_Toc199815977"/>
      <w:bookmarkStart w:id="10" w:name="_Toc202772636"/>
      <w:bookmarkStart w:id="11" w:name="_Toc215480669"/>
      <w:bookmarkStart w:id="12" w:name="_Toc268272752"/>
      <w:bookmarkStart w:id="13" w:name="_Toc272058834"/>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r>
        <w:rPr>
          <w:rStyle w:val="CharPartText"/>
        </w:rPr>
        <w:t xml:space="preserve"> </w:t>
      </w:r>
    </w:p>
    <w:p>
      <w:pPr>
        <w:pStyle w:val="Heading5"/>
        <w:rPr>
          <w:snapToGrid w:val="0"/>
        </w:rPr>
      </w:pPr>
      <w:bookmarkStart w:id="14" w:name="_Toc589957"/>
      <w:bookmarkStart w:id="15" w:name="_Toc590024"/>
      <w:bookmarkStart w:id="16" w:name="_Toc6212716"/>
      <w:bookmarkStart w:id="17" w:name="_Toc199739712"/>
      <w:bookmarkStart w:id="18" w:name="_Toc272058835"/>
      <w:r>
        <w:rPr>
          <w:rStyle w:val="CharSectno"/>
        </w:rPr>
        <w:t>1</w:t>
      </w:r>
      <w:r>
        <w:rPr>
          <w:snapToGrid w:val="0"/>
        </w:rPr>
        <w:t>.</w:t>
      </w:r>
      <w:r>
        <w:rPr>
          <w:snapToGrid w:val="0"/>
        </w:rPr>
        <w:tab/>
        <w:t>Short title</w:t>
      </w:r>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9" w:name="_Toc589958"/>
      <w:bookmarkStart w:id="20" w:name="_Toc590025"/>
      <w:bookmarkStart w:id="21" w:name="_Toc6212717"/>
      <w:bookmarkStart w:id="22" w:name="_Toc199739713"/>
      <w:bookmarkStart w:id="23" w:name="_Toc272058836"/>
      <w:r>
        <w:rPr>
          <w:rStyle w:val="CharSectno"/>
        </w:rPr>
        <w:t>2</w:t>
      </w:r>
      <w:r>
        <w:rPr>
          <w:snapToGrid w:val="0"/>
        </w:rPr>
        <w:t>.</w:t>
      </w:r>
      <w:r>
        <w:rPr>
          <w:snapToGrid w:val="0"/>
        </w:rPr>
        <w:tab/>
        <w:t>Interpretation</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fldChar w:fldCharType="begin"/>
      </w:r>
      <w:r>
        <w:instrText xml:space="preserve"> LISTNUM DefinitionNumbers \l1 </w:instrText>
      </w:r>
      <w:r>
        <w:fldChar w:fldCharType="end"/>
      </w:r>
      <w:r>
        <w:fldChar w:fldCharType="begin"/>
      </w:r>
      <w:r>
        <w:instrText xml:space="preserve"> LISTNUM DefinitionNumbers \l1 </w:instrText>
      </w:r>
      <w:r>
        <w:fldChar w:fldCharType="end"/>
      </w: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4" w:name="_Toc95644799"/>
      <w:bookmarkStart w:id="25" w:name="_Toc96923009"/>
      <w:bookmarkStart w:id="26" w:name="_Toc102725874"/>
      <w:bookmarkStart w:id="27" w:name="_Toc199739630"/>
      <w:bookmarkStart w:id="28" w:name="_Toc199739672"/>
      <w:bookmarkStart w:id="29" w:name="_Toc199739714"/>
      <w:bookmarkStart w:id="30" w:name="_Toc199739756"/>
      <w:bookmarkStart w:id="31" w:name="_Toc199815980"/>
      <w:bookmarkStart w:id="32" w:name="_Toc202772639"/>
      <w:bookmarkStart w:id="33" w:name="_Toc215480672"/>
      <w:bookmarkStart w:id="34" w:name="_Toc268272755"/>
      <w:bookmarkStart w:id="35" w:name="_Toc272058837"/>
      <w:r>
        <w:rPr>
          <w:rStyle w:val="CharPartNo"/>
        </w:rPr>
        <w:t>Part II</w:t>
      </w:r>
      <w:r>
        <w:rPr>
          <w:rStyle w:val="CharDivNo"/>
        </w:rPr>
        <w:t> </w:t>
      </w:r>
      <w:r>
        <w:t>—</w:t>
      </w:r>
      <w:r>
        <w:rPr>
          <w:rStyle w:val="CharDivText"/>
        </w:rPr>
        <w:t> </w:t>
      </w:r>
      <w:r>
        <w:rPr>
          <w:rStyle w:val="CharPartText"/>
        </w:rPr>
        <w:t>Ratification of Agreement and supplementary agreements</w:t>
      </w:r>
      <w:bookmarkEnd w:id="24"/>
      <w:bookmarkEnd w:id="25"/>
      <w:bookmarkEnd w:id="26"/>
      <w:bookmarkEnd w:id="27"/>
      <w:bookmarkEnd w:id="28"/>
      <w:bookmarkEnd w:id="29"/>
      <w:bookmarkEnd w:id="30"/>
      <w:bookmarkEnd w:id="31"/>
      <w:bookmarkEnd w:id="32"/>
      <w:bookmarkEnd w:id="33"/>
      <w:bookmarkEnd w:id="34"/>
      <w:bookmarkEnd w:id="35"/>
      <w:r>
        <w:rPr>
          <w:rStyle w:val="CharPartText"/>
        </w:rPr>
        <w:t xml:space="preserve"> </w:t>
      </w:r>
    </w:p>
    <w:p>
      <w:pPr>
        <w:pStyle w:val="Footnoteheading"/>
        <w:ind w:left="890"/>
      </w:pPr>
      <w:r>
        <w:tab/>
        <w:t>[Heading amended by No. 39 of 2001 s. 5.]</w:t>
      </w:r>
    </w:p>
    <w:p>
      <w:pPr>
        <w:pStyle w:val="Heading5"/>
        <w:rPr>
          <w:snapToGrid w:val="0"/>
        </w:rPr>
      </w:pPr>
      <w:bookmarkStart w:id="36" w:name="_Toc589959"/>
      <w:bookmarkStart w:id="37" w:name="_Toc590026"/>
      <w:bookmarkStart w:id="38" w:name="_Toc6212718"/>
      <w:bookmarkStart w:id="39" w:name="_Toc199739715"/>
      <w:bookmarkStart w:id="40" w:name="_Toc272058838"/>
      <w:r>
        <w:rPr>
          <w:rStyle w:val="CharSectno"/>
        </w:rPr>
        <w:t>3</w:t>
      </w:r>
      <w:r>
        <w:rPr>
          <w:snapToGrid w:val="0"/>
        </w:rPr>
        <w:t>.</w:t>
      </w:r>
      <w:r>
        <w:rPr>
          <w:snapToGrid w:val="0"/>
        </w:rPr>
        <w:tab/>
        <w:t>Agreement ratified and implementation authorised</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41" w:name="_Toc589960"/>
      <w:bookmarkStart w:id="42" w:name="_Toc590027"/>
      <w:bookmarkStart w:id="43" w:name="_Toc6212719"/>
      <w:bookmarkStart w:id="44" w:name="_Toc199739716"/>
      <w:bookmarkStart w:id="45" w:name="_Toc272058839"/>
      <w:r>
        <w:rPr>
          <w:rStyle w:val="CharSectno"/>
        </w:rPr>
        <w:t>3A</w:t>
      </w:r>
      <w:r>
        <w:t>.</w:t>
      </w:r>
      <w:r>
        <w:tab/>
        <w:t>First supplementary agreement</w:t>
      </w:r>
      <w:bookmarkEnd w:id="41"/>
      <w:bookmarkEnd w:id="42"/>
      <w:bookmarkEnd w:id="43"/>
      <w:bookmarkEnd w:id="44"/>
      <w:bookmarkEnd w:id="45"/>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6" w:name="_Toc589961"/>
      <w:bookmarkStart w:id="47" w:name="_Toc590028"/>
      <w:bookmarkStart w:id="48" w:name="_Toc6212720"/>
      <w:bookmarkStart w:id="49" w:name="_Toc199739717"/>
      <w:bookmarkStart w:id="50" w:name="_Toc272058840"/>
      <w:r>
        <w:rPr>
          <w:rStyle w:val="CharSectno"/>
        </w:rPr>
        <w:t>3B</w:t>
      </w:r>
      <w:r>
        <w:t>.</w:t>
      </w:r>
      <w:r>
        <w:tab/>
        <w:t>Second supplementary agreement</w:t>
      </w:r>
      <w:bookmarkEnd w:id="46"/>
      <w:bookmarkEnd w:id="47"/>
      <w:bookmarkEnd w:id="48"/>
      <w:bookmarkEnd w:id="49"/>
      <w:bookmarkEnd w:id="50"/>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51" w:name="_Toc202249419"/>
      <w:bookmarkStart w:id="52" w:name="_Toc202754893"/>
      <w:bookmarkStart w:id="53" w:name="_Toc272058841"/>
      <w:bookmarkStart w:id="54" w:name="_Toc589962"/>
      <w:bookmarkStart w:id="55" w:name="_Toc590029"/>
      <w:bookmarkStart w:id="56" w:name="_Toc6212721"/>
      <w:bookmarkStart w:id="57" w:name="_Toc199739718"/>
      <w:r>
        <w:rPr>
          <w:rStyle w:val="CharSectno"/>
        </w:rPr>
        <w:t>3C</w:t>
      </w:r>
      <w:r>
        <w:t>.</w:t>
      </w:r>
      <w:r>
        <w:tab/>
        <w:t>Third supplementary agreement</w:t>
      </w:r>
      <w:bookmarkEnd w:id="51"/>
      <w:bookmarkEnd w:id="52"/>
      <w:bookmarkEnd w:id="53"/>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58" w:name="_Toc272058842"/>
      <w:r>
        <w:rPr>
          <w:rStyle w:val="CharSectno"/>
        </w:rPr>
        <w:t>4</w:t>
      </w:r>
      <w:r>
        <w:rPr>
          <w:snapToGrid w:val="0"/>
        </w:rPr>
        <w:t>.</w:t>
      </w:r>
      <w:r>
        <w:rPr>
          <w:snapToGrid w:val="0"/>
        </w:rPr>
        <w:tab/>
        <w:t>By</w:t>
      </w:r>
      <w:r>
        <w:rPr>
          <w:snapToGrid w:val="0"/>
        </w:rPr>
        <w:noBreakHyphen/>
        <w:t>laws</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59" w:name="_Toc589963"/>
      <w:bookmarkStart w:id="60" w:name="_Toc590030"/>
      <w:bookmarkStart w:id="61" w:name="_Toc6212722"/>
      <w:bookmarkStart w:id="62" w:name="_Toc199739719"/>
      <w:bookmarkStart w:id="63" w:name="_Toc272058843"/>
      <w:r>
        <w:rPr>
          <w:rStyle w:val="CharSectno"/>
        </w:rPr>
        <w:t>5</w:t>
      </w:r>
      <w:r>
        <w:rPr>
          <w:snapToGrid w:val="0"/>
        </w:rPr>
        <w:t>.</w:t>
      </w:r>
      <w:r>
        <w:rPr>
          <w:snapToGrid w:val="0"/>
        </w:rPr>
        <w:tab/>
      </w:r>
      <w:r>
        <w:rPr>
          <w:i/>
          <w:snapToGrid w:val="0"/>
        </w:rPr>
        <w:t>Money Lenders Act 1912</w:t>
      </w:r>
      <w:r>
        <w:rPr>
          <w:snapToGrid w:val="0"/>
        </w:rPr>
        <w:t xml:space="preserve"> not to apply</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64" w:name="_Toc95644805"/>
      <w:bookmarkStart w:id="65" w:name="_Toc96923015"/>
      <w:bookmarkStart w:id="66" w:name="_Toc102725880"/>
      <w:bookmarkStart w:id="67" w:name="_Toc199739636"/>
      <w:bookmarkStart w:id="68" w:name="_Toc199739678"/>
      <w:bookmarkStart w:id="69" w:name="_Toc199739720"/>
      <w:bookmarkStart w:id="70" w:name="_Toc199739762"/>
      <w:bookmarkStart w:id="71" w:name="_Toc199815986"/>
      <w:bookmarkStart w:id="72" w:name="_Toc202772646"/>
      <w:bookmarkStart w:id="73" w:name="_Toc215480679"/>
      <w:bookmarkStart w:id="74" w:name="_Toc268272762"/>
      <w:bookmarkStart w:id="75" w:name="_Toc272058844"/>
      <w:r>
        <w:rPr>
          <w:rStyle w:val="CharPartNo"/>
        </w:rPr>
        <w:t>Part III</w:t>
      </w:r>
      <w:r>
        <w:rPr>
          <w:rStyle w:val="CharDivNo"/>
        </w:rPr>
        <w:t> </w:t>
      </w:r>
      <w:r>
        <w:t>—</w:t>
      </w:r>
      <w:r>
        <w:rPr>
          <w:rStyle w:val="CharDivText"/>
        </w:rPr>
        <w:t> </w:t>
      </w:r>
      <w:r>
        <w:rPr>
          <w:rStyle w:val="CharPartText"/>
        </w:rPr>
        <w:t>Mining tenements and rights as to minerals</w:t>
      </w:r>
      <w:bookmarkEnd w:id="64"/>
      <w:bookmarkEnd w:id="65"/>
      <w:bookmarkEnd w:id="66"/>
      <w:bookmarkEnd w:id="67"/>
      <w:bookmarkEnd w:id="68"/>
      <w:bookmarkEnd w:id="69"/>
      <w:bookmarkEnd w:id="70"/>
      <w:bookmarkEnd w:id="71"/>
      <w:bookmarkEnd w:id="72"/>
      <w:bookmarkEnd w:id="73"/>
      <w:bookmarkEnd w:id="74"/>
      <w:bookmarkEnd w:id="75"/>
      <w:r>
        <w:rPr>
          <w:rStyle w:val="CharPartText"/>
        </w:rPr>
        <w:t xml:space="preserve"> </w:t>
      </w:r>
    </w:p>
    <w:p>
      <w:pPr>
        <w:pStyle w:val="Heading5"/>
        <w:rPr>
          <w:snapToGrid w:val="0"/>
        </w:rPr>
      </w:pPr>
      <w:bookmarkStart w:id="76" w:name="_Toc589964"/>
      <w:bookmarkStart w:id="77" w:name="_Toc590031"/>
      <w:bookmarkStart w:id="78" w:name="_Toc6212723"/>
      <w:bookmarkStart w:id="79" w:name="_Toc199739721"/>
      <w:bookmarkStart w:id="80" w:name="_Toc272058845"/>
      <w:r>
        <w:rPr>
          <w:rStyle w:val="CharSectno"/>
        </w:rPr>
        <w:t>6</w:t>
      </w:r>
      <w:r>
        <w:rPr>
          <w:snapToGrid w:val="0"/>
        </w:rPr>
        <w:t>.</w:t>
      </w:r>
      <w:r>
        <w:rPr>
          <w:snapToGrid w:val="0"/>
        </w:rPr>
        <w:tab/>
        <w:t>Interpretation and application of this Part</w:t>
      </w:r>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81" w:name="_Toc589965"/>
      <w:bookmarkStart w:id="82" w:name="_Toc590032"/>
      <w:bookmarkStart w:id="83" w:name="_Toc6212724"/>
      <w:bookmarkStart w:id="84" w:name="_Toc199739722"/>
      <w:bookmarkStart w:id="85" w:name="_Toc272058846"/>
      <w:r>
        <w:rPr>
          <w:rStyle w:val="CharSectno"/>
        </w:rPr>
        <w:t>7</w:t>
      </w:r>
      <w:r>
        <w:rPr>
          <w:snapToGrid w:val="0"/>
        </w:rPr>
        <w:t>.</w:t>
      </w:r>
      <w:r>
        <w:rPr>
          <w:snapToGrid w:val="0"/>
        </w:rPr>
        <w:tab/>
        <w:t>Registration and validity of certain mineral claims</w:t>
      </w:r>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86" w:name="_Toc589966"/>
      <w:bookmarkStart w:id="87" w:name="_Toc590033"/>
      <w:bookmarkStart w:id="88" w:name="_Toc6212725"/>
      <w:bookmarkStart w:id="89" w:name="_Toc199739723"/>
      <w:bookmarkStart w:id="90" w:name="_Toc272058847"/>
      <w:r>
        <w:rPr>
          <w:rStyle w:val="CharSectno"/>
        </w:rPr>
        <w:t>8</w:t>
      </w:r>
      <w:r>
        <w:rPr>
          <w:snapToGrid w:val="0"/>
        </w:rPr>
        <w:t>.</w:t>
      </w:r>
      <w:r>
        <w:rPr>
          <w:snapToGrid w:val="0"/>
        </w:rPr>
        <w:tab/>
        <w:t>Protection of certain rights and interests of Company</w:t>
      </w:r>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91" w:name="_Toc589967"/>
      <w:bookmarkStart w:id="92" w:name="_Toc590034"/>
      <w:bookmarkStart w:id="93" w:name="_Toc6212726"/>
      <w:bookmarkStart w:id="94" w:name="_Toc199739724"/>
      <w:bookmarkStart w:id="95" w:name="_Toc272058848"/>
      <w:r>
        <w:rPr>
          <w:rStyle w:val="CharSectno"/>
        </w:rPr>
        <w:t>9</w:t>
      </w:r>
      <w:r>
        <w:rPr>
          <w:snapToGrid w:val="0"/>
        </w:rPr>
        <w:t>.</w:t>
      </w:r>
      <w:r>
        <w:rPr>
          <w:snapToGrid w:val="0"/>
        </w:rPr>
        <w:tab/>
        <w:t>Termination of other rights and interests</w:t>
      </w:r>
      <w:bookmarkEnd w:id="91"/>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96" w:name="_Toc589968"/>
      <w:bookmarkStart w:id="97" w:name="_Toc590035"/>
      <w:bookmarkStart w:id="98" w:name="_Toc6212727"/>
      <w:bookmarkStart w:id="99" w:name="_Toc199739725"/>
      <w:bookmarkStart w:id="100" w:name="_Toc272058849"/>
      <w:r>
        <w:rPr>
          <w:rStyle w:val="CharSectno"/>
        </w:rPr>
        <w:t>10</w:t>
      </w:r>
      <w:r>
        <w:rPr>
          <w:snapToGrid w:val="0"/>
        </w:rPr>
        <w:t>.</w:t>
      </w:r>
      <w:r>
        <w:rPr>
          <w:snapToGrid w:val="0"/>
        </w:rPr>
        <w:tab/>
        <w:t>Effect of marking out of certain land</w:t>
      </w:r>
      <w:bookmarkEnd w:id="96"/>
      <w:bookmarkEnd w:id="97"/>
      <w:bookmarkEnd w:id="98"/>
      <w:bookmarkEnd w:id="99"/>
      <w:bookmarkEnd w:id="100"/>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101" w:name="_Toc589969"/>
      <w:bookmarkStart w:id="102" w:name="_Toc590036"/>
      <w:bookmarkStart w:id="103" w:name="_Toc6212728"/>
      <w:bookmarkStart w:id="104" w:name="_Toc199739726"/>
      <w:bookmarkStart w:id="105" w:name="_Toc272058850"/>
      <w:r>
        <w:rPr>
          <w:rStyle w:val="CharSectno"/>
        </w:rPr>
        <w:t>11</w:t>
      </w:r>
      <w:r>
        <w:rPr>
          <w:snapToGrid w:val="0"/>
        </w:rPr>
        <w:t>.</w:t>
      </w:r>
      <w:r>
        <w:rPr>
          <w:snapToGrid w:val="0"/>
        </w:rPr>
        <w:tab/>
        <w:t>Saving of applications</w:t>
      </w:r>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06" w:name="_Toc589970"/>
      <w:bookmarkStart w:id="107" w:name="_Toc590037"/>
      <w:bookmarkStart w:id="108" w:name="_Toc6212729"/>
      <w:bookmarkStart w:id="109" w:name="_Toc199739727"/>
      <w:bookmarkStart w:id="110" w:name="_Toc272058851"/>
      <w:r>
        <w:rPr>
          <w:rStyle w:val="CharSectno"/>
        </w:rPr>
        <w:t>12</w:t>
      </w:r>
      <w:r>
        <w:rPr>
          <w:snapToGrid w:val="0"/>
        </w:rPr>
        <w:t>.</w:t>
      </w:r>
      <w:r>
        <w:rPr>
          <w:snapToGrid w:val="0"/>
        </w:rPr>
        <w:tab/>
        <w:t>Validity of mining lease under Agreement</w:t>
      </w:r>
      <w:bookmarkEnd w:id="106"/>
      <w:bookmarkEnd w:id="107"/>
      <w:bookmarkEnd w:id="108"/>
      <w:bookmarkEnd w:id="109"/>
      <w:bookmarkEnd w:id="110"/>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11" w:name="_Toc589971"/>
      <w:bookmarkStart w:id="112" w:name="_Toc590038"/>
      <w:bookmarkStart w:id="113" w:name="_Toc6212730"/>
      <w:bookmarkStart w:id="114" w:name="_Toc199739728"/>
      <w:bookmarkStart w:id="115" w:name="_Toc272058852"/>
      <w:r>
        <w:rPr>
          <w:rStyle w:val="CharSectno"/>
        </w:rPr>
        <w:t>13</w:t>
      </w:r>
      <w:r>
        <w:rPr>
          <w:snapToGrid w:val="0"/>
        </w:rPr>
        <w:t>.</w:t>
      </w:r>
      <w:r>
        <w:rPr>
          <w:snapToGrid w:val="0"/>
        </w:rPr>
        <w:tab/>
        <w:t>Continuation of mining tenements</w:t>
      </w:r>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16" w:name="_Toc95644814"/>
      <w:bookmarkStart w:id="117" w:name="_Toc96923024"/>
      <w:bookmarkStart w:id="118" w:name="_Toc102725889"/>
      <w:bookmarkStart w:id="119" w:name="_Toc199739645"/>
      <w:bookmarkStart w:id="120" w:name="_Toc199739687"/>
      <w:bookmarkStart w:id="121" w:name="_Toc199739729"/>
      <w:bookmarkStart w:id="122" w:name="_Toc199739771"/>
      <w:bookmarkStart w:id="123" w:name="_Toc199815995"/>
      <w:bookmarkStart w:id="124" w:name="_Toc202772655"/>
      <w:bookmarkStart w:id="125" w:name="_Toc215480688"/>
      <w:bookmarkStart w:id="126" w:name="_Toc268272771"/>
      <w:bookmarkStart w:id="127" w:name="_Toc272058853"/>
      <w:r>
        <w:rPr>
          <w:rStyle w:val="CharPartNo"/>
        </w:rPr>
        <w:t>Part IV</w:t>
      </w:r>
      <w:r>
        <w:rPr>
          <w:rStyle w:val="CharDivNo"/>
        </w:rPr>
        <w:t> </w:t>
      </w:r>
      <w:r>
        <w:t>—</w:t>
      </w:r>
      <w:r>
        <w:rPr>
          <w:rStyle w:val="CharDivText"/>
        </w:rPr>
        <w:t> </w:t>
      </w:r>
      <w:r>
        <w:rPr>
          <w:rStyle w:val="CharPartText"/>
        </w:rPr>
        <w:t>Security of diamond mining and processing areas</w:t>
      </w:r>
      <w:bookmarkEnd w:id="116"/>
      <w:bookmarkEnd w:id="117"/>
      <w:bookmarkEnd w:id="118"/>
      <w:bookmarkEnd w:id="119"/>
      <w:bookmarkEnd w:id="120"/>
      <w:bookmarkEnd w:id="121"/>
      <w:bookmarkEnd w:id="122"/>
      <w:bookmarkEnd w:id="123"/>
      <w:bookmarkEnd w:id="124"/>
      <w:bookmarkEnd w:id="125"/>
      <w:bookmarkEnd w:id="126"/>
      <w:bookmarkEnd w:id="127"/>
      <w:r>
        <w:rPr>
          <w:rStyle w:val="CharPartText"/>
        </w:rPr>
        <w:t xml:space="preserve"> </w:t>
      </w:r>
    </w:p>
    <w:p>
      <w:pPr>
        <w:pStyle w:val="Heading5"/>
        <w:rPr>
          <w:snapToGrid w:val="0"/>
        </w:rPr>
      </w:pPr>
      <w:bookmarkStart w:id="128" w:name="_Toc589972"/>
      <w:bookmarkStart w:id="129" w:name="_Toc590039"/>
      <w:bookmarkStart w:id="130" w:name="_Toc6212731"/>
      <w:bookmarkStart w:id="131" w:name="_Toc199739730"/>
      <w:bookmarkStart w:id="132" w:name="_Toc272058854"/>
      <w:r>
        <w:rPr>
          <w:rStyle w:val="CharSectno"/>
        </w:rPr>
        <w:t>14</w:t>
      </w:r>
      <w:r>
        <w:rPr>
          <w:snapToGrid w:val="0"/>
        </w:rPr>
        <w:t>.</w:t>
      </w:r>
      <w:r>
        <w:rPr>
          <w:snapToGrid w:val="0"/>
        </w:rPr>
        <w:tab/>
        <w:t>Interpretation of this Part</w:t>
      </w:r>
      <w:bookmarkEnd w:id="128"/>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w:t>
      </w:r>
      <w:r>
        <w:rPr>
          <w:i/>
        </w:rPr>
        <w:t xml:space="preserve"> Medical Practitioners Act 2008</w:t>
      </w:r>
      <w:r>
        <w:rPr>
          <w:iCs/>
        </w:rP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 No. 22 of 2008 s. 162.]</w:t>
      </w:r>
    </w:p>
    <w:p>
      <w:pPr>
        <w:pStyle w:val="Heading5"/>
        <w:rPr>
          <w:snapToGrid w:val="0"/>
        </w:rPr>
      </w:pPr>
      <w:bookmarkStart w:id="133" w:name="_Toc589973"/>
      <w:bookmarkStart w:id="134" w:name="_Toc590040"/>
      <w:bookmarkStart w:id="135" w:name="_Toc6212732"/>
      <w:bookmarkStart w:id="136" w:name="_Toc199739731"/>
      <w:bookmarkStart w:id="137" w:name="_Toc272058855"/>
      <w:r>
        <w:rPr>
          <w:rStyle w:val="CharSectno"/>
        </w:rPr>
        <w:t>15</w:t>
      </w:r>
      <w:r>
        <w:rPr>
          <w:snapToGrid w:val="0"/>
        </w:rPr>
        <w:t>.</w:t>
      </w:r>
      <w:r>
        <w:rPr>
          <w:snapToGrid w:val="0"/>
        </w:rPr>
        <w:tab/>
        <w:t>Designated areas</w:t>
      </w:r>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38" w:name="_Toc589974"/>
      <w:bookmarkStart w:id="139" w:name="_Toc590041"/>
      <w:bookmarkStart w:id="140" w:name="_Toc6212733"/>
      <w:bookmarkStart w:id="141" w:name="_Toc199739732"/>
      <w:bookmarkStart w:id="142" w:name="_Toc272058856"/>
      <w:r>
        <w:rPr>
          <w:rStyle w:val="CharSectno"/>
        </w:rPr>
        <w:t>16</w:t>
      </w:r>
      <w:r>
        <w:rPr>
          <w:snapToGrid w:val="0"/>
        </w:rPr>
        <w:t>.</w:t>
      </w:r>
      <w:r>
        <w:rPr>
          <w:snapToGrid w:val="0"/>
        </w:rPr>
        <w:tab/>
        <w:t>Unlawful possession of diamonds</w:t>
      </w:r>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43" w:name="_Toc589975"/>
      <w:bookmarkStart w:id="144" w:name="_Toc590042"/>
      <w:bookmarkStart w:id="145" w:name="_Toc6212734"/>
      <w:bookmarkStart w:id="146" w:name="_Toc199739733"/>
      <w:bookmarkStart w:id="147" w:name="_Toc272058857"/>
      <w:r>
        <w:rPr>
          <w:rStyle w:val="CharSectno"/>
        </w:rPr>
        <w:t>17</w:t>
      </w:r>
      <w:r>
        <w:rPr>
          <w:snapToGrid w:val="0"/>
        </w:rPr>
        <w:t>.</w:t>
      </w:r>
      <w:r>
        <w:rPr>
          <w:snapToGrid w:val="0"/>
        </w:rPr>
        <w:tab/>
        <w:t>Entry to and egress from designated area</w:t>
      </w:r>
      <w:bookmarkEnd w:id="143"/>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48" w:name="_Toc589976"/>
      <w:bookmarkStart w:id="149" w:name="_Toc590043"/>
      <w:bookmarkStart w:id="150" w:name="_Toc6212735"/>
      <w:bookmarkStart w:id="151" w:name="_Toc199739734"/>
      <w:bookmarkStart w:id="152" w:name="_Toc272058858"/>
      <w:r>
        <w:rPr>
          <w:rStyle w:val="CharSectno"/>
        </w:rPr>
        <w:t>18</w:t>
      </w:r>
      <w:r>
        <w:rPr>
          <w:snapToGrid w:val="0"/>
        </w:rPr>
        <w:t>.</w:t>
      </w:r>
      <w:r>
        <w:rPr>
          <w:snapToGrid w:val="0"/>
        </w:rPr>
        <w:tab/>
        <w:t>Security officer may give direction etc. to persons on designated area</w:t>
      </w:r>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53" w:name="_Toc589977"/>
      <w:bookmarkStart w:id="154" w:name="_Toc590044"/>
      <w:bookmarkStart w:id="155" w:name="_Toc6212736"/>
      <w:bookmarkStart w:id="156" w:name="_Toc199739735"/>
      <w:bookmarkStart w:id="157" w:name="_Toc272058859"/>
      <w:r>
        <w:rPr>
          <w:rStyle w:val="CharSectno"/>
        </w:rPr>
        <w:t>19</w:t>
      </w:r>
      <w:r>
        <w:rPr>
          <w:snapToGrid w:val="0"/>
        </w:rPr>
        <w:t>.</w:t>
      </w:r>
      <w:r>
        <w:rPr>
          <w:snapToGrid w:val="0"/>
        </w:rPr>
        <w:tab/>
        <w:t>Removal of persons and things</w:t>
      </w:r>
      <w:bookmarkEnd w:id="153"/>
      <w:bookmarkEnd w:id="154"/>
      <w:bookmarkEnd w:id="155"/>
      <w:bookmarkEnd w:id="156"/>
      <w:bookmarkEnd w:id="157"/>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58" w:name="_Toc589978"/>
      <w:bookmarkStart w:id="159" w:name="_Toc590045"/>
      <w:bookmarkStart w:id="160" w:name="_Toc6212737"/>
      <w:bookmarkStart w:id="161" w:name="_Toc199739736"/>
      <w:bookmarkStart w:id="162" w:name="_Toc272058860"/>
      <w:r>
        <w:rPr>
          <w:rStyle w:val="CharSectno"/>
        </w:rPr>
        <w:t>20</w:t>
      </w:r>
      <w:r>
        <w:rPr>
          <w:snapToGrid w:val="0"/>
        </w:rPr>
        <w:t>.</w:t>
      </w:r>
      <w:r>
        <w:rPr>
          <w:snapToGrid w:val="0"/>
        </w:rPr>
        <w:tab/>
        <w:t>Search of property</w:t>
      </w:r>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63" w:name="_Toc589979"/>
      <w:bookmarkStart w:id="164" w:name="_Toc590046"/>
      <w:bookmarkStart w:id="165" w:name="_Toc6212738"/>
      <w:bookmarkStart w:id="166" w:name="_Toc199739737"/>
      <w:bookmarkStart w:id="167" w:name="_Toc272058861"/>
      <w:r>
        <w:rPr>
          <w:rStyle w:val="CharSectno"/>
        </w:rPr>
        <w:t>21</w:t>
      </w:r>
      <w:r>
        <w:rPr>
          <w:snapToGrid w:val="0"/>
        </w:rPr>
        <w:t>.</w:t>
      </w:r>
      <w:r>
        <w:rPr>
          <w:snapToGrid w:val="0"/>
        </w:rPr>
        <w:tab/>
        <w:t>Detention and search of persons</w:t>
      </w:r>
      <w:bookmarkEnd w:id="163"/>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68" w:name="_Toc589980"/>
      <w:bookmarkStart w:id="169" w:name="_Toc590047"/>
      <w:bookmarkStart w:id="170" w:name="_Toc6212739"/>
      <w:bookmarkStart w:id="171" w:name="_Toc199739738"/>
      <w:bookmarkStart w:id="172" w:name="_Toc272058862"/>
      <w:r>
        <w:rPr>
          <w:rStyle w:val="CharSectno"/>
        </w:rPr>
        <w:t>22</w:t>
      </w:r>
      <w:r>
        <w:rPr>
          <w:snapToGrid w:val="0"/>
        </w:rPr>
        <w:t>.</w:t>
      </w:r>
      <w:r>
        <w:rPr>
          <w:snapToGrid w:val="0"/>
        </w:rPr>
        <w:tab/>
        <w:t>Emergency action exempted</w:t>
      </w:r>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73" w:name="_Toc589981"/>
      <w:bookmarkStart w:id="174" w:name="_Toc590048"/>
      <w:bookmarkStart w:id="175" w:name="_Toc6212740"/>
      <w:bookmarkStart w:id="176" w:name="_Toc199739739"/>
      <w:bookmarkStart w:id="177" w:name="_Toc272058863"/>
      <w:r>
        <w:rPr>
          <w:rStyle w:val="CharSectno"/>
        </w:rPr>
        <w:t>23</w:t>
      </w:r>
      <w:r>
        <w:rPr>
          <w:snapToGrid w:val="0"/>
        </w:rPr>
        <w:t>.</w:t>
      </w:r>
      <w:r>
        <w:rPr>
          <w:snapToGrid w:val="0"/>
        </w:rPr>
        <w:tab/>
        <w:t>Powers of police not affected</w:t>
      </w:r>
      <w:bookmarkEnd w:id="173"/>
      <w:bookmarkEnd w:id="174"/>
      <w:bookmarkEnd w:id="175"/>
      <w:bookmarkEnd w:id="176"/>
      <w:bookmarkEnd w:id="177"/>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178" w:name="_Toc589982"/>
      <w:bookmarkStart w:id="179" w:name="_Toc590049"/>
      <w:bookmarkStart w:id="180" w:name="_Toc6212741"/>
      <w:bookmarkStart w:id="181" w:name="_Toc199739740"/>
      <w:bookmarkStart w:id="182" w:name="_Toc272058864"/>
      <w:r>
        <w:rPr>
          <w:rStyle w:val="CharSectno"/>
        </w:rPr>
        <w:t>24</w:t>
      </w:r>
      <w:r>
        <w:rPr>
          <w:snapToGrid w:val="0"/>
        </w:rPr>
        <w:t>.</w:t>
      </w:r>
      <w:r>
        <w:rPr>
          <w:snapToGrid w:val="0"/>
        </w:rPr>
        <w:tab/>
        <w:t>Evidence</w:t>
      </w:r>
      <w:bookmarkEnd w:id="178"/>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183" w:name="_Toc589983"/>
      <w:bookmarkStart w:id="184" w:name="_Toc590050"/>
      <w:bookmarkStart w:id="185" w:name="_Toc6212742"/>
      <w:bookmarkStart w:id="186" w:name="_Toc199739741"/>
      <w:bookmarkStart w:id="187" w:name="_Toc272058865"/>
      <w:r>
        <w:rPr>
          <w:rStyle w:val="CharSectno"/>
        </w:rPr>
        <w:t>25</w:t>
      </w:r>
      <w:r>
        <w:rPr>
          <w:snapToGrid w:val="0"/>
        </w:rPr>
        <w:t>.</w:t>
      </w:r>
      <w:r>
        <w:rPr>
          <w:snapToGrid w:val="0"/>
        </w:rPr>
        <w:tab/>
        <w:t>Restitution of diamonds</w:t>
      </w:r>
      <w:bookmarkEnd w:id="183"/>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188" w:name="_Toc589984"/>
      <w:bookmarkStart w:id="189" w:name="_Toc590051"/>
      <w:bookmarkStart w:id="190" w:name="_Toc6212743"/>
      <w:bookmarkStart w:id="191" w:name="_Toc199739742"/>
      <w:bookmarkStart w:id="192" w:name="_Toc272058866"/>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188"/>
      <w:bookmarkEnd w:id="189"/>
      <w:bookmarkEnd w:id="190"/>
      <w:bookmarkEnd w:id="191"/>
      <w:bookmarkEnd w:id="192"/>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193" w:name="_Toc589985"/>
      <w:bookmarkStart w:id="194" w:name="_Toc590052"/>
      <w:bookmarkStart w:id="195" w:name="_Toc6212744"/>
      <w:bookmarkStart w:id="196" w:name="_Toc199739743"/>
      <w:bookmarkStart w:id="197" w:name="_Toc272058867"/>
      <w:r>
        <w:rPr>
          <w:rStyle w:val="CharSectno"/>
        </w:rPr>
        <w:t>27</w:t>
      </w:r>
      <w:r>
        <w:rPr>
          <w:snapToGrid w:val="0"/>
        </w:rPr>
        <w:t>.</w:t>
      </w:r>
      <w:r>
        <w:rPr>
          <w:snapToGrid w:val="0"/>
        </w:rPr>
        <w:tab/>
        <w:t>Offences under other Acts not excluded</w:t>
      </w:r>
      <w:bookmarkEnd w:id="193"/>
      <w:bookmarkEnd w:id="194"/>
      <w:bookmarkEnd w:id="195"/>
      <w:bookmarkEnd w:id="196"/>
      <w:bookmarkEnd w:id="197"/>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198" w:name="_Toc589986"/>
      <w:bookmarkStart w:id="199" w:name="_Toc590053"/>
      <w:bookmarkStart w:id="200" w:name="_Toc6212745"/>
      <w:bookmarkStart w:id="201" w:name="_Toc199739744"/>
      <w:bookmarkStart w:id="202" w:name="_Toc272058868"/>
      <w:r>
        <w:rPr>
          <w:rStyle w:val="CharSectno"/>
        </w:rPr>
        <w:t>28.</w:t>
      </w:r>
      <w:r>
        <w:rPr>
          <w:rStyle w:val="CharSectno"/>
        </w:rPr>
        <w:tab/>
        <w:t>Exercise of powers lawful</w:t>
      </w:r>
      <w:bookmarkEnd w:id="198"/>
      <w:bookmarkEnd w:id="199"/>
      <w:bookmarkEnd w:id="200"/>
      <w:bookmarkEnd w:id="201"/>
      <w:bookmarkEnd w:id="202"/>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203" w:name="_Toc589987"/>
      <w:bookmarkStart w:id="204" w:name="_Toc590054"/>
      <w:bookmarkStart w:id="205" w:name="_Toc6212746"/>
      <w:bookmarkStart w:id="206" w:name="_Toc199739745"/>
      <w:bookmarkStart w:id="207" w:name="_Toc272058869"/>
      <w:r>
        <w:rPr>
          <w:rStyle w:val="CharSectno"/>
        </w:rPr>
        <w:t>29</w:t>
      </w:r>
      <w:r>
        <w:rPr>
          <w:snapToGrid w:val="0"/>
        </w:rPr>
        <w:t>.</w:t>
      </w:r>
      <w:r>
        <w:rPr>
          <w:snapToGrid w:val="0"/>
        </w:rPr>
        <w:tab/>
        <w:t>Regulations</w:t>
      </w:r>
      <w:bookmarkEnd w:id="203"/>
      <w:bookmarkEnd w:id="204"/>
      <w:bookmarkEnd w:id="205"/>
      <w:bookmarkEnd w:id="206"/>
      <w:bookmarkEnd w:id="207"/>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08" w:name="_Toc199739746"/>
      <w:bookmarkStart w:id="209" w:name="_Toc199739788"/>
      <w:bookmarkStart w:id="210" w:name="_Toc199816012"/>
      <w:bookmarkStart w:id="211" w:name="_Toc202772672"/>
      <w:bookmarkStart w:id="212" w:name="_Toc215480705"/>
      <w:bookmarkStart w:id="213" w:name="_Toc268272788"/>
      <w:bookmarkStart w:id="214" w:name="_Toc272058870"/>
      <w:r>
        <w:rPr>
          <w:rStyle w:val="CharSchNo"/>
        </w:rPr>
        <w:t>Schedule 1</w:t>
      </w:r>
      <w:bookmarkEnd w:id="208"/>
      <w:bookmarkEnd w:id="209"/>
      <w:bookmarkEnd w:id="210"/>
      <w:bookmarkEnd w:id="211"/>
      <w:bookmarkEnd w:id="212"/>
      <w:r>
        <w:t> — </w:t>
      </w:r>
      <w:r>
        <w:rPr>
          <w:rStyle w:val="CharSchText"/>
        </w:rPr>
        <w:t>Mineral claims</w:t>
      </w:r>
      <w:bookmarkEnd w:id="213"/>
      <w:bookmarkEnd w:id="214"/>
    </w:p>
    <w:p>
      <w:pPr>
        <w:pStyle w:val="yShoulderClause"/>
        <w:rPr>
          <w:snapToGrid w:val="0"/>
        </w:rPr>
      </w:pPr>
      <w:r>
        <w:rPr>
          <w:snapToGrid w:val="0"/>
        </w:rPr>
        <w:t>[s. 7]</w:t>
      </w:r>
    </w:p>
    <w:p>
      <w:pPr>
        <w:pStyle w:val="yFootnoteheading"/>
      </w:pPr>
      <w:r>
        <w:tab/>
        <w:t>[Heading amended by No. 19 of 2010 s. 4.]</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15" w:name="_Toc199739747"/>
      <w:bookmarkStart w:id="216" w:name="_Toc199739789"/>
      <w:bookmarkStart w:id="217" w:name="_Toc199816013"/>
      <w:bookmarkStart w:id="218" w:name="_Toc202772673"/>
      <w:bookmarkStart w:id="219" w:name="_Toc215480706"/>
      <w:bookmarkStart w:id="220" w:name="_Toc268272789"/>
      <w:bookmarkStart w:id="221" w:name="_Toc272058871"/>
      <w:r>
        <w:rPr>
          <w:rStyle w:val="CharSchNo"/>
        </w:rPr>
        <w:t>Schedule 2</w:t>
      </w:r>
      <w:bookmarkEnd w:id="215"/>
      <w:bookmarkEnd w:id="216"/>
      <w:bookmarkEnd w:id="217"/>
      <w:bookmarkEnd w:id="218"/>
      <w:bookmarkEnd w:id="219"/>
      <w:r>
        <w:t> — </w:t>
      </w:r>
      <w:r>
        <w:rPr>
          <w:rStyle w:val="CharSchText"/>
        </w:rPr>
        <w:t>Diamond (Argyle Diamond Mines Joint Venture) Agreement</w:t>
      </w:r>
      <w:bookmarkEnd w:id="220"/>
      <w:bookmarkEnd w:id="221"/>
    </w:p>
    <w:p>
      <w:pPr>
        <w:pStyle w:val="yShoulderClause"/>
      </w:pPr>
      <w:r>
        <w:t>[s. 2]</w:t>
      </w:r>
    </w:p>
    <w:p>
      <w:pPr>
        <w:pStyle w:val="yFootnoteheading"/>
      </w:pPr>
      <w:r>
        <w:tab/>
        <w:t>[Heading amended by No. 19 of 2010 s. 4.]</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object w:dxaOrig="31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1pt" o:ole="" fillcolor="window">
            <v:imagedata r:id="rId26" o:title=""/>
          </v:shape>
          <o:OLEObject Type="Embed" ProgID="Equation.3" ShapeID="_x0000_i1025" DrawAspect="Content" ObjectID="_1643239719" r:id="rId27"/>
        </w:obje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22" w:name="_Toc199739748"/>
      <w:bookmarkStart w:id="223" w:name="_Toc199739790"/>
      <w:bookmarkStart w:id="224" w:name="_Toc199816014"/>
      <w:bookmarkStart w:id="225" w:name="_Toc202772674"/>
      <w:bookmarkStart w:id="226" w:name="_Toc215480707"/>
      <w:bookmarkStart w:id="227" w:name="_Toc268272790"/>
      <w:bookmarkStart w:id="228" w:name="_Toc272058872"/>
      <w:r>
        <w:rPr>
          <w:rStyle w:val="CharSchNo"/>
        </w:rPr>
        <w:t>Schedule 3</w:t>
      </w:r>
      <w:bookmarkEnd w:id="222"/>
      <w:bookmarkEnd w:id="223"/>
      <w:bookmarkEnd w:id="224"/>
      <w:bookmarkEnd w:id="225"/>
      <w:bookmarkEnd w:id="226"/>
      <w:r>
        <w:t> — </w:t>
      </w:r>
      <w:r>
        <w:rPr>
          <w:rStyle w:val="CharSchText"/>
        </w:rPr>
        <w:t>First supplementary agreement</w:t>
      </w:r>
      <w:bookmarkEnd w:id="227"/>
      <w:bookmarkEnd w:id="228"/>
    </w:p>
    <w:p>
      <w:pPr>
        <w:pStyle w:val="yShoulderClause"/>
      </w:pPr>
      <w:r>
        <w:t>[s. 2]</w:t>
      </w:r>
    </w:p>
    <w:p>
      <w:pPr>
        <w:pStyle w:val="yFootnoteheading"/>
      </w:pPr>
      <w:r>
        <w:tab/>
        <w:t>[Heading amended by No. 19 of 2010 s. 4.]</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0015" cy="1184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 cy="118491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0015" cy="14255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 cy="1425575"/>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0015" cy="13893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 cy="138938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0015" cy="12515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 cy="125158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0015" cy="1221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 cy="122110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0015" cy="1221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 cy="122110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0015" cy="1551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015" cy="155194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6210" cy="12630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10" cy="1263015"/>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29" w:name="_Toc199739749"/>
      <w:bookmarkStart w:id="230" w:name="_Toc199739791"/>
      <w:bookmarkStart w:id="231" w:name="_Toc199816015"/>
      <w:bookmarkStart w:id="232" w:name="_Toc202772675"/>
      <w:bookmarkStart w:id="233" w:name="_Toc215480708"/>
      <w:bookmarkStart w:id="234" w:name="_Toc268272791"/>
      <w:bookmarkStart w:id="235" w:name="_Toc272058873"/>
      <w:r>
        <w:rPr>
          <w:rStyle w:val="CharSchNo"/>
        </w:rPr>
        <w:t>Schedule 4</w:t>
      </w:r>
      <w:bookmarkEnd w:id="229"/>
      <w:bookmarkEnd w:id="230"/>
      <w:bookmarkEnd w:id="231"/>
      <w:bookmarkEnd w:id="232"/>
      <w:bookmarkEnd w:id="233"/>
      <w:r>
        <w:t> — </w:t>
      </w:r>
      <w:r>
        <w:rPr>
          <w:rStyle w:val="CharSchText"/>
        </w:rPr>
        <w:t>Second supplementary agreement</w:t>
      </w:r>
      <w:bookmarkEnd w:id="234"/>
      <w:bookmarkEnd w:id="235"/>
    </w:p>
    <w:p>
      <w:pPr>
        <w:pStyle w:val="yShoulderClause"/>
      </w:pPr>
      <w:r>
        <w:t>[s. 2]</w:t>
      </w:r>
    </w:p>
    <w:p>
      <w:pPr>
        <w:pStyle w:val="yFootnoteheading"/>
      </w:pPr>
      <w:r>
        <w:tab/>
        <w:t>[Heading amended by No. 19 of 2010 s. 4.]</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36" w:name="_Toc199052021"/>
      <w:bookmarkStart w:id="237" w:name="_Toc199052065"/>
      <w:bookmarkStart w:id="238" w:name="_Toc199052323"/>
      <w:bookmarkStart w:id="239" w:name="_Toc199061964"/>
      <w:bookmarkStart w:id="240" w:name="_Toc199136170"/>
      <w:bookmarkStart w:id="241" w:name="_Toc199136564"/>
      <w:bookmarkStart w:id="242" w:name="_Toc199138512"/>
      <w:bookmarkStart w:id="243" w:name="_Toc199138726"/>
      <w:bookmarkStart w:id="244" w:name="_Toc199141131"/>
      <w:bookmarkStart w:id="245" w:name="_Toc199296495"/>
      <w:bookmarkStart w:id="246" w:name="_Toc199297748"/>
      <w:bookmarkStart w:id="247" w:name="_Toc199318817"/>
      <w:bookmarkStart w:id="248" w:name="_Toc199322479"/>
      <w:bookmarkStart w:id="249" w:name="_Toc199322524"/>
      <w:bookmarkStart w:id="250" w:name="_Toc199322568"/>
      <w:bookmarkStart w:id="251" w:name="_Toc199322708"/>
      <w:bookmarkStart w:id="252" w:name="_Toc199323376"/>
      <w:bookmarkStart w:id="253" w:name="_Toc199323572"/>
      <w:bookmarkStart w:id="254" w:name="_Toc199323766"/>
      <w:bookmarkStart w:id="255" w:name="_Toc199323813"/>
      <w:bookmarkStart w:id="256" w:name="_Toc199324007"/>
      <w:bookmarkStart w:id="257" w:name="_Toc199324155"/>
      <w:bookmarkStart w:id="258" w:name="_Toc199324276"/>
      <w:bookmarkStart w:id="259" w:name="_Toc199325478"/>
      <w:bookmarkStart w:id="260" w:name="_Toc199325725"/>
      <w:bookmarkStart w:id="261" w:name="_Toc199554665"/>
      <w:bookmarkStart w:id="262" w:name="_Toc199554842"/>
      <w:bookmarkStart w:id="263" w:name="_Toc199555920"/>
      <w:bookmarkStart w:id="264" w:name="_Toc199556367"/>
      <w:bookmarkStart w:id="265" w:name="_Toc199556468"/>
      <w:bookmarkStart w:id="266" w:name="_Toc199556846"/>
      <w:bookmarkStart w:id="267" w:name="_Toc199556943"/>
      <w:bookmarkStart w:id="268" w:name="_Toc199557275"/>
      <w:bookmarkStart w:id="269" w:name="_Toc199557492"/>
      <w:bookmarkStart w:id="270" w:name="_Toc199557528"/>
      <w:bookmarkStart w:id="271" w:name="_Toc199557579"/>
      <w:bookmarkStart w:id="272" w:name="_Toc199557800"/>
      <w:bookmarkStart w:id="273" w:name="_Toc199558107"/>
      <w:bookmarkStart w:id="274" w:name="_Toc199558208"/>
      <w:bookmarkStart w:id="275" w:name="_Toc199558297"/>
      <w:bookmarkStart w:id="276" w:name="_Toc199558393"/>
      <w:bookmarkStart w:id="277" w:name="_Toc199558508"/>
      <w:bookmarkStart w:id="278" w:name="_Toc199558723"/>
      <w:bookmarkStart w:id="279" w:name="_Toc199560638"/>
      <w:bookmarkStart w:id="280" w:name="_Toc199560858"/>
      <w:bookmarkStart w:id="281" w:name="_Toc199561071"/>
      <w:bookmarkStart w:id="282" w:name="_Toc199568201"/>
      <w:bookmarkStart w:id="283" w:name="_Toc199568349"/>
      <w:bookmarkStart w:id="284" w:name="_Toc199571982"/>
      <w:bookmarkStart w:id="285" w:name="_Toc199572555"/>
      <w:bookmarkStart w:id="286" w:name="_Toc199573125"/>
      <w:bookmarkStart w:id="287" w:name="_Toc199573466"/>
      <w:bookmarkStart w:id="288" w:name="_Toc199573566"/>
      <w:bookmarkStart w:id="289" w:name="_Toc199573806"/>
      <w:bookmarkStart w:id="290" w:name="_Toc199573939"/>
      <w:bookmarkStart w:id="291" w:name="_Toc199574098"/>
      <w:bookmarkStart w:id="292" w:name="_Toc199574117"/>
      <w:bookmarkStart w:id="293" w:name="_Toc199574293"/>
      <w:bookmarkStart w:id="294" w:name="_Toc199574461"/>
      <w:bookmarkStart w:id="295" w:name="_Toc199574818"/>
      <w:bookmarkStart w:id="296" w:name="_Toc199574857"/>
      <w:bookmarkStart w:id="297" w:name="_Toc199575397"/>
      <w:bookmarkStart w:id="298" w:name="_Toc199576423"/>
      <w:bookmarkStart w:id="299" w:name="_Toc199580813"/>
      <w:bookmarkStart w:id="300" w:name="_Toc199654183"/>
      <w:bookmarkStart w:id="301" w:name="_Toc199654828"/>
      <w:bookmarkStart w:id="302" w:name="_Toc199655060"/>
      <w:bookmarkStart w:id="303" w:name="_Toc199656863"/>
      <w:bookmarkStart w:id="304" w:name="_Toc199726452"/>
      <w:bookmarkStart w:id="305" w:name="_Toc199726470"/>
      <w:bookmarkStart w:id="306" w:name="_Toc199731330"/>
      <w:bookmarkStart w:id="307" w:name="_Toc199731751"/>
      <w:bookmarkStart w:id="308" w:name="_Toc199829274"/>
      <w:bookmarkStart w:id="309" w:name="_Toc202758765"/>
      <w:bookmarkStart w:id="310" w:name="_Toc202772676"/>
      <w:bookmarkStart w:id="311" w:name="_Toc215480709"/>
      <w:bookmarkStart w:id="312" w:name="_Toc268272792"/>
      <w:bookmarkStart w:id="313" w:name="_Toc272058874"/>
      <w:r>
        <w:rPr>
          <w:rStyle w:val="CharSchNo"/>
        </w:rPr>
        <w:t>Schedule 5</w:t>
      </w:r>
      <w:r>
        <w:rPr>
          <w:rStyle w:val="CharSDivNo"/>
        </w:rPr>
        <w:t> </w:t>
      </w:r>
      <w:r>
        <w:t>—</w:t>
      </w:r>
      <w:r>
        <w:rPr>
          <w:rStyle w:val="CharSDivText"/>
        </w:rPr>
        <w:t> </w:t>
      </w:r>
      <w:r>
        <w:rPr>
          <w:rStyle w:val="CharSchText"/>
        </w:rPr>
        <w:t>Third supplementary agreement</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314" w:name="_Toc198703809"/>
      <w:r>
        <w:rPr>
          <w:b/>
          <w:bCs/>
        </w:rPr>
        <w:t>THE HONOURABLE ALAN JOHN CARPENTER</w:t>
      </w:r>
      <w:bookmarkEnd w:id="314"/>
    </w:p>
    <w:p>
      <w:pPr>
        <w:pStyle w:val="yMiscellaneousHeading"/>
        <w:keepNext w:val="0"/>
        <w:rPr>
          <w:b/>
          <w:bCs/>
        </w:rPr>
      </w:pPr>
      <w:bookmarkStart w:id="315" w:name="_Toc198703810"/>
      <w:r>
        <w:rPr>
          <w:b/>
          <w:bCs/>
        </w:rPr>
        <w:t>PREMIER OF THE STATE OF WESTERN AUSTRALIA</w:t>
      </w:r>
      <w:bookmarkEnd w:id="315"/>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2180" cy="174625"/>
            <wp:effectExtent l="0" t="0" r="127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2180" cy="174625"/>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316" w:name="_Toc198703811"/>
      <w:r>
        <w:rPr>
          <w:b/>
          <w:bCs/>
        </w:rPr>
        <w:t>AND</w:t>
      </w:r>
      <w:bookmarkEnd w:id="316"/>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317" w:name="_Toc198703812"/>
      <w:r>
        <w:rPr>
          <w:b/>
          <w:bCs/>
        </w:rPr>
        <w:t>AND</w:t>
      </w:r>
      <w:bookmarkEnd w:id="317"/>
    </w:p>
    <w:p>
      <w:pPr>
        <w:pStyle w:val="yMiscellaneousBody"/>
        <w:rPr>
          <w:b/>
          <w:bCs/>
        </w:rPr>
      </w:pPr>
      <w:bookmarkStart w:id="318"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318"/>
    </w:p>
    <w:p>
      <w:pPr>
        <w:pStyle w:val="yMiscellaneousBody"/>
        <w:rPr>
          <w:b/>
          <w:bCs/>
        </w:rPr>
      </w:pPr>
      <w:bookmarkStart w:id="319" w:name="_Toc198703814"/>
      <w:r>
        <w:rPr>
          <w:b/>
          <w:bCs/>
        </w:rPr>
        <w:t>RECITALS</w:t>
      </w:r>
      <w:bookmarkEnd w:id="319"/>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320"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320"/>
    </w:p>
    <w:p>
      <w:pPr>
        <w:pStyle w:val="yMiscellaneousBody"/>
        <w:tabs>
          <w:tab w:val="left" w:pos="3360"/>
          <w:tab w:val="left" w:pos="3960"/>
        </w:tabs>
        <w:spacing w:before="0"/>
      </w:pPr>
      <w:bookmarkStart w:id="321" w:name="_Toc198703816"/>
      <w:r>
        <w:rPr>
          <w:b/>
          <w:bCs/>
        </w:rPr>
        <w:t>ALAN JOHN CARPENTER</w:t>
      </w:r>
      <w:r>
        <w:tab/>
        <w:t>)</w:t>
      </w:r>
      <w:bookmarkEnd w:id="321"/>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322" w:name="_Toc95644835"/>
      <w:bookmarkStart w:id="323" w:name="_Toc96923045"/>
      <w:bookmarkStart w:id="324" w:name="_Toc102725910"/>
      <w:bookmarkStart w:id="325" w:name="_Toc199739666"/>
      <w:bookmarkStart w:id="326" w:name="_Toc199739708"/>
      <w:bookmarkStart w:id="327" w:name="_Toc199739750"/>
      <w:bookmarkStart w:id="328" w:name="_Toc199739792"/>
      <w:bookmarkStart w:id="329" w:name="_Toc199816016"/>
      <w:bookmarkStart w:id="330" w:name="_Toc202772677"/>
      <w:bookmarkStart w:id="331" w:name="_Toc215480710"/>
      <w:bookmarkStart w:id="332" w:name="_Toc268272793"/>
      <w:bookmarkStart w:id="333" w:name="_Toc272058875"/>
      <w:r>
        <w:t>Notes</w:t>
      </w:r>
      <w:bookmarkEnd w:id="322"/>
      <w:bookmarkEnd w:id="323"/>
      <w:bookmarkEnd w:id="324"/>
      <w:bookmarkEnd w:id="325"/>
      <w:bookmarkEnd w:id="326"/>
      <w:bookmarkEnd w:id="327"/>
      <w:bookmarkEnd w:id="328"/>
      <w:bookmarkEnd w:id="329"/>
      <w:bookmarkEnd w:id="330"/>
      <w:bookmarkEnd w:id="331"/>
      <w:bookmarkEnd w:id="332"/>
      <w:bookmarkEnd w:id="333"/>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34" w:name="_Toc272058876"/>
      <w:r>
        <w:rPr>
          <w:snapToGrid w:val="0"/>
        </w:rPr>
        <w:t>Compilation table</w:t>
      </w:r>
      <w:bookmarkEnd w:id="334"/>
    </w:p>
    <w:tbl>
      <w:tblPr>
        <w:tblW w:w="7116" w:type="dxa"/>
        <w:tblInd w:w="28" w:type="dxa"/>
        <w:tblLayout w:type="fixed"/>
        <w:tblCellMar>
          <w:left w:w="56" w:type="dxa"/>
          <w:right w:w="56" w:type="dxa"/>
        </w:tblCellMar>
        <w:tblLook w:val="0000" w:firstRow="0" w:lastRow="0" w:firstColumn="0" w:lastColumn="0" w:noHBand="0" w:noVBand="0"/>
      </w:tblPr>
      <w:tblGrid>
        <w:gridCol w:w="2273"/>
        <w:gridCol w:w="1138"/>
        <w:gridCol w:w="1135"/>
        <w:gridCol w:w="2562"/>
        <w:gridCol w:w="8"/>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8"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70"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8" w:type="dxa"/>
            <w:tcBorders>
              <w:top w:val="single" w:sz="8" w:space="0" w:color="auto"/>
            </w:tcBorders>
          </w:tcPr>
          <w:p>
            <w:pPr>
              <w:pStyle w:val="nTable"/>
              <w:spacing w:after="40"/>
              <w:rPr>
                <w:sz w:val="19"/>
              </w:rPr>
            </w:pPr>
            <w:r>
              <w:rPr>
                <w:sz w:val="19"/>
              </w:rPr>
              <w:t>108 of 1981</w:t>
            </w:r>
          </w:p>
        </w:tc>
        <w:tc>
          <w:tcPr>
            <w:tcW w:w="1135" w:type="dxa"/>
            <w:tcBorders>
              <w:top w:val="single" w:sz="8" w:space="0" w:color="auto"/>
            </w:tcBorders>
          </w:tcPr>
          <w:p>
            <w:pPr>
              <w:pStyle w:val="nTable"/>
              <w:spacing w:after="40"/>
              <w:rPr>
                <w:sz w:val="19"/>
              </w:rPr>
            </w:pPr>
            <w:r>
              <w:rPr>
                <w:sz w:val="19"/>
              </w:rPr>
              <w:t>4 Dec 1981</w:t>
            </w:r>
          </w:p>
        </w:tc>
        <w:tc>
          <w:tcPr>
            <w:tcW w:w="2570" w:type="dxa"/>
            <w:gridSpan w:val="2"/>
            <w:tcBorders>
              <w:top w:val="single" w:sz="8" w:space="0" w:color="auto"/>
            </w:tcBorders>
          </w:tcPr>
          <w:p>
            <w:pPr>
              <w:pStyle w:val="nTable"/>
              <w:spacing w:after="40"/>
              <w:rPr>
                <w:sz w:val="19"/>
              </w:rPr>
            </w:pPr>
            <w:r>
              <w:rPr>
                <w:sz w:val="19"/>
              </w:rPr>
              <w:t>4 Dec 1981</w:t>
            </w:r>
          </w:p>
        </w:tc>
      </w:tr>
      <w:tr>
        <w:trPr>
          <w:cantSplit/>
        </w:trPr>
        <w:tc>
          <w:tcPr>
            <w:tcW w:w="2273" w:type="dxa"/>
          </w:tcPr>
          <w:p>
            <w:pPr>
              <w:pStyle w:val="nTable"/>
              <w:spacing w:after="40"/>
              <w:ind w:right="113"/>
              <w:rPr>
                <w:i/>
                <w:sz w:val="19"/>
              </w:rPr>
            </w:pPr>
            <w:r>
              <w:rPr>
                <w:i/>
                <w:sz w:val="19"/>
              </w:rPr>
              <w:t>Diamond (Ashton Joint Venture) Agreement Amendment Act 1983</w:t>
            </w:r>
          </w:p>
        </w:tc>
        <w:tc>
          <w:tcPr>
            <w:tcW w:w="1138" w:type="dxa"/>
          </w:tcPr>
          <w:p>
            <w:pPr>
              <w:pStyle w:val="nTable"/>
              <w:spacing w:after="40"/>
              <w:rPr>
                <w:sz w:val="19"/>
              </w:rPr>
            </w:pPr>
            <w:r>
              <w:rPr>
                <w:sz w:val="19"/>
              </w:rPr>
              <w:t>12 of 1983</w:t>
            </w:r>
          </w:p>
        </w:tc>
        <w:tc>
          <w:tcPr>
            <w:tcW w:w="1135" w:type="dxa"/>
          </w:tcPr>
          <w:p>
            <w:pPr>
              <w:pStyle w:val="nTable"/>
              <w:spacing w:after="40"/>
              <w:rPr>
                <w:sz w:val="19"/>
              </w:rPr>
            </w:pPr>
            <w:r>
              <w:rPr>
                <w:sz w:val="19"/>
              </w:rPr>
              <w:t>31 Oct 1983</w:t>
            </w:r>
          </w:p>
        </w:tc>
        <w:tc>
          <w:tcPr>
            <w:tcW w:w="2570" w:type="dxa"/>
            <w:gridSpan w:val="2"/>
          </w:tcPr>
          <w:p>
            <w:pPr>
              <w:pStyle w:val="nTable"/>
              <w:spacing w:after="40"/>
              <w:rPr>
                <w:sz w:val="19"/>
              </w:rPr>
            </w:pPr>
            <w:r>
              <w:rPr>
                <w:sz w:val="19"/>
              </w:rPr>
              <w:t>31 Oct 1983</w:t>
            </w:r>
          </w:p>
        </w:tc>
      </w:tr>
      <w:tr>
        <w:trPr>
          <w:cantSplit/>
        </w:trPr>
        <w:tc>
          <w:tcPr>
            <w:tcW w:w="2273" w:type="dxa"/>
          </w:tcPr>
          <w:p>
            <w:pPr>
              <w:pStyle w:val="nTable"/>
              <w:spacing w:after="40"/>
              <w:ind w:right="113"/>
              <w:rPr>
                <w:sz w:val="19"/>
              </w:rPr>
            </w:pPr>
            <w:r>
              <w:rPr>
                <w:i/>
                <w:sz w:val="19"/>
              </w:rPr>
              <w:t>Sentencing (Consequential Provisions) Act 1995</w:t>
            </w:r>
            <w:r>
              <w:rPr>
                <w:sz w:val="19"/>
              </w:rPr>
              <w:t xml:space="preserve"> Pt. 24</w:t>
            </w:r>
          </w:p>
        </w:tc>
        <w:tc>
          <w:tcPr>
            <w:tcW w:w="1138"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70"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73" w:type="dxa"/>
          </w:tcPr>
          <w:p>
            <w:pPr>
              <w:pStyle w:val="nTable"/>
              <w:spacing w:after="40"/>
              <w:ind w:right="113"/>
              <w:rPr>
                <w:sz w:val="19"/>
              </w:rPr>
            </w:pPr>
            <w:r>
              <w:rPr>
                <w:i/>
                <w:sz w:val="19"/>
              </w:rPr>
              <w:t>Security and Related Activities (Control) Act 1996</w:t>
            </w:r>
            <w:r>
              <w:rPr>
                <w:sz w:val="19"/>
              </w:rPr>
              <w:t xml:space="preserve"> s. 96</w:t>
            </w:r>
          </w:p>
        </w:tc>
        <w:tc>
          <w:tcPr>
            <w:tcW w:w="1138" w:type="dxa"/>
          </w:tcPr>
          <w:p>
            <w:pPr>
              <w:pStyle w:val="nTable"/>
              <w:spacing w:after="40"/>
              <w:rPr>
                <w:sz w:val="19"/>
              </w:rPr>
            </w:pPr>
            <w:r>
              <w:rPr>
                <w:sz w:val="19"/>
              </w:rPr>
              <w:t>27 of 1996</w:t>
            </w:r>
          </w:p>
        </w:tc>
        <w:tc>
          <w:tcPr>
            <w:tcW w:w="1135" w:type="dxa"/>
          </w:tcPr>
          <w:p>
            <w:pPr>
              <w:pStyle w:val="nTable"/>
              <w:spacing w:after="40"/>
              <w:rPr>
                <w:sz w:val="19"/>
              </w:rPr>
            </w:pPr>
            <w:r>
              <w:rPr>
                <w:sz w:val="19"/>
              </w:rPr>
              <w:t>22 Jul 1996</w:t>
            </w:r>
          </w:p>
        </w:tc>
        <w:tc>
          <w:tcPr>
            <w:tcW w:w="2570" w:type="dxa"/>
            <w:gridSpan w:val="2"/>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73" w:type="dxa"/>
          </w:tcPr>
          <w:p>
            <w:pPr>
              <w:pStyle w:val="nTable"/>
              <w:spacing w:after="40"/>
              <w:ind w:right="113"/>
              <w:rPr>
                <w:i/>
                <w:sz w:val="19"/>
              </w:rPr>
            </w:pPr>
            <w:r>
              <w:rPr>
                <w:i/>
                <w:sz w:val="19"/>
              </w:rPr>
              <w:t>Diamond (Argyle Diamond Mines Joint Venture) Agreement Amendment Act 2001</w:t>
            </w:r>
          </w:p>
        </w:tc>
        <w:tc>
          <w:tcPr>
            <w:tcW w:w="1138" w:type="dxa"/>
          </w:tcPr>
          <w:p>
            <w:pPr>
              <w:pStyle w:val="nTable"/>
              <w:spacing w:after="40"/>
              <w:rPr>
                <w:sz w:val="19"/>
              </w:rPr>
            </w:pPr>
            <w:r>
              <w:rPr>
                <w:sz w:val="19"/>
              </w:rPr>
              <w:t>39 of 2001</w:t>
            </w:r>
          </w:p>
        </w:tc>
        <w:tc>
          <w:tcPr>
            <w:tcW w:w="1135" w:type="dxa"/>
          </w:tcPr>
          <w:p>
            <w:pPr>
              <w:pStyle w:val="nTable"/>
              <w:spacing w:after="40"/>
              <w:rPr>
                <w:sz w:val="19"/>
              </w:rPr>
            </w:pPr>
            <w:r>
              <w:rPr>
                <w:sz w:val="19"/>
              </w:rPr>
              <w:t>7 Jan 2002</w:t>
            </w:r>
          </w:p>
        </w:tc>
        <w:tc>
          <w:tcPr>
            <w:tcW w:w="2570" w:type="dxa"/>
            <w:gridSpan w:val="2"/>
          </w:tcPr>
          <w:p>
            <w:pPr>
              <w:pStyle w:val="nTable"/>
              <w:spacing w:after="40"/>
              <w:rPr>
                <w:sz w:val="19"/>
              </w:rPr>
            </w:pPr>
            <w:r>
              <w:rPr>
                <w:sz w:val="19"/>
              </w:rPr>
              <w:t>4 Feb 2002 (see s. 2)</w:t>
            </w:r>
          </w:p>
        </w:tc>
      </w:tr>
      <w:tr>
        <w:trPr>
          <w:cantSplit/>
        </w:trPr>
        <w:tc>
          <w:tcPr>
            <w:tcW w:w="7116" w:type="dxa"/>
            <w:gridSpan w:val="5"/>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73"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8"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70" w:type="dxa"/>
            <w:gridSpan w:val="2"/>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c>
          <w:tcPr>
            <w:tcW w:w="2273"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8" w:type="dxa"/>
            <w:tcBorders>
              <w:top w:val="nil"/>
              <w:bottom w:val="nil"/>
            </w:tcBorders>
          </w:tcPr>
          <w:p>
            <w:pPr>
              <w:pStyle w:val="nTable"/>
              <w:spacing w:after="40"/>
              <w:rPr>
                <w:sz w:val="19"/>
              </w:rPr>
            </w:pPr>
            <w:r>
              <w:rPr>
                <w:sz w:val="19"/>
              </w:rPr>
              <w:t>22 of 2008</w:t>
            </w:r>
          </w:p>
        </w:tc>
        <w:tc>
          <w:tcPr>
            <w:tcW w:w="1135" w:type="dxa"/>
            <w:tcBorders>
              <w:top w:val="nil"/>
              <w:bottom w:val="nil"/>
            </w:tcBorders>
          </w:tcPr>
          <w:p>
            <w:pPr>
              <w:pStyle w:val="nTable"/>
              <w:spacing w:after="40"/>
              <w:rPr>
                <w:sz w:val="19"/>
              </w:rPr>
            </w:pPr>
            <w:r>
              <w:rPr>
                <w:sz w:val="19"/>
              </w:rPr>
              <w:t>27 May 2008</w:t>
            </w:r>
          </w:p>
        </w:tc>
        <w:tc>
          <w:tcPr>
            <w:tcW w:w="2570" w:type="dxa"/>
            <w:gridSpan w:val="2"/>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73" w:type="dxa"/>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8" w:type="dxa"/>
          </w:tcPr>
          <w:p>
            <w:pPr>
              <w:pStyle w:val="nTable"/>
              <w:spacing w:after="40"/>
              <w:rPr>
                <w:snapToGrid w:val="0"/>
                <w:sz w:val="19"/>
                <w:lang w:val="en-US"/>
              </w:rPr>
            </w:pPr>
            <w:r>
              <w:rPr>
                <w:snapToGrid w:val="0"/>
                <w:sz w:val="19"/>
                <w:lang w:val="en-US"/>
              </w:rPr>
              <w:t>37 of 2008</w:t>
            </w:r>
          </w:p>
        </w:tc>
        <w:tc>
          <w:tcPr>
            <w:tcW w:w="1135" w:type="dxa"/>
          </w:tcPr>
          <w:p>
            <w:pPr>
              <w:pStyle w:val="nTable"/>
              <w:spacing w:after="40"/>
              <w:rPr>
                <w:sz w:val="19"/>
              </w:rPr>
            </w:pPr>
            <w:r>
              <w:rPr>
                <w:sz w:val="19"/>
              </w:rPr>
              <w:t>1 Jul 2008</w:t>
            </w:r>
          </w:p>
        </w:tc>
        <w:tc>
          <w:tcPr>
            <w:tcW w:w="2570" w:type="dxa"/>
            <w:gridSpan w:val="2"/>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r>
        <w:trPr>
          <w:gridAfter w:val="1"/>
          <w:wAfter w:w="8" w:type="dxa"/>
          <w:cantSplit/>
        </w:trPr>
        <w:tc>
          <w:tcPr>
            <w:tcW w:w="2273"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8"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62" w:type="dxa"/>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35" w:name="_Toc7405065"/>
      <w:bookmarkStart w:id="336" w:name="_Toc272058877"/>
      <w:r>
        <w:t>Provisions that have not come into operation</w:t>
      </w:r>
      <w:bookmarkEnd w:id="335"/>
      <w:bookmarkEnd w:id="336"/>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20" w:type="dxa"/>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135" w:type="dxa"/>
            <w:tcBorders>
              <w:bottom w:val="single" w:sz="4" w:space="0" w:color="auto"/>
            </w:tcBorders>
          </w:tcPr>
          <w:p>
            <w:pPr>
              <w:pStyle w:val="nTable"/>
              <w:spacing w:after="40"/>
              <w:rPr>
                <w:b/>
                <w:snapToGrid w:val="0"/>
                <w:sz w:val="19"/>
                <w:lang w:val="en-US"/>
              </w:rPr>
            </w:pPr>
            <w:r>
              <w:rPr>
                <w:b/>
                <w:snapToGrid w:val="0"/>
                <w:sz w:val="19"/>
                <w:lang w:val="en-US"/>
              </w:rPr>
              <w:t>Assent</w:t>
            </w:r>
          </w:p>
        </w:tc>
        <w:tc>
          <w:tcPr>
            <w:tcW w:w="2534" w:type="dxa"/>
            <w:tcBorders>
              <w:bottom w:val="single" w:sz="4" w:space="0" w:color="auto"/>
            </w:tcBorders>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Borders>
              <w:bottom w:val="single" w:sz="4" w:space="0" w:color="auto"/>
            </w:tcBorders>
          </w:tcPr>
          <w:p>
            <w:pPr>
              <w:pStyle w:val="nTable"/>
              <w:spacing w:after="40"/>
              <w:ind w:right="113"/>
              <w:rPr>
                <w:iCs/>
                <w:snapToGrid w:val="0"/>
                <w:sz w:val="19"/>
                <w:lang w:val="en-US"/>
              </w:rPr>
            </w:pPr>
            <w:r>
              <w:rPr>
                <w:i/>
                <w:snapToGrid w:val="0"/>
                <w:sz w:val="19"/>
                <w:lang w:val="en-US"/>
              </w:rPr>
              <w:t>Health Practitioner Regulation National Law (WA) Act 2010</w:t>
            </w:r>
            <w:r>
              <w:rPr>
                <w:iCs/>
                <w:snapToGrid w:val="0"/>
                <w:sz w:val="19"/>
                <w:lang w:val="en-US"/>
              </w:rPr>
              <w:t xml:space="preserve"> Pt. 5 Div. 19</w:t>
            </w:r>
            <w:r>
              <w:rPr>
                <w:iCs/>
                <w:snapToGrid w:val="0"/>
                <w:sz w:val="19"/>
                <w:vertAlign w:val="superscript"/>
                <w:lang w:val="en-US"/>
              </w:rPr>
              <w:t> 8</w:t>
            </w:r>
          </w:p>
        </w:tc>
        <w:tc>
          <w:tcPr>
            <w:tcW w:w="1120" w:type="dxa"/>
            <w:tcBorders>
              <w:bottom w:val="single" w:sz="4" w:space="0" w:color="auto"/>
            </w:tcBorders>
          </w:tcPr>
          <w:p>
            <w:pPr>
              <w:pStyle w:val="nTable"/>
              <w:spacing w:after="40"/>
              <w:rPr>
                <w:snapToGrid w:val="0"/>
                <w:sz w:val="19"/>
                <w:lang w:val="en-US"/>
              </w:rPr>
            </w:pPr>
            <w:r>
              <w:rPr>
                <w:snapToGrid w:val="0"/>
                <w:sz w:val="19"/>
                <w:lang w:val="en-US"/>
              </w:rPr>
              <w:t>35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30 Aug 2010</w:t>
            </w:r>
          </w:p>
        </w:tc>
        <w:tc>
          <w:tcPr>
            <w:tcW w:w="2534" w:type="dxa"/>
            <w:tcBorders>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rPr>
          <w:snapToGrid w:val="0"/>
        </w:rPr>
      </w:pPr>
      <w:bookmarkStart w:id="337" w:name="_Hlt63842594"/>
      <w:bookmarkEnd w:id="337"/>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Health Practitioner Regulation National Law (WA) Act 2010</w:t>
      </w:r>
      <w:r>
        <w:rPr>
          <w:snapToGrid w:val="0"/>
        </w:rPr>
        <w:t xml:space="preserve"> Pt. 5 Div. 19 had not come into operation.  It reads as follows:</w:t>
      </w:r>
    </w:p>
    <w:p>
      <w:pPr>
        <w:pStyle w:val="BlankOpen"/>
      </w:pPr>
    </w:p>
    <w:p>
      <w:pPr>
        <w:pStyle w:val="nzHeading3"/>
      </w:pPr>
      <w:bookmarkStart w:id="338" w:name="_Toc262066650"/>
      <w:bookmarkStart w:id="339" w:name="_Toc270079199"/>
      <w:bookmarkStart w:id="340" w:name="_Toc270349119"/>
      <w:r>
        <w:rPr>
          <w:rStyle w:val="CharDivNo"/>
        </w:rPr>
        <w:t>Division 19</w:t>
      </w:r>
      <w:r>
        <w:t> — </w:t>
      </w:r>
      <w:r>
        <w:rPr>
          <w:rStyle w:val="CharDivText"/>
          <w:i/>
          <w:iCs/>
        </w:rPr>
        <w:t>Diamond (Argyle Diamond Mines Joint Venture) Agreement Act 1981</w:t>
      </w:r>
      <w:r>
        <w:rPr>
          <w:rStyle w:val="CharDivText"/>
        </w:rPr>
        <w:t xml:space="preserve"> amended</w:t>
      </w:r>
      <w:bookmarkEnd w:id="338"/>
      <w:bookmarkEnd w:id="339"/>
      <w:bookmarkEnd w:id="340"/>
    </w:p>
    <w:p>
      <w:pPr>
        <w:pStyle w:val="nzHeading5"/>
      </w:pPr>
      <w:bookmarkStart w:id="341" w:name="_Toc270349120"/>
      <w:r>
        <w:rPr>
          <w:rStyle w:val="CharSectno"/>
        </w:rPr>
        <w:t>61</w:t>
      </w:r>
      <w:r>
        <w:t>.</w:t>
      </w:r>
      <w:r>
        <w:tab/>
        <w:t>Act amended</w:t>
      </w:r>
      <w:bookmarkEnd w:id="341"/>
    </w:p>
    <w:p>
      <w:pPr>
        <w:pStyle w:val="nzSubsection"/>
      </w:pPr>
      <w:r>
        <w:tab/>
      </w:r>
      <w:r>
        <w:tab/>
        <w:t>This Division amends the</w:t>
      </w:r>
      <w:r>
        <w:rPr>
          <w:i/>
          <w:iCs/>
        </w:rPr>
        <w:t xml:space="preserve"> Diamond (Argyle Diamond Mines Joint Venture) Agreement Act 1981</w:t>
      </w:r>
      <w:r>
        <w:t>.</w:t>
      </w:r>
    </w:p>
    <w:p>
      <w:pPr>
        <w:pStyle w:val="nzHeading5"/>
      </w:pPr>
      <w:bookmarkStart w:id="342" w:name="_Toc270349121"/>
      <w:r>
        <w:rPr>
          <w:rStyle w:val="CharSectno"/>
        </w:rPr>
        <w:t>62</w:t>
      </w:r>
      <w:r>
        <w:t>.</w:t>
      </w:r>
      <w:r>
        <w:tab/>
        <w:t>Section 14 amended</w:t>
      </w:r>
      <w:bookmarkEnd w:id="342"/>
    </w:p>
    <w:p>
      <w:pPr>
        <w:pStyle w:val="nzSubsection"/>
      </w:pPr>
      <w:r>
        <w:tab/>
      </w:r>
      <w:r>
        <w:tab/>
        <w:t xml:space="preserve">In section 14 delete the definition of </w:t>
      </w:r>
      <w:r>
        <w:rPr>
          <w:b/>
          <w:bCs/>
          <w:i/>
          <w:iCs/>
        </w:rPr>
        <w:t>medical practitioner</w:t>
      </w:r>
      <w:r>
        <w:t xml:space="preserve"> and insert:</w:t>
      </w:r>
    </w:p>
    <w:p>
      <w:pPr>
        <w:pStyle w:val="BlankOpen"/>
      </w:pPr>
    </w:p>
    <w:p>
      <w:pPr>
        <w:pStyle w:val="nzDefstart"/>
      </w:pPr>
      <w:r>
        <w:tab/>
      </w:r>
      <w:r>
        <w:rPr>
          <w:rStyle w:val="CharDefText"/>
        </w:rPr>
        <w:t>medical practitioner</w:t>
      </w:r>
      <w:r>
        <w:t xml:space="preserve"> means a person registered under the </w:t>
      </w:r>
      <w:r>
        <w:rPr>
          <w:i/>
          <w:iCs/>
        </w:rPr>
        <w:t>Health Practitioner Regulation National Law (Western Australia)</w:t>
      </w:r>
      <w:r>
        <w:t xml:space="preserve"> in the medical profession;</w:t>
      </w:r>
    </w:p>
    <w:p>
      <w:pPr>
        <w:pStyle w:val="BlankClose"/>
      </w:pPr>
    </w:p>
    <w:p>
      <w:pPr>
        <w:pStyle w:val="BlankClose"/>
      </w:pPr>
    </w:p>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headerReference w:type="first" r:id="rId3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 xml:space="preserve">Ratification of Agreement and supplementary agreements </w:t>
            </w:r>
            <w:r>
              <w:rPr>
                <w:noProof/>
              </w:rPr>
              <w:cr/>
            </w:r>
          </w:fldSimple>
        </w:p>
      </w:tc>
      <w:tc>
        <w:tcPr>
          <w:tcW w:w="1327" w:type="dxa"/>
        </w:tcPr>
        <w:p>
          <w:pPr>
            <w:pStyle w:val="HeaderNumberRight"/>
          </w:pPr>
          <w:fldSimple w:instr=" styleref CharPartNo ">
            <w:r>
              <w:rPr>
                <w:noProof/>
              </w:rPr>
              <w:t>Part 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B073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38F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ADECE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CFC20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D4661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B824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A4AC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94DD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8ECDBE8"/>
    <w:lvl w:ilvl="0">
      <w:start w:val="1"/>
      <w:numFmt w:val="decimal"/>
      <w:pStyle w:val="ListNumber"/>
      <w:lvlText w:val="%1."/>
      <w:lvlJc w:val="left"/>
      <w:pPr>
        <w:tabs>
          <w:tab w:val="num" w:pos="360"/>
        </w:tabs>
        <w:ind w:left="360" w:hanging="360"/>
      </w:pPr>
    </w:lvl>
  </w:abstractNum>
  <w:abstractNum w:abstractNumId="9">
    <w:nsid w:val="FFFFFF89"/>
    <w:multiLevelType w:val="singleLevel"/>
    <w:tmpl w:val="B44C3C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4D408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808C0"/>
    <w:multiLevelType w:val="singleLevel"/>
    <w:tmpl w:val="B110649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31"/>
  </w:num>
  <w:num w:numId="3">
    <w:abstractNumId w:val="24"/>
  </w:num>
  <w:num w:numId="4">
    <w:abstractNumId w:val="15"/>
  </w:num>
  <w:num w:numId="5">
    <w:abstractNumId w:val="2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59"/>
    <w:docVar w:name="WAFER_20151210110959" w:val="RemoveTrackChanges"/>
    <w:docVar w:name="WAFER_20151210110959_GUID" w:val="66a92e32-038f-424a-b58e-a4fc07678f3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6"/>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7"/>
      </w:numPr>
    </w:pPr>
  </w:style>
  <w:style w:type="paragraph" w:styleId="ListBullet2">
    <w:name w:val="List Bullet 2"/>
    <w:basedOn w:val="Normal"/>
    <w:autoRedefine/>
    <w:semiHidden/>
    <w:pPr>
      <w:numPr>
        <w:numId w:val="8"/>
      </w:numPr>
    </w:p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7"/>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6"/>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7"/>
      </w:numPr>
    </w:pPr>
  </w:style>
  <w:style w:type="paragraph" w:styleId="ListBullet2">
    <w:name w:val="List Bullet 2"/>
    <w:basedOn w:val="Normal"/>
    <w:autoRedefine/>
    <w:semiHidden/>
    <w:pPr>
      <w:numPr>
        <w:numId w:val="8"/>
      </w:numPr>
    </w:p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7"/>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43407</Words>
  <Characters>210527</Characters>
  <Application>Microsoft Office Word</Application>
  <DocSecurity>0</DocSecurity>
  <Lines>5398</Lines>
  <Paragraphs>2151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251783</CharactersWithSpaces>
  <SharedDoc>false</SharedDoc>
  <HLinks>
    <vt:vector size="6" baseType="variant">
      <vt:variant>
        <vt:i4>131085</vt:i4>
      </vt:variant>
      <vt:variant>
        <vt:i4>208346</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1981 - 01-h0-02</dc:title>
  <dc:subject/>
  <dc:creator/>
  <cp:keywords/>
  <dc:description/>
  <cp:lastModifiedBy>svcMRProcess</cp:lastModifiedBy>
  <cp:revision>4</cp:revision>
  <cp:lastPrinted>2002-06-11T07:34:00Z</cp:lastPrinted>
  <dcterms:created xsi:type="dcterms:W3CDTF">2020-02-14T18:42:00Z</dcterms:created>
  <dcterms:modified xsi:type="dcterms:W3CDTF">2020-02-14T18:42:00Z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222</vt:i4>
  </property>
  <property fmtid="{D5CDD505-2E9C-101B-9397-08002B2CF9AE}" pid="6" name="AsAtDate">
    <vt:lpwstr>11 Sep 2010</vt:lpwstr>
  </property>
  <property fmtid="{D5CDD505-2E9C-101B-9397-08002B2CF9AE}" pid="7" name="Suffix">
    <vt:lpwstr>01-h0-02</vt:lpwstr>
  </property>
</Properties>
</file>