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6028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outlineLvl w:val="0"/>
      </w:pPr>
      <w:r>
        <w:fldChar w:fldCharType="begin"/>
      </w:r>
      <w:r>
        <w:instrText xml:space="preserve"> STYLEREF "Name Of Act/Reg"</w:instrText>
      </w:r>
      <w:r>
        <w:fldChar w:fldCharType="separate"/>
      </w:r>
      <w:r>
        <w:rPr>
          <w:noProof/>
        </w:rPr>
        <w:t>Alumina Refinery (Mitchell Plateau) Agreement (Termination) Act 2015</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Alumina Refinery (Mitchell Plateau) Agreement (Termination) Act 2015</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r>
      <w:r>
        <w:rPr>
          <w:snapToGrid w:val="0"/>
        </w:rPr>
        <w:t>Short title</w:t>
      </w:r>
      <w:r>
        <w:tab/>
      </w:r>
      <w:r>
        <w:fldChar w:fldCharType="begin"/>
      </w:r>
      <w:r>
        <w:instrText xml:space="preserve"> PAGEREF _Toc434324366 \h </w:instrText>
      </w:r>
      <w:r>
        <w:fldChar w:fldCharType="separate"/>
      </w:r>
      <w:r>
        <w:t>2</w:t>
      </w:r>
      <w:r>
        <w:fldChar w:fldCharType="end"/>
      </w:r>
    </w:p>
    <w:p>
      <w:pPr>
        <w:pStyle w:val="TOC8"/>
        <w:rPr>
          <w:rFonts w:asciiTheme="minorHAnsi" w:eastAsiaTheme="minorEastAsia" w:hAnsiTheme="minorHAnsi" w:cstheme="minorBidi"/>
          <w:szCs w:val="22"/>
        </w:rPr>
      </w:pPr>
      <w:r>
        <w:t>2</w:t>
      </w:r>
      <w:r>
        <w:rPr>
          <w:snapToGrid w:val="0"/>
        </w:rPr>
        <w:t>.</w:t>
      </w:r>
      <w:r>
        <w:rPr>
          <w:snapToGrid w:val="0"/>
        </w:rPr>
        <w:tab/>
      </w:r>
      <w:r>
        <w:t>Commencement</w:t>
      </w:r>
      <w:r>
        <w:tab/>
      </w:r>
      <w:r>
        <w:fldChar w:fldCharType="begin"/>
      </w:r>
      <w:r>
        <w:instrText xml:space="preserve"> PAGEREF _Toc434324367 \h </w:instrText>
      </w:r>
      <w:r>
        <w:fldChar w:fldCharType="separate"/>
      </w:r>
      <w:r>
        <w:t>2</w:t>
      </w:r>
      <w:r>
        <w:fldChar w:fldCharType="end"/>
      </w:r>
    </w:p>
    <w:p>
      <w:pPr>
        <w:pStyle w:val="TOC2"/>
        <w:tabs>
          <w:tab w:val="right" w:leader="dot" w:pos="7077"/>
        </w:tabs>
        <w:rPr>
          <w:rFonts w:asciiTheme="minorHAnsi" w:eastAsiaTheme="minorEastAsia" w:hAnsiTheme="minorHAnsi" w:cstheme="minorBidi"/>
          <w:b w:val="0"/>
          <w:sz w:val="22"/>
          <w:szCs w:val="22"/>
        </w:rPr>
      </w:pPr>
      <w:r>
        <w:t>Part 2 — </w:t>
      </w:r>
      <w:r>
        <w:rPr>
          <w:i/>
        </w:rPr>
        <w:t>Alumina Refinery (Mitchell Plateau) Agreement Act 1971</w:t>
      </w:r>
      <w:r>
        <w:t xml:space="preserve"> amended</w:t>
      </w:r>
    </w:p>
    <w:p>
      <w:pPr>
        <w:pStyle w:val="TOC8"/>
        <w:rPr>
          <w:rFonts w:asciiTheme="minorHAnsi" w:eastAsiaTheme="minorEastAsia" w:hAnsiTheme="minorHAnsi" w:cstheme="minorBidi"/>
          <w:szCs w:val="22"/>
        </w:rPr>
      </w:pPr>
      <w:r>
        <w:t>3</w:t>
      </w:r>
      <w:r>
        <w:rPr>
          <w:snapToGrid w:val="0"/>
        </w:rPr>
        <w:t>.</w:t>
      </w:r>
      <w:r>
        <w:rPr>
          <w:snapToGrid w:val="0"/>
        </w:rPr>
        <w:tab/>
        <w:t>Act amended</w:t>
      </w:r>
      <w:r>
        <w:tab/>
      </w:r>
      <w:r>
        <w:fldChar w:fldCharType="begin"/>
      </w:r>
      <w:r>
        <w:instrText xml:space="preserve"> PAGEREF _Toc434324369 \h </w:instrText>
      </w:r>
      <w:r>
        <w:fldChar w:fldCharType="separate"/>
      </w:r>
      <w:r>
        <w:t>3</w:t>
      </w:r>
      <w:r>
        <w:fldChar w:fldCharType="end"/>
      </w:r>
    </w:p>
    <w:p>
      <w:pPr>
        <w:pStyle w:val="TOC8"/>
        <w:rPr>
          <w:rFonts w:asciiTheme="minorHAnsi" w:eastAsiaTheme="minorEastAsia" w:hAnsiTheme="minorHAnsi" w:cstheme="minorBidi"/>
          <w:szCs w:val="22"/>
        </w:rPr>
      </w:pPr>
      <w:r>
        <w:t>4.</w:t>
      </w:r>
      <w:r>
        <w:tab/>
        <w:t>Long title amended</w:t>
      </w:r>
      <w:r>
        <w:tab/>
      </w:r>
      <w:r>
        <w:fldChar w:fldCharType="begin"/>
      </w:r>
      <w:r>
        <w:instrText xml:space="preserve"> PAGEREF _Toc434324370 \h </w:instrText>
      </w:r>
      <w:r>
        <w:fldChar w:fldCharType="separate"/>
      </w:r>
      <w:r>
        <w:t>3</w:t>
      </w:r>
      <w:r>
        <w:fldChar w:fldCharType="end"/>
      </w:r>
    </w:p>
    <w:p>
      <w:pPr>
        <w:pStyle w:val="TOC8"/>
        <w:rPr>
          <w:rFonts w:asciiTheme="minorHAnsi" w:eastAsiaTheme="minorEastAsia" w:hAnsiTheme="minorHAnsi" w:cstheme="minorBidi"/>
          <w:szCs w:val="22"/>
        </w:rPr>
      </w:pPr>
      <w:r>
        <w:t>5.</w:t>
      </w:r>
      <w:r>
        <w:tab/>
        <w:t>Section 2 amended</w:t>
      </w:r>
      <w:r>
        <w:tab/>
      </w:r>
      <w:r>
        <w:fldChar w:fldCharType="begin"/>
      </w:r>
      <w:r>
        <w:instrText xml:space="preserve"> PAGEREF _Toc434324371 \h </w:instrText>
      </w:r>
      <w:r>
        <w:fldChar w:fldCharType="separate"/>
      </w:r>
      <w:r>
        <w:t>3</w:t>
      </w:r>
      <w:r>
        <w:fldChar w:fldCharType="end"/>
      </w:r>
    </w:p>
    <w:p>
      <w:pPr>
        <w:pStyle w:val="TOC8"/>
        <w:rPr>
          <w:rFonts w:asciiTheme="minorHAnsi" w:eastAsiaTheme="minorEastAsia" w:hAnsiTheme="minorHAnsi" w:cstheme="minorBidi"/>
          <w:szCs w:val="22"/>
        </w:rPr>
      </w:pPr>
      <w:r>
        <w:t>6.</w:t>
      </w:r>
      <w:r>
        <w:tab/>
        <w:t>Section 4 replaced</w:t>
      </w:r>
      <w:r>
        <w:tab/>
      </w:r>
      <w:r>
        <w:fldChar w:fldCharType="begin"/>
      </w:r>
      <w:r>
        <w:instrText xml:space="preserve"> PAGEREF _Toc434324372 \h </w:instrText>
      </w:r>
      <w:r>
        <w:fldChar w:fldCharType="separate"/>
      </w:r>
      <w:r>
        <w:t>4</w:t>
      </w:r>
      <w:r>
        <w:fldChar w:fldCharType="end"/>
      </w:r>
    </w:p>
    <w:p>
      <w:pPr>
        <w:pStyle w:val="TOC9"/>
        <w:rPr>
          <w:rFonts w:asciiTheme="minorHAnsi" w:eastAsiaTheme="minorEastAsia" w:hAnsiTheme="minorHAnsi" w:cstheme="minorBidi"/>
          <w:noProof/>
          <w:sz w:val="22"/>
          <w:szCs w:val="22"/>
        </w:rPr>
      </w:pPr>
      <w:r>
        <w:rPr>
          <w:noProof/>
        </w:rPr>
        <w:t>4.</w:t>
      </w:r>
      <w:r>
        <w:rPr>
          <w:noProof/>
        </w:rPr>
        <w:tab/>
        <w:t>Ratification and operation of termination agreement</w:t>
      </w:r>
      <w:r>
        <w:rPr>
          <w:noProof/>
        </w:rPr>
        <w:tab/>
      </w:r>
      <w:r>
        <w:rPr>
          <w:noProof/>
        </w:rPr>
        <w:fldChar w:fldCharType="begin"/>
      </w:r>
      <w:r>
        <w:rPr>
          <w:noProof/>
        </w:rPr>
        <w:instrText xml:space="preserve"> PAGEREF _Toc434324373 \h </w:instrText>
      </w:r>
      <w:r>
        <w:rPr>
          <w:noProof/>
        </w:rPr>
      </w:r>
      <w:r>
        <w:rPr>
          <w:noProof/>
        </w:rPr>
        <w:fldChar w:fldCharType="separate"/>
      </w:r>
      <w:r>
        <w:rPr>
          <w:noProof/>
        </w:rPr>
        <w:t>4</w:t>
      </w:r>
      <w:r>
        <w:rPr>
          <w:noProof/>
        </w:rPr>
        <w:fldChar w:fldCharType="end"/>
      </w:r>
    </w:p>
    <w:p>
      <w:pPr>
        <w:pStyle w:val="TOC9"/>
        <w:rPr>
          <w:rFonts w:asciiTheme="minorHAnsi" w:eastAsiaTheme="minorEastAsia" w:hAnsiTheme="minorHAnsi" w:cstheme="minorBidi"/>
          <w:noProof/>
          <w:sz w:val="22"/>
          <w:szCs w:val="22"/>
        </w:rPr>
      </w:pPr>
      <w:r>
        <w:rPr>
          <w:noProof/>
        </w:rPr>
        <w:t>5A.</w:t>
      </w:r>
      <w:r>
        <w:rPr>
          <w:noProof/>
        </w:rPr>
        <w:tab/>
        <w:t>Cancellation of Temporary Reserve 5610H</w:t>
      </w:r>
      <w:r>
        <w:rPr>
          <w:noProof/>
        </w:rPr>
        <w:tab/>
      </w:r>
      <w:r>
        <w:rPr>
          <w:noProof/>
        </w:rPr>
        <w:fldChar w:fldCharType="begin"/>
      </w:r>
      <w:r>
        <w:rPr>
          <w:noProof/>
        </w:rPr>
        <w:instrText xml:space="preserve"> PAGEREF _Toc434324374 \h </w:instrText>
      </w:r>
      <w:r>
        <w:rPr>
          <w:noProof/>
        </w:rPr>
      </w:r>
      <w:r>
        <w:rPr>
          <w:noProof/>
        </w:rPr>
        <w:fldChar w:fldCharType="separate"/>
      </w:r>
      <w:r>
        <w:rPr>
          <w:noProof/>
        </w:rPr>
        <w:t>4</w:t>
      </w:r>
      <w:r>
        <w:rPr>
          <w:noProof/>
        </w:rPr>
        <w:fldChar w:fldCharType="end"/>
      </w:r>
    </w:p>
    <w:p>
      <w:pPr>
        <w:pStyle w:val="TOC9"/>
        <w:rPr>
          <w:rFonts w:asciiTheme="minorHAnsi" w:eastAsiaTheme="minorEastAsia" w:hAnsiTheme="minorHAnsi" w:cstheme="minorBidi"/>
          <w:noProof/>
          <w:sz w:val="22"/>
          <w:szCs w:val="22"/>
        </w:rPr>
      </w:pPr>
      <w:r>
        <w:rPr>
          <w:noProof/>
        </w:rPr>
        <w:t>5B.</w:t>
      </w:r>
      <w:r>
        <w:rPr>
          <w:noProof/>
        </w:rPr>
        <w:tab/>
        <w:t>Termination of pending applications in respect of Mitchell Plateau area</w:t>
      </w:r>
      <w:r>
        <w:rPr>
          <w:noProof/>
        </w:rPr>
        <w:tab/>
      </w:r>
      <w:r>
        <w:rPr>
          <w:noProof/>
        </w:rPr>
        <w:fldChar w:fldCharType="begin"/>
      </w:r>
      <w:r>
        <w:rPr>
          <w:noProof/>
        </w:rPr>
        <w:instrText xml:space="preserve"> PAGEREF _Toc434324375 \h </w:instrText>
      </w:r>
      <w:r>
        <w:rPr>
          <w:noProof/>
        </w:rPr>
      </w:r>
      <w:r>
        <w:rPr>
          <w:noProof/>
        </w:rPr>
        <w:fldChar w:fldCharType="separate"/>
      </w:r>
      <w:r>
        <w:rPr>
          <w:noProof/>
        </w:rPr>
        <w:t>4</w:t>
      </w:r>
      <w:r>
        <w:rPr>
          <w:noProof/>
        </w:rPr>
        <w:fldChar w:fldCharType="end"/>
      </w:r>
    </w:p>
    <w:p>
      <w:pPr>
        <w:pStyle w:val="TOC9"/>
        <w:rPr>
          <w:rFonts w:asciiTheme="minorHAnsi" w:eastAsiaTheme="minorEastAsia" w:hAnsiTheme="minorHAnsi" w:cstheme="minorBidi"/>
          <w:noProof/>
          <w:sz w:val="22"/>
          <w:szCs w:val="22"/>
        </w:rPr>
      </w:pPr>
      <w:r>
        <w:rPr>
          <w:noProof/>
        </w:rPr>
        <w:t>5C.</w:t>
      </w:r>
      <w:r>
        <w:rPr>
          <w:noProof/>
        </w:rPr>
        <w:tab/>
        <w:t>Temporary prohibition on tenement applications in respect of Mitchell Plateau area</w:t>
      </w:r>
      <w:r>
        <w:rPr>
          <w:noProof/>
        </w:rPr>
        <w:tab/>
      </w:r>
      <w:r>
        <w:rPr>
          <w:noProof/>
        </w:rPr>
        <w:fldChar w:fldCharType="begin"/>
      </w:r>
      <w:r>
        <w:rPr>
          <w:noProof/>
        </w:rPr>
        <w:instrText xml:space="preserve"> PAGEREF _Toc434324376 \h </w:instrText>
      </w:r>
      <w:r>
        <w:rPr>
          <w:noProof/>
        </w:rPr>
      </w:r>
      <w:r>
        <w:rPr>
          <w:noProof/>
        </w:rPr>
        <w:fldChar w:fldCharType="separate"/>
      </w:r>
      <w:r>
        <w:rPr>
          <w:noProof/>
        </w:rPr>
        <w:t>4</w:t>
      </w:r>
      <w:r>
        <w:rPr>
          <w:noProof/>
        </w:rPr>
        <w:fldChar w:fldCharType="end"/>
      </w:r>
    </w:p>
    <w:p>
      <w:pPr>
        <w:pStyle w:val="TOC8"/>
        <w:rPr>
          <w:rFonts w:asciiTheme="minorHAnsi" w:eastAsiaTheme="minorEastAsia" w:hAnsiTheme="minorHAnsi" w:cstheme="minorBidi"/>
          <w:szCs w:val="22"/>
        </w:rPr>
      </w:pPr>
      <w:r>
        <w:t>7.</w:t>
      </w:r>
      <w:r>
        <w:tab/>
        <w:t>Fourth and Fifth Schedules inserted</w:t>
      </w:r>
      <w:r>
        <w:tab/>
      </w:r>
      <w:r>
        <w:fldChar w:fldCharType="begin"/>
      </w:r>
      <w:r>
        <w:instrText xml:space="preserve"> PAGEREF _Toc434324377 \h </w:instrText>
      </w:r>
      <w:r>
        <w:fldChar w:fldCharType="separate"/>
      </w:r>
      <w:r>
        <w:t>6</w:t>
      </w:r>
      <w:r>
        <w:fldChar w:fldCharType="end"/>
      </w:r>
    </w:p>
    <w:p>
      <w:pPr>
        <w:pStyle w:val="TOC3"/>
        <w:tabs>
          <w:tab w:val="right" w:leader="dot" w:pos="7077"/>
        </w:tabs>
        <w:rPr>
          <w:rFonts w:asciiTheme="minorHAnsi" w:eastAsiaTheme="minorEastAsia" w:hAnsiTheme="minorHAnsi" w:cstheme="minorBidi"/>
          <w:b w:val="0"/>
          <w:sz w:val="22"/>
          <w:szCs w:val="22"/>
        </w:rPr>
      </w:pPr>
      <w:r>
        <w:t>Fourth Schedule — Termination agreement</w:t>
      </w:r>
    </w:p>
    <w:p>
      <w:pPr>
        <w:pStyle w:val="TOC3"/>
        <w:tabs>
          <w:tab w:val="right" w:leader="dot" w:pos="7077"/>
        </w:tabs>
        <w:rPr>
          <w:rFonts w:asciiTheme="minorHAnsi" w:eastAsiaTheme="minorEastAsia" w:hAnsiTheme="minorHAnsi" w:cstheme="minorBidi"/>
          <w:b w:val="0"/>
          <w:sz w:val="22"/>
          <w:szCs w:val="22"/>
        </w:rPr>
      </w:pPr>
      <w:r>
        <w:t>Fifth Schedule — Mitchell Plateau area</w:t>
      </w:r>
    </w:p>
    <w:p>
      <w:pPr>
        <w:pStyle w:val="TOC5"/>
        <w:tabs>
          <w:tab w:val="right" w:leader="dot" w:pos="7077"/>
        </w:tabs>
        <w:rPr>
          <w:rFonts w:asciiTheme="minorHAnsi" w:eastAsiaTheme="minorEastAsia" w:hAnsiTheme="minorHAnsi" w:cstheme="minorBidi"/>
          <w:b w:val="0"/>
          <w:sz w:val="22"/>
          <w:szCs w:val="22"/>
        </w:rPr>
      </w:pPr>
      <w:r>
        <w:t>Division 1</w:t>
      </w:r>
      <w:r>
        <w:rPr>
          <w:b w:val="0"/>
        </w:rPr>
        <w:t> — </w:t>
      </w:r>
      <w:r>
        <w:t>Description</w:t>
      </w:r>
    </w:p>
    <w:p>
      <w:pPr>
        <w:pStyle w:val="TOC9"/>
        <w:rPr>
          <w:rFonts w:asciiTheme="minorHAnsi" w:eastAsiaTheme="minorEastAsia" w:hAnsiTheme="minorHAnsi" w:cstheme="minorBidi"/>
          <w:noProof/>
          <w:sz w:val="22"/>
          <w:szCs w:val="22"/>
        </w:rPr>
      </w:pPr>
      <w:r>
        <w:rPr>
          <w:noProof/>
        </w:rPr>
        <w:t>1.</w:t>
      </w:r>
      <w:r>
        <w:rPr>
          <w:noProof/>
        </w:rPr>
        <w:tab/>
        <w:t>Mitchell Plateau area</w:t>
      </w:r>
      <w:r>
        <w:rPr>
          <w:noProof/>
        </w:rPr>
        <w:tab/>
      </w:r>
      <w:r>
        <w:rPr>
          <w:noProof/>
        </w:rPr>
        <w:fldChar w:fldCharType="begin"/>
      </w:r>
      <w:r>
        <w:rPr>
          <w:noProof/>
        </w:rPr>
        <w:instrText xml:space="preserve"> PAGEREF _Toc434324381 \h </w:instrText>
      </w:r>
      <w:r>
        <w:rPr>
          <w:noProof/>
        </w:rPr>
      </w:r>
      <w:r>
        <w:rPr>
          <w:noProof/>
        </w:rPr>
        <w:fldChar w:fldCharType="separate"/>
      </w:r>
      <w:r>
        <w:rPr>
          <w:noProof/>
        </w:rPr>
        <w:t>14</w:t>
      </w:r>
      <w:r>
        <w:rPr>
          <w:noProof/>
        </w:rPr>
        <w:fldChar w:fldCharType="end"/>
      </w:r>
    </w:p>
    <w:p>
      <w:pPr>
        <w:pStyle w:val="TOC5"/>
        <w:tabs>
          <w:tab w:val="right" w:leader="dot" w:pos="7077"/>
        </w:tabs>
        <w:rPr>
          <w:rFonts w:asciiTheme="minorHAnsi" w:eastAsiaTheme="minorEastAsia" w:hAnsiTheme="minorHAnsi" w:cstheme="minorBidi"/>
          <w:b w:val="0"/>
          <w:sz w:val="22"/>
          <w:szCs w:val="22"/>
        </w:rPr>
      </w:pPr>
      <w:r>
        <w:t>Division 2</w:t>
      </w:r>
      <w:r>
        <w:rPr>
          <w:b w:val="0"/>
        </w:rPr>
        <w:t> — </w:t>
      </w:r>
      <w:r>
        <w:t>Map</w:t>
      </w:r>
    </w:p>
    <w:p>
      <w:pPr>
        <w:pStyle w:val="TOC5"/>
        <w:tabs>
          <w:tab w:val="right" w:leader="dot" w:pos="7077"/>
        </w:tabs>
        <w:rPr>
          <w:rFonts w:asciiTheme="minorHAnsi" w:eastAsiaTheme="minorEastAsia" w:hAnsiTheme="minorHAnsi" w:cstheme="minorBidi"/>
          <w:b w:val="0"/>
          <w:sz w:val="22"/>
          <w:szCs w:val="22"/>
        </w:rPr>
      </w:pPr>
      <w:r>
        <w:t>Division 3</w:t>
      </w:r>
      <w:r>
        <w:rPr>
          <w:b w:val="0"/>
        </w:rPr>
        <w:t> — </w:t>
      </w:r>
      <w:r>
        <w:t>Coordinates</w:t>
      </w:r>
    </w:p>
    <w:p>
      <w:pPr>
        <w:pStyle w:val="TOC2"/>
        <w:tabs>
          <w:tab w:val="right" w:leader="dot" w:pos="7077"/>
        </w:tabs>
        <w:rPr>
          <w:rFonts w:asciiTheme="minorHAnsi" w:eastAsiaTheme="minorEastAsia" w:hAnsiTheme="minorHAnsi" w:cstheme="minorBidi"/>
          <w:b w:val="0"/>
          <w:sz w:val="22"/>
          <w:szCs w:val="22"/>
        </w:rPr>
      </w:pPr>
      <w:r>
        <w:t>Part 3 — </w:t>
      </w:r>
      <w:r>
        <w:rPr>
          <w:i/>
        </w:rPr>
        <w:t>Mining Act 1978</w:t>
      </w:r>
      <w:r>
        <w:t xml:space="preserve"> amended</w:t>
      </w:r>
    </w:p>
    <w:p>
      <w:pPr>
        <w:pStyle w:val="TOC8"/>
        <w:rPr>
          <w:rFonts w:asciiTheme="minorHAnsi" w:eastAsiaTheme="minorEastAsia" w:hAnsiTheme="minorHAnsi" w:cstheme="minorBidi"/>
          <w:szCs w:val="22"/>
        </w:rPr>
      </w:pPr>
      <w:r>
        <w:t>8.</w:t>
      </w:r>
      <w:r>
        <w:tab/>
        <w:t>Act amended</w:t>
      </w:r>
      <w:r>
        <w:tab/>
      </w:r>
      <w:r>
        <w:fldChar w:fldCharType="begin"/>
      </w:r>
      <w:r>
        <w:instrText xml:space="preserve"> PAGEREF _Toc434324385 \h </w:instrText>
      </w:r>
      <w:r>
        <w:fldChar w:fldCharType="separate"/>
      </w:r>
      <w:r>
        <w:t>20</w:t>
      </w:r>
      <w:r>
        <w:fldChar w:fldCharType="end"/>
      </w:r>
    </w:p>
    <w:p>
      <w:pPr>
        <w:pStyle w:val="TOC8"/>
        <w:rPr>
          <w:rFonts w:asciiTheme="minorHAnsi" w:eastAsiaTheme="minorEastAsia" w:hAnsiTheme="minorHAnsi" w:cstheme="minorBidi"/>
          <w:szCs w:val="22"/>
        </w:rPr>
      </w:pPr>
      <w:r>
        <w:t>9.</w:t>
      </w:r>
      <w:r>
        <w:tab/>
        <w:t>Section 6 amended</w:t>
      </w:r>
      <w:r>
        <w:tab/>
      </w:r>
      <w:r>
        <w:fldChar w:fldCharType="begin"/>
      </w:r>
      <w:r>
        <w:instrText xml:space="preserve"> PAGEREF _Toc434324386 \h </w:instrText>
      </w:r>
      <w:r>
        <w:fldChar w:fldCharType="separate"/>
      </w:r>
      <w:r>
        <w:t>20</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suppressLineNumbers/>
        <w:spacing w:after="480"/>
        <w:outlineLvl w:val="0"/>
      </w:pPr>
      <w:r>
        <w:rPr>
          <w:noProof/>
        </w:rPr>
        <w:drawing>
          <wp:anchor distT="0" distB="0" distL="114300" distR="114300" simplePos="0" relativeHeight="251658240" behindDoc="0" locked="0" layoutInCell="1" allowOverlap="1">
            <wp:simplePos x="0" y="0"/>
            <wp:positionH relativeFrom="page">
              <wp:posOffset>3455670</wp:posOffset>
            </wp:positionH>
            <wp:positionV relativeFrom="page">
              <wp:posOffset>827405</wp:posOffset>
            </wp:positionV>
            <wp:extent cx="648000" cy="415637"/>
            <wp:effectExtent l="0" t="0" r="0" b="3810"/>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00" cy="415637"/>
                    </a:xfrm>
                    <a:prstGeom prst="rect">
                      <a:avLst/>
                    </a:prstGeom>
                  </pic:spPr>
                </pic:pic>
              </a:graphicData>
            </a:graphic>
            <wp14:sizeRelH relativeFrom="margin">
              <wp14:pctWidth>0</wp14:pctWidth>
            </wp14:sizeRelH>
          </wp:anchor>
        </w:drawing>
      </w:r>
      <w:r>
        <w:t>Western Australia</w:t>
      </w:r>
    </w:p>
    <w:p>
      <w:pPr>
        <w:pStyle w:val="NameofActReg"/>
        <w:suppressLineNumbers/>
      </w:pPr>
      <w:r>
        <w:t>Alumina Refinery (Mitchell Plateau) Agreement (Termination) Act 2015</w:t>
      </w:r>
    </w:p>
    <w:p>
      <w:pPr>
        <w:pStyle w:val="ABillFor"/>
        <w:pBdr>
          <w:top w:val="single" w:sz="4" w:space="6" w:color="auto"/>
          <w:bottom w:val="single" w:sz="4" w:space="6" w:color="auto"/>
        </w:pBdr>
        <w:spacing w:before="0" w:after="240"/>
        <w:ind w:left="2551" w:right="2551"/>
      </w:pPr>
      <w:bookmarkStart w:id="3" w:name="BillCited"/>
      <w:bookmarkEnd w:id="3"/>
      <w:r>
        <w:t>No. 31 of 2015</w:t>
      </w:r>
    </w:p>
    <w:p>
      <w:pPr>
        <w:pStyle w:val="LongTitle"/>
        <w:suppressLineNumbers/>
        <w:rPr>
          <w:snapToGrid w:val="0"/>
        </w:rPr>
      </w:pPr>
      <w:r>
        <w:rPr>
          <w:snapToGrid w:val="0"/>
        </w:rPr>
        <w:t xml:space="preserve">An Act to amend the </w:t>
      </w:r>
      <w:r>
        <w:rPr>
          <w:i/>
          <w:snapToGrid w:val="0"/>
        </w:rPr>
        <w:t>Alumina Refinery (Mitchell Plateau) Agreement Act 1971</w:t>
      </w:r>
      <w:r>
        <w:rPr>
          <w:snapToGrid w:val="0"/>
        </w:rPr>
        <w:t xml:space="preserve"> to provide for the ratification of an agreement for the termination of the Alumina Refinery (Mitchell Plateau) Agreement and to provide for related matters, and to consequentially amend the </w:t>
      </w:r>
      <w:r>
        <w:rPr>
          <w:i/>
          <w:snapToGrid w:val="0"/>
        </w:rPr>
        <w:t>Mining Act 1978</w:t>
      </w:r>
      <w:r>
        <w:rPr>
          <w:snapToGrid w:val="0"/>
        </w:rPr>
        <w:t>.</w:t>
      </w:r>
    </w:p>
    <w:p>
      <w:pPr>
        <w:pStyle w:val="AssentNote"/>
      </w:pPr>
      <w:r>
        <w:t>[Assented to 2 November 2015]</w:t>
      </w:r>
    </w:p>
    <w:p>
      <w:pPr>
        <w:pStyle w:val="Enactment"/>
        <w:suppressLineNumbers/>
        <w:spacing w:before="0"/>
      </w:pPr>
      <w:r>
        <w:rPr>
          <w:snapToGrid w:val="0"/>
        </w:rPr>
        <w:t>The Parliament of Western Australia enacts as follows:</w:t>
      </w:r>
    </w:p>
    <w:p>
      <w:pPr>
        <w:sectPr>
          <w:headerReference w:type="even" r:id="rId23"/>
          <w:headerReference w:type="default" r:id="rId24"/>
          <w:footerReference w:type="even" r:id="rId25"/>
          <w:footerReference w:type="default" r:id="rId26"/>
          <w:endnotePr>
            <w:numFmt w:val="decimal"/>
          </w:endnotePr>
          <w:type w:val="oddPage"/>
          <w:pgSz w:w="11907" w:h="16840" w:code="9"/>
          <w:pgMar w:top="2381" w:right="2410" w:bottom="3544" w:left="2410" w:header="720" w:footer="3544" w:gutter="0"/>
          <w:pgNumType w:start="1"/>
          <w:cols w:space="720"/>
          <w:noEndnote/>
          <w:titlePg/>
          <w:docGrid w:linePitch="326"/>
        </w:sectPr>
      </w:pPr>
    </w:p>
    <w:p>
      <w:pPr>
        <w:pStyle w:val="Heading2"/>
      </w:pPr>
      <w:bookmarkStart w:id="4" w:name="_Toc412535424"/>
      <w:bookmarkStart w:id="5" w:name="_Toc412535446"/>
      <w:bookmarkStart w:id="6" w:name="_Toc412535592"/>
      <w:bookmarkStart w:id="7" w:name="_Toc412817917"/>
      <w:bookmarkStart w:id="8" w:name="_Toc412817967"/>
      <w:bookmarkStart w:id="9" w:name="_Toc412817989"/>
      <w:bookmarkStart w:id="10" w:name="_Toc412819559"/>
      <w:bookmarkStart w:id="11" w:name="_Toc413138380"/>
      <w:bookmarkStart w:id="12" w:name="_Toc413170408"/>
      <w:bookmarkStart w:id="13" w:name="_Toc413236600"/>
      <w:bookmarkStart w:id="14" w:name="_Toc413396013"/>
      <w:bookmarkStart w:id="15" w:name="_Toc433186850"/>
      <w:bookmarkStart w:id="16" w:name="_Toc433187118"/>
      <w:bookmarkStart w:id="17" w:name="_Toc434319502"/>
      <w:bookmarkStart w:id="18" w:name="_Toc434319524"/>
      <w:bookmarkStart w:id="19" w:name="_Toc434319574"/>
      <w:bookmarkStart w:id="20" w:name="_Toc434324269"/>
      <w:bookmarkStart w:id="21" w:name="_Toc434324365"/>
      <w:r>
        <w:rPr>
          <w:rStyle w:val="CharPartNo"/>
        </w:rPr>
        <w:t>Part 1</w:t>
      </w:r>
      <w:r>
        <w:rPr>
          <w:rStyle w:val="CharDivNo"/>
        </w:rPr>
        <w:t> </w:t>
      </w:r>
      <w:r>
        <w:t>—</w:t>
      </w:r>
      <w:r>
        <w:rPr>
          <w:rStyle w:val="CharDivText"/>
        </w:rPr>
        <w:t> </w:t>
      </w:r>
      <w:r>
        <w:rPr>
          <w:rStyle w:val="CharPartText"/>
        </w:rPr>
        <w:t>Preliminary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pPr>
        <w:pStyle w:val="Heading5"/>
      </w:pPr>
      <w:bookmarkStart w:id="22" w:name="_Toc412535593"/>
      <w:bookmarkStart w:id="23" w:name="_Toc433187119"/>
      <w:bookmarkStart w:id="24" w:name="_Toc434319575"/>
      <w:bookmarkStart w:id="25" w:name="_Toc434324366"/>
      <w:r>
        <w:rPr>
          <w:rStyle w:val="CharSectno"/>
        </w:rPr>
        <w:t>1</w:t>
      </w:r>
      <w:r>
        <w:t>.</w:t>
      </w:r>
      <w:r>
        <w:tab/>
      </w:r>
      <w:r>
        <w:rPr>
          <w:snapToGrid w:val="0"/>
        </w:rPr>
        <w:t>Short title</w:t>
      </w:r>
      <w:bookmarkEnd w:id="22"/>
      <w:bookmarkEnd w:id="23"/>
      <w:bookmarkEnd w:id="24"/>
      <w:bookmarkEnd w:id="25"/>
    </w:p>
    <w:p>
      <w:pPr>
        <w:pStyle w:val="Subsection"/>
      </w:pPr>
      <w:r>
        <w:tab/>
      </w:r>
      <w:r>
        <w:tab/>
        <w:t>This</w:t>
      </w:r>
      <w:r>
        <w:rPr>
          <w:snapToGrid w:val="0"/>
        </w:rPr>
        <w:t xml:space="preserve"> is the</w:t>
      </w:r>
      <w:r>
        <w:rPr>
          <w:i/>
          <w:snapToGrid w:val="0"/>
        </w:rPr>
        <w:t xml:space="preserve"> Alumina Refinery (Mitchell Plateau) Agreement (Termination) Act 2015</w:t>
      </w:r>
      <w:r>
        <w:rPr>
          <w:snapToGrid w:val="0"/>
        </w:rPr>
        <w:t>.</w:t>
      </w:r>
    </w:p>
    <w:p>
      <w:pPr>
        <w:pStyle w:val="Heading5"/>
        <w:rPr>
          <w:snapToGrid w:val="0"/>
        </w:rPr>
      </w:pPr>
      <w:bookmarkStart w:id="26" w:name="_Toc412535594"/>
      <w:bookmarkStart w:id="27" w:name="_Toc433187120"/>
      <w:bookmarkStart w:id="28" w:name="_Toc434319576"/>
      <w:bookmarkStart w:id="29" w:name="_Toc434324367"/>
      <w:r>
        <w:rPr>
          <w:rStyle w:val="CharSectno"/>
        </w:rPr>
        <w:t>2</w:t>
      </w:r>
      <w:r>
        <w:rPr>
          <w:snapToGrid w:val="0"/>
        </w:rPr>
        <w:t>.</w:t>
      </w:r>
      <w:r>
        <w:rPr>
          <w:snapToGrid w:val="0"/>
        </w:rPr>
        <w:tab/>
      </w:r>
      <w:r>
        <w:t>Commencement</w:t>
      </w:r>
      <w:bookmarkEnd w:id="26"/>
      <w:bookmarkEnd w:id="27"/>
      <w:bookmarkEnd w:id="28"/>
      <w:bookmarkEnd w:id="29"/>
    </w:p>
    <w:p>
      <w:pPr>
        <w:pStyle w:val="Subsection"/>
        <w:rPr>
          <w:spacing w:val="-2"/>
        </w:rPr>
      </w:pPr>
      <w:r>
        <w:tab/>
      </w:r>
      <w:r>
        <w:tab/>
        <w:t xml:space="preserve">This Act </w:t>
      </w:r>
      <w:r>
        <w:rPr>
          <w:spacing w:val="-2"/>
        </w:rPr>
        <w:t xml:space="preserve">comes into </w:t>
      </w:r>
      <w:r>
        <w:t>operation</w:t>
      </w:r>
      <w:r>
        <w:rPr>
          <w:spacing w:val="-2"/>
        </w:rPr>
        <w:t xml:space="preserve"> as follows</w:t>
      </w:r>
      <w:r>
        <w:t> —</w:t>
      </w:r>
    </w:p>
    <w:p>
      <w:pPr>
        <w:pStyle w:val="Indenta"/>
      </w:pPr>
      <w:r>
        <w:tab/>
        <w:t>(a)</w:t>
      </w:r>
      <w:r>
        <w:tab/>
        <w:t>Part 1 — on the day on which this Act receives the Royal Assent;</w:t>
      </w:r>
    </w:p>
    <w:p>
      <w:pPr>
        <w:pStyle w:val="Indenta"/>
      </w:pPr>
      <w:r>
        <w:tab/>
        <w:t>(b)</w:t>
      </w:r>
      <w:r>
        <w:tab/>
        <w:t>the rest of the Act — on the day after that day.</w:t>
      </w:r>
    </w:p>
    <w:p>
      <w:pPr>
        <w:pStyle w:val="Heading2"/>
      </w:pPr>
      <w:bookmarkStart w:id="30" w:name="_Toc412535427"/>
      <w:bookmarkStart w:id="31" w:name="_Toc412535449"/>
      <w:bookmarkStart w:id="32" w:name="_Toc412535595"/>
      <w:bookmarkStart w:id="33" w:name="_Toc412817920"/>
      <w:bookmarkStart w:id="34" w:name="_Toc412817970"/>
      <w:bookmarkStart w:id="35" w:name="_Toc412817992"/>
      <w:bookmarkStart w:id="36" w:name="_Toc412819562"/>
      <w:bookmarkStart w:id="37" w:name="_Toc413138383"/>
      <w:bookmarkStart w:id="38" w:name="_Toc413170411"/>
      <w:bookmarkStart w:id="39" w:name="_Toc413236603"/>
      <w:bookmarkStart w:id="40" w:name="_Toc413396016"/>
      <w:bookmarkStart w:id="41" w:name="_Toc433186853"/>
      <w:bookmarkStart w:id="42" w:name="_Toc433187121"/>
      <w:bookmarkStart w:id="43" w:name="_Toc434319505"/>
      <w:bookmarkStart w:id="44" w:name="_Toc434319527"/>
      <w:bookmarkStart w:id="45" w:name="_Toc434319577"/>
      <w:bookmarkStart w:id="46" w:name="_Toc434324272"/>
      <w:bookmarkStart w:id="47" w:name="_Toc434324368"/>
      <w:r>
        <w:rPr>
          <w:rStyle w:val="CharPartNo"/>
        </w:rPr>
        <w:t>Part 2</w:t>
      </w:r>
      <w:r>
        <w:rPr>
          <w:rStyle w:val="CharDivNo"/>
        </w:rPr>
        <w:t> </w:t>
      </w:r>
      <w:r>
        <w:t>—</w:t>
      </w:r>
      <w:r>
        <w:rPr>
          <w:rStyle w:val="CharDivText"/>
        </w:rPr>
        <w:t> </w:t>
      </w:r>
      <w:r>
        <w:rPr>
          <w:rStyle w:val="CharPartText"/>
          <w:i/>
        </w:rPr>
        <w:t>Alumina Refinery (Mitchell Plateau) Agreement Act 1971</w:t>
      </w:r>
      <w:r>
        <w:rPr>
          <w:rStyle w:val="CharPartText"/>
        </w:rPr>
        <w:t xml:space="preserve"> amended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pPr>
        <w:pStyle w:val="Heading5"/>
        <w:rPr>
          <w:snapToGrid w:val="0"/>
        </w:rPr>
      </w:pPr>
      <w:bookmarkStart w:id="48" w:name="_Toc412535596"/>
      <w:bookmarkStart w:id="49" w:name="_Toc433187122"/>
      <w:bookmarkStart w:id="50" w:name="_Toc434319578"/>
      <w:bookmarkStart w:id="51" w:name="_Toc434324369"/>
      <w:r>
        <w:rPr>
          <w:rStyle w:val="CharSectno"/>
        </w:rPr>
        <w:t>3</w:t>
      </w:r>
      <w:r>
        <w:rPr>
          <w:snapToGrid w:val="0"/>
        </w:rPr>
        <w:t>.</w:t>
      </w:r>
      <w:r>
        <w:rPr>
          <w:snapToGrid w:val="0"/>
        </w:rPr>
        <w:tab/>
        <w:t>Act amended</w:t>
      </w:r>
      <w:bookmarkEnd w:id="48"/>
      <w:bookmarkEnd w:id="49"/>
      <w:bookmarkEnd w:id="50"/>
      <w:bookmarkEnd w:id="51"/>
    </w:p>
    <w:p>
      <w:pPr>
        <w:pStyle w:val="Subsection"/>
      </w:pPr>
      <w:r>
        <w:tab/>
      </w:r>
      <w:r>
        <w:tab/>
        <w:t xml:space="preserve">This Part amends the </w:t>
      </w:r>
      <w:r>
        <w:rPr>
          <w:i/>
        </w:rPr>
        <w:t>Alumina Refinery (Mitchell Plateau) Agreement Act 1971</w:t>
      </w:r>
      <w:r>
        <w:t>.</w:t>
      </w:r>
    </w:p>
    <w:p>
      <w:pPr>
        <w:pStyle w:val="Heading5"/>
      </w:pPr>
      <w:bookmarkStart w:id="52" w:name="_Toc412535597"/>
      <w:bookmarkStart w:id="53" w:name="_Toc433187123"/>
      <w:bookmarkStart w:id="54" w:name="_Toc434319579"/>
      <w:bookmarkStart w:id="55" w:name="_Toc434324370"/>
      <w:r>
        <w:rPr>
          <w:rStyle w:val="CharSectno"/>
        </w:rPr>
        <w:t>4</w:t>
      </w:r>
      <w:r>
        <w:t>.</w:t>
      </w:r>
      <w:r>
        <w:tab/>
        <w:t>Long title amended</w:t>
      </w:r>
      <w:bookmarkEnd w:id="52"/>
      <w:bookmarkEnd w:id="53"/>
      <w:bookmarkEnd w:id="54"/>
      <w:bookmarkEnd w:id="55"/>
    </w:p>
    <w:p>
      <w:pPr>
        <w:pStyle w:val="Subsection"/>
      </w:pPr>
      <w:r>
        <w:tab/>
      </w:r>
      <w:r>
        <w:tab/>
        <w:t>In the long title delete “</w:t>
      </w:r>
      <w:r>
        <w:rPr>
          <w:b/>
        </w:rPr>
        <w:t>effect;</w:t>
      </w:r>
      <w:r>
        <w:t>” and insert:</w:t>
      </w:r>
    </w:p>
    <w:p>
      <w:pPr>
        <w:pStyle w:val="BlankOpen"/>
      </w:pPr>
    </w:p>
    <w:p>
      <w:pPr>
        <w:pStyle w:val="Subsection"/>
        <w:rPr>
          <w:b/>
        </w:rPr>
      </w:pPr>
      <w:r>
        <w:tab/>
      </w:r>
      <w:r>
        <w:tab/>
      </w:r>
      <w:r>
        <w:rPr>
          <w:b/>
        </w:rPr>
        <w:t>effect, to ratify a further agreement for the termination of the Agreement,</w:t>
      </w:r>
    </w:p>
    <w:p>
      <w:pPr>
        <w:pStyle w:val="BlankClose"/>
      </w:pPr>
    </w:p>
    <w:p>
      <w:pPr>
        <w:pStyle w:val="Heading5"/>
      </w:pPr>
      <w:bookmarkStart w:id="56" w:name="_Toc412535598"/>
      <w:bookmarkStart w:id="57" w:name="_Toc433187124"/>
      <w:bookmarkStart w:id="58" w:name="_Toc434319580"/>
      <w:bookmarkStart w:id="59" w:name="_Toc434324371"/>
      <w:r>
        <w:rPr>
          <w:rStyle w:val="CharSectno"/>
        </w:rPr>
        <w:t>5</w:t>
      </w:r>
      <w:r>
        <w:t>.</w:t>
      </w:r>
      <w:r>
        <w:tab/>
        <w:t>Section 2 amended</w:t>
      </w:r>
      <w:bookmarkEnd w:id="56"/>
      <w:bookmarkEnd w:id="57"/>
      <w:bookmarkEnd w:id="58"/>
      <w:bookmarkEnd w:id="59"/>
    </w:p>
    <w:p>
      <w:pPr>
        <w:pStyle w:val="Subsection"/>
      </w:pPr>
      <w:r>
        <w:tab/>
      </w:r>
      <w:r>
        <w:tab/>
        <w:t>In section 2 insert in alphabetical order:</w:t>
      </w:r>
    </w:p>
    <w:p>
      <w:pPr>
        <w:pStyle w:val="BlankOpen"/>
      </w:pPr>
    </w:p>
    <w:p>
      <w:pPr>
        <w:pStyle w:val="zDefstart"/>
      </w:pPr>
      <w:r>
        <w:tab/>
      </w:r>
      <w:r>
        <w:rPr>
          <w:rStyle w:val="CharDefText"/>
        </w:rPr>
        <w:t>Mitchell Plateau area</w:t>
      </w:r>
      <w:r>
        <w:t xml:space="preserve"> has the meaning given in the Fifth Schedule clause 1;</w:t>
      </w:r>
    </w:p>
    <w:p>
      <w:pPr>
        <w:pStyle w:val="zDefstart"/>
      </w:pPr>
      <w:r>
        <w:tab/>
      </w:r>
      <w:r>
        <w:rPr>
          <w:rStyle w:val="CharDefText"/>
        </w:rPr>
        <w:t>pending application</w:t>
      </w:r>
      <w:r>
        <w:t xml:space="preserve"> means a tenement application made, but not determined, under the </w:t>
      </w:r>
      <w:r>
        <w:rPr>
          <w:i/>
        </w:rPr>
        <w:t>Mining Act 1978</w:t>
      </w:r>
      <w:r>
        <w:t xml:space="preserve"> before the day on which the </w:t>
      </w:r>
      <w:r>
        <w:rPr>
          <w:i/>
        </w:rPr>
        <w:t>Alumina Refinery (Mitchell Plateau) Agreement (Termination) Act 2015</w:t>
      </w:r>
      <w:r>
        <w:t xml:space="preserve"> section 6 comes into operation;</w:t>
      </w:r>
    </w:p>
    <w:p>
      <w:pPr>
        <w:pStyle w:val="zDefstart"/>
      </w:pPr>
      <w:r>
        <w:tab/>
      </w:r>
      <w:r>
        <w:rPr>
          <w:rStyle w:val="CharDefText"/>
        </w:rPr>
        <w:t>Temporary Reserve 5610H</w:t>
      </w:r>
      <w:r>
        <w:t xml:space="preserve"> means the reserve of that designation created under the </w:t>
      </w:r>
      <w:r>
        <w:rPr>
          <w:i/>
        </w:rPr>
        <w:t>Mining Act 1904</w:t>
      </w:r>
      <w:r>
        <w:t xml:space="preserve"> and continued under the </w:t>
      </w:r>
      <w:r>
        <w:rPr>
          <w:i/>
        </w:rPr>
        <w:t>Mining Act 1978</w:t>
      </w:r>
      <w:r>
        <w:t>;</w:t>
      </w:r>
    </w:p>
    <w:p>
      <w:pPr>
        <w:pStyle w:val="zDefstart"/>
      </w:pPr>
      <w:r>
        <w:tab/>
      </w:r>
      <w:r>
        <w:rPr>
          <w:rStyle w:val="CharDefText"/>
        </w:rPr>
        <w:t>tenement application</w:t>
      </w:r>
      <w:r>
        <w:t xml:space="preserve"> means an application for a mining tenement under the </w:t>
      </w:r>
      <w:r>
        <w:rPr>
          <w:i/>
        </w:rPr>
        <w:t>Mining Act 1978</w:t>
      </w:r>
      <w:r>
        <w:t>;</w:t>
      </w:r>
    </w:p>
    <w:p>
      <w:pPr>
        <w:pStyle w:val="zDefstart"/>
      </w:pPr>
      <w:r>
        <w:tab/>
      </w:r>
      <w:r>
        <w:rPr>
          <w:rStyle w:val="CharDefText"/>
        </w:rPr>
        <w:t>termination agreement</w:t>
      </w:r>
      <w:r>
        <w:t xml:space="preserve"> means the agreement a copy of which is set out in the Fourth Schedule;</w:t>
      </w:r>
    </w:p>
    <w:p>
      <w:pPr>
        <w:pStyle w:val="BlankClose"/>
      </w:pPr>
    </w:p>
    <w:p>
      <w:pPr>
        <w:pStyle w:val="Heading5"/>
      </w:pPr>
      <w:bookmarkStart w:id="60" w:name="_Toc412535599"/>
      <w:bookmarkStart w:id="61" w:name="_Toc433187125"/>
      <w:bookmarkStart w:id="62" w:name="_Toc434319581"/>
      <w:bookmarkStart w:id="63" w:name="_Toc434324372"/>
      <w:r>
        <w:rPr>
          <w:rStyle w:val="CharSectno"/>
        </w:rPr>
        <w:t>6</w:t>
      </w:r>
      <w:r>
        <w:t>.</w:t>
      </w:r>
      <w:r>
        <w:tab/>
        <w:t>Section 4 replaced</w:t>
      </w:r>
      <w:bookmarkEnd w:id="60"/>
      <w:bookmarkEnd w:id="61"/>
      <w:bookmarkEnd w:id="62"/>
      <w:bookmarkEnd w:id="63"/>
    </w:p>
    <w:p>
      <w:pPr>
        <w:pStyle w:val="Subsection"/>
      </w:pPr>
      <w:r>
        <w:tab/>
      </w:r>
      <w:r>
        <w:tab/>
        <w:t>Delete section 4 and insert:</w:t>
      </w:r>
    </w:p>
    <w:p>
      <w:pPr>
        <w:pStyle w:val="BlankOpen"/>
      </w:pPr>
    </w:p>
    <w:p>
      <w:pPr>
        <w:pStyle w:val="zHeading5"/>
      </w:pPr>
      <w:bookmarkStart w:id="64" w:name="_Toc412535600"/>
      <w:bookmarkStart w:id="65" w:name="_Toc433187126"/>
      <w:bookmarkStart w:id="66" w:name="_Toc434319582"/>
      <w:bookmarkStart w:id="67" w:name="_Toc434324373"/>
      <w:r>
        <w:t>4.</w:t>
      </w:r>
      <w:r>
        <w:tab/>
        <w:t>Ratification and operation of termination agreement</w:t>
      </w:r>
      <w:bookmarkEnd w:id="64"/>
      <w:bookmarkEnd w:id="65"/>
      <w:bookmarkEnd w:id="66"/>
      <w:bookmarkEnd w:id="67"/>
    </w:p>
    <w:p>
      <w:pPr>
        <w:pStyle w:val="zSubsection"/>
      </w:pPr>
      <w:r>
        <w:tab/>
        <w:t>(1)</w:t>
      </w:r>
      <w:r>
        <w:tab/>
        <w:t>The termination agreement is ratified.</w:t>
      </w:r>
    </w:p>
    <w:p>
      <w:pPr>
        <w:pStyle w:val="zSubsection"/>
      </w:pPr>
      <w:r>
        <w:tab/>
        <w:t>(2)</w:t>
      </w:r>
      <w:r>
        <w:tab/>
        <w:t xml:space="preserve">Without limiting or otherwise affecting the operation of the </w:t>
      </w:r>
      <w:r>
        <w:rPr>
          <w:i/>
        </w:rPr>
        <w:t>Government Agreements Act 1979</w:t>
      </w:r>
      <w:r>
        <w:t>, the termination agreement is to operate and take effect despite any other Act or law.</w:t>
      </w:r>
    </w:p>
    <w:p>
      <w:pPr>
        <w:pStyle w:val="zHeading5"/>
      </w:pPr>
      <w:bookmarkStart w:id="68" w:name="_Toc412535601"/>
      <w:bookmarkStart w:id="69" w:name="_Toc433187127"/>
      <w:bookmarkStart w:id="70" w:name="_Toc434319583"/>
      <w:bookmarkStart w:id="71" w:name="_Toc434324374"/>
      <w:r>
        <w:t>5A.</w:t>
      </w:r>
      <w:r>
        <w:tab/>
        <w:t>Cancellation of Temporary Reserve 5610H</w:t>
      </w:r>
      <w:bookmarkEnd w:id="68"/>
      <w:bookmarkEnd w:id="69"/>
      <w:bookmarkEnd w:id="70"/>
      <w:bookmarkEnd w:id="71"/>
    </w:p>
    <w:p>
      <w:pPr>
        <w:pStyle w:val="zSubsection"/>
      </w:pPr>
      <w:r>
        <w:tab/>
      </w:r>
      <w:r>
        <w:tab/>
        <w:t>Temporary Reserve 5610H is cancelled by force of this section.</w:t>
      </w:r>
    </w:p>
    <w:p>
      <w:pPr>
        <w:pStyle w:val="zHeading5"/>
      </w:pPr>
      <w:bookmarkStart w:id="72" w:name="_Toc412535602"/>
      <w:bookmarkStart w:id="73" w:name="_Toc433187128"/>
      <w:bookmarkStart w:id="74" w:name="_Toc434319584"/>
      <w:bookmarkStart w:id="75" w:name="_Toc434324375"/>
      <w:r>
        <w:t>5B.</w:t>
      </w:r>
      <w:r>
        <w:tab/>
        <w:t>Termination of pending applications in respect of Mitchell Plateau area</w:t>
      </w:r>
      <w:bookmarkEnd w:id="72"/>
      <w:bookmarkEnd w:id="73"/>
      <w:bookmarkEnd w:id="74"/>
      <w:bookmarkEnd w:id="75"/>
    </w:p>
    <w:p>
      <w:pPr>
        <w:pStyle w:val="zSubsection"/>
      </w:pPr>
      <w:r>
        <w:tab/>
        <w:t>(1)</w:t>
      </w:r>
      <w:r>
        <w:tab/>
        <w:t>Each pending application in respect of land wholly or partly within the Mitchell Plateau area is terminated by force of this section.</w:t>
      </w:r>
    </w:p>
    <w:p>
      <w:pPr>
        <w:pStyle w:val="zSubsection"/>
      </w:pPr>
      <w:r>
        <w:tab/>
        <w:t>(2)</w:t>
      </w:r>
      <w:r>
        <w:tab/>
        <w:t>No action, claim or demand lies against the State, the Minister or any other person in respect of any matter or thing arising from the termination of a pending application under this section.</w:t>
      </w:r>
    </w:p>
    <w:p>
      <w:pPr>
        <w:pStyle w:val="zHeading5"/>
      </w:pPr>
      <w:bookmarkStart w:id="76" w:name="_Toc412535603"/>
      <w:bookmarkStart w:id="77" w:name="_Toc433187129"/>
      <w:bookmarkStart w:id="78" w:name="_Toc434319585"/>
      <w:bookmarkStart w:id="79" w:name="_Toc434324376"/>
      <w:r>
        <w:t>5C.</w:t>
      </w:r>
      <w:r>
        <w:tab/>
        <w:t>Temporary prohibition on tenement applications in respect of Mitchell Plateau area</w:t>
      </w:r>
      <w:bookmarkEnd w:id="76"/>
      <w:bookmarkEnd w:id="77"/>
      <w:bookmarkEnd w:id="78"/>
      <w:bookmarkEnd w:id="79"/>
    </w:p>
    <w:p>
      <w:pPr>
        <w:pStyle w:val="zSubsection"/>
      </w:pPr>
      <w:r>
        <w:tab/>
        <w:t>(1)</w:t>
      </w:r>
      <w:r>
        <w:tab/>
        <w:t xml:space="preserve">In this section — </w:t>
      </w:r>
    </w:p>
    <w:p>
      <w:pPr>
        <w:pStyle w:val="zDefstart"/>
      </w:pPr>
      <w:r>
        <w:tab/>
      </w:r>
      <w:r>
        <w:rPr>
          <w:rStyle w:val="CharDefText"/>
        </w:rPr>
        <w:t>relevant area</w:t>
      </w:r>
      <w:r>
        <w:t xml:space="preserve"> means the Mitchell Plateau area or that area modified to the extent necessary to reflect any changes to the boundaries of land contiguous to that area resulting from survey or cadastral information.</w:t>
      </w:r>
    </w:p>
    <w:p>
      <w:pPr>
        <w:pStyle w:val="zSubsection"/>
      </w:pPr>
      <w:r>
        <w:tab/>
        <w:t>(2)</w:t>
      </w:r>
      <w:r>
        <w:tab/>
        <w:t xml:space="preserve">Despite anything in the </w:t>
      </w:r>
      <w:r>
        <w:rPr>
          <w:i/>
        </w:rPr>
        <w:t>Mining Act 1978</w:t>
      </w:r>
      <w:r>
        <w:t>, a tenement application cannot be made during the designated period in respect of land wholly or partly within the Mitchell Plateau area.</w:t>
      </w:r>
    </w:p>
    <w:p>
      <w:pPr>
        <w:pStyle w:val="zSubsection"/>
      </w:pPr>
      <w:r>
        <w:tab/>
        <w:t>(3)</w:t>
      </w:r>
      <w:r>
        <w:tab/>
        <w:t xml:space="preserve">For the purposes of subsection (2), the designated period is the period — </w:t>
      </w:r>
    </w:p>
    <w:p>
      <w:pPr>
        <w:pStyle w:val="zIndenta"/>
      </w:pPr>
      <w:r>
        <w:tab/>
        <w:t>(a)</w:t>
      </w:r>
      <w:r>
        <w:tab/>
        <w:t xml:space="preserve">beginning on the day on which the </w:t>
      </w:r>
      <w:r>
        <w:rPr>
          <w:i/>
        </w:rPr>
        <w:t>Alumina Refinery (Mitchell Plateau) Agreement (Termination) Act 2015</w:t>
      </w:r>
      <w:r>
        <w:t xml:space="preserve"> section 6 comes into operation; and</w:t>
      </w:r>
    </w:p>
    <w:p>
      <w:pPr>
        <w:pStyle w:val="zIndenta"/>
      </w:pPr>
      <w:r>
        <w:tab/>
        <w:t>(b)</w:t>
      </w:r>
      <w:r>
        <w:tab/>
        <w:t>ending on the day fixed under subsection (4).</w:t>
      </w:r>
    </w:p>
    <w:p>
      <w:pPr>
        <w:pStyle w:val="zSubsection"/>
      </w:pPr>
      <w:r>
        <w:tab/>
        <w:t>(4)</w:t>
      </w:r>
      <w:r>
        <w:tab/>
        <w:t xml:space="preserve">When the Minister is satisfied that the relevant area has been reserved under the </w:t>
      </w:r>
      <w:r>
        <w:rPr>
          <w:i/>
        </w:rPr>
        <w:t>Land Administration Act 1997</w:t>
      </w:r>
      <w:r>
        <w:t xml:space="preserve"> Part 4 for the purposes of a national park and classified as a class A reserve under that Part, the Minister must, by notice published in the </w:t>
      </w:r>
      <w:r>
        <w:rPr>
          <w:i/>
        </w:rPr>
        <w:t>Gazette</w:t>
      </w:r>
      <w:r>
        <w:t>, fix a day for the purposes of subsection (3)(b).</w:t>
      </w:r>
    </w:p>
    <w:p>
      <w:pPr>
        <w:pStyle w:val="zSubsection"/>
      </w:pPr>
      <w:r>
        <w:tab/>
        <w:t>(5)</w:t>
      </w:r>
      <w:r>
        <w:tab/>
        <w:t xml:space="preserve">The day fixed must be the day after the day on which the notice is published in the </w:t>
      </w:r>
      <w:r>
        <w:rPr>
          <w:i/>
        </w:rPr>
        <w:t>Gazette</w:t>
      </w:r>
      <w:r>
        <w:t>.</w:t>
      </w:r>
    </w:p>
    <w:p>
      <w:pPr>
        <w:pStyle w:val="BlankClose"/>
      </w:pPr>
    </w:p>
    <w:p>
      <w:pPr>
        <w:pStyle w:val="Heading5"/>
        <w:pageBreakBefore/>
      </w:pPr>
      <w:bookmarkStart w:id="80" w:name="_Toc412535604"/>
      <w:bookmarkStart w:id="81" w:name="_Toc433187130"/>
      <w:bookmarkStart w:id="82" w:name="_Toc434319586"/>
      <w:bookmarkStart w:id="83" w:name="_Toc434324377"/>
      <w:r>
        <w:rPr>
          <w:rStyle w:val="CharSectno"/>
        </w:rPr>
        <w:t>7</w:t>
      </w:r>
      <w:r>
        <w:t>.</w:t>
      </w:r>
      <w:r>
        <w:tab/>
        <w:t>Fourth and Fifth Schedules inserted</w:t>
      </w:r>
      <w:bookmarkEnd w:id="80"/>
      <w:bookmarkEnd w:id="81"/>
      <w:bookmarkEnd w:id="82"/>
      <w:bookmarkEnd w:id="83"/>
    </w:p>
    <w:p>
      <w:pPr>
        <w:pStyle w:val="Subsection"/>
        <w:keepNext/>
      </w:pPr>
      <w:r>
        <w:tab/>
      </w:r>
      <w:r>
        <w:tab/>
        <w:t>After the Third Schedule insert:</w:t>
      </w:r>
    </w:p>
    <w:p>
      <w:pPr>
        <w:pStyle w:val="BlankOpen"/>
      </w:pPr>
    </w:p>
    <w:p>
      <w:pPr>
        <w:pStyle w:val="zyHeading2"/>
      </w:pPr>
      <w:bookmarkStart w:id="84" w:name="_Toc412535437"/>
      <w:bookmarkStart w:id="85" w:name="_Toc412535459"/>
      <w:bookmarkStart w:id="86" w:name="_Toc412535605"/>
      <w:bookmarkStart w:id="87" w:name="_Toc412817930"/>
      <w:bookmarkStart w:id="88" w:name="_Toc412817980"/>
      <w:bookmarkStart w:id="89" w:name="_Toc412818002"/>
      <w:bookmarkStart w:id="90" w:name="_Toc412819572"/>
      <w:bookmarkStart w:id="91" w:name="_Toc413138393"/>
      <w:bookmarkStart w:id="92" w:name="_Toc413170421"/>
      <w:bookmarkStart w:id="93" w:name="_Toc413236613"/>
      <w:bookmarkStart w:id="94" w:name="_Toc413396026"/>
      <w:bookmarkStart w:id="95" w:name="_Toc433186863"/>
      <w:bookmarkStart w:id="96" w:name="_Toc433187131"/>
      <w:bookmarkStart w:id="97" w:name="_Toc434319515"/>
      <w:bookmarkStart w:id="98" w:name="_Toc434319537"/>
      <w:bookmarkStart w:id="99" w:name="_Toc434319587"/>
      <w:bookmarkStart w:id="100" w:name="_Toc434324282"/>
      <w:bookmarkStart w:id="101" w:name="_Toc434324378"/>
      <w:r>
        <w:t>Fourth Schedule — Termination agreement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pPr>
        <w:pStyle w:val="zyShoulderClause"/>
        <w:keepNext/>
      </w:pPr>
      <w:r>
        <w:t>[s. 2]</w:t>
      </w:r>
    </w:p>
    <w:p>
      <w:pPr>
        <w:pStyle w:val="zyMiscellaneousBody"/>
        <w:keepNext/>
        <w:spacing w:before="0"/>
        <w:ind w:left="284" w:right="0"/>
        <w:jc w:val="center"/>
        <w:rPr>
          <w:b/>
        </w:rPr>
      </w:pPr>
      <w:r>
        <w:rPr>
          <w:b/>
        </w:rPr>
        <w:t>2015</w:t>
      </w:r>
    </w:p>
    <w:p>
      <w:pPr>
        <w:pStyle w:val="zyMiscellaneousBody"/>
        <w:keepNext/>
        <w:spacing w:before="0"/>
        <w:ind w:left="284" w:right="0"/>
        <w:jc w:val="center"/>
        <w:rPr>
          <w:b/>
        </w:rPr>
      </w:pPr>
    </w:p>
    <w:p>
      <w:pPr>
        <w:pStyle w:val="zyMiscellaneousBody"/>
        <w:keepNext/>
        <w:spacing w:before="240"/>
        <w:ind w:left="284" w:right="0"/>
        <w:jc w:val="center"/>
        <w:rPr>
          <w:b/>
        </w:rPr>
      </w:pPr>
      <w:r>
        <w:rPr>
          <w:b/>
        </w:rPr>
        <w:t>THE HONOURABLE COLIN JAMES BARNETT</w:t>
      </w:r>
    </w:p>
    <w:p>
      <w:pPr>
        <w:pStyle w:val="zyMiscellaneousBody"/>
        <w:keepNext/>
        <w:spacing w:before="0"/>
        <w:ind w:left="284" w:right="0"/>
        <w:jc w:val="center"/>
        <w:rPr>
          <w:b/>
        </w:rPr>
      </w:pPr>
      <w:r>
        <w:rPr>
          <w:b/>
        </w:rPr>
        <w:t>PREMIER OF THE STATE OF WESTERN AUSTRALIA</w:t>
      </w:r>
    </w:p>
    <w:p>
      <w:pPr>
        <w:pStyle w:val="zyMiscellaneousBody"/>
        <w:keepNext/>
        <w:spacing w:before="0"/>
        <w:ind w:left="284" w:right="0"/>
        <w:jc w:val="center"/>
        <w:rPr>
          <w:b/>
        </w:rPr>
      </w:pPr>
    </w:p>
    <w:p>
      <w:pPr>
        <w:pStyle w:val="zyMiscellaneousBody"/>
        <w:keepNext/>
        <w:spacing w:before="240"/>
        <w:ind w:left="284" w:right="0"/>
        <w:jc w:val="center"/>
        <w:rPr>
          <w:b/>
        </w:rPr>
      </w:pPr>
      <w:r>
        <w:rPr>
          <w:b/>
        </w:rPr>
        <w:t>AND</w:t>
      </w:r>
    </w:p>
    <w:p>
      <w:pPr>
        <w:pStyle w:val="zyMiscellaneousBody"/>
        <w:keepNext/>
        <w:spacing w:before="240"/>
        <w:ind w:left="284" w:right="0"/>
        <w:jc w:val="center"/>
        <w:rPr>
          <w:b/>
        </w:rPr>
      </w:pPr>
    </w:p>
    <w:p>
      <w:pPr>
        <w:pStyle w:val="zyMiscellaneousBody"/>
        <w:spacing w:before="240"/>
        <w:ind w:left="284" w:right="0"/>
        <w:jc w:val="center"/>
        <w:rPr>
          <w:b/>
        </w:rPr>
      </w:pPr>
      <w:r>
        <w:rPr>
          <w:b/>
        </w:rPr>
        <w:t>MITCHELL PLATEAU BAUXITE CO. PTY. LIMITED</w:t>
      </w:r>
      <w:r>
        <w:rPr>
          <w:b/>
        </w:rPr>
        <w:br/>
        <w:t>ACN 008 545 499</w:t>
      </w:r>
    </w:p>
    <w:p>
      <w:pPr>
        <w:pStyle w:val="zyMiscellaneousBody"/>
        <w:spacing w:before="240"/>
        <w:ind w:left="284" w:right="0"/>
        <w:jc w:val="center"/>
        <w:rPr>
          <w:b/>
        </w:rPr>
      </w:pPr>
    </w:p>
    <w:p>
      <w:pPr>
        <w:pStyle w:val="zyMiscellaneousBody"/>
        <w:spacing w:before="240"/>
        <w:ind w:left="284" w:right="0"/>
        <w:jc w:val="center"/>
        <w:rPr>
          <w:b/>
        </w:rPr>
      </w:pPr>
      <w:r>
        <w:rPr>
          <w:b/>
        </w:rPr>
        <w:t>ALCOA OF AUSTRALIA LIMITED</w:t>
      </w:r>
    </w:p>
    <w:p>
      <w:pPr>
        <w:pStyle w:val="zyMiscellaneousBody"/>
        <w:spacing w:before="0"/>
        <w:ind w:left="284" w:right="0"/>
        <w:jc w:val="center"/>
        <w:rPr>
          <w:b/>
        </w:rPr>
      </w:pPr>
      <w:r>
        <w:rPr>
          <w:b/>
        </w:rPr>
        <w:t>ACN 004 879 298</w:t>
      </w:r>
    </w:p>
    <w:p>
      <w:pPr>
        <w:pStyle w:val="zyMiscellaneousBody"/>
        <w:spacing w:before="0"/>
        <w:ind w:left="284" w:right="0"/>
        <w:jc w:val="center"/>
        <w:rPr>
          <w:b/>
        </w:rPr>
      </w:pPr>
    </w:p>
    <w:p>
      <w:pPr>
        <w:pStyle w:val="zyMiscellaneousBody"/>
        <w:spacing w:before="0"/>
        <w:ind w:left="284" w:right="0"/>
        <w:jc w:val="center"/>
        <w:rPr>
          <w:b/>
        </w:rPr>
      </w:pPr>
    </w:p>
    <w:p>
      <w:pPr>
        <w:pStyle w:val="zyMiscellaneousBody"/>
        <w:spacing w:before="0"/>
        <w:ind w:left="284" w:right="0"/>
        <w:jc w:val="center"/>
        <w:rPr>
          <w:b/>
        </w:rPr>
      </w:pPr>
    </w:p>
    <w:tbl>
      <w:tblPr>
        <w:tblStyle w:val="TableGrid"/>
        <w:tblW w:w="0" w:type="auto"/>
        <w:tblInd w:w="2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9"/>
      </w:tblGrid>
      <w:tr>
        <w:tc>
          <w:tcPr>
            <w:tcW w:w="7303" w:type="dxa"/>
          </w:tcPr>
          <w:p>
            <w:pPr>
              <w:pStyle w:val="zyMiscellaneousBody"/>
              <w:spacing w:before="0"/>
              <w:ind w:left="0" w:right="0"/>
              <w:jc w:val="center"/>
              <w:rPr>
                <w:b/>
              </w:rPr>
            </w:pPr>
          </w:p>
          <w:p>
            <w:pPr>
              <w:pStyle w:val="zyMiscellaneousBody"/>
              <w:spacing w:before="0"/>
              <w:ind w:left="0" w:right="-234"/>
              <w:rPr>
                <w:b/>
              </w:rPr>
            </w:pPr>
            <w:r>
              <w:rPr>
                <w:b/>
              </w:rPr>
              <w:t>ALUMINA REFINERY (MITCHELL PLATEAU) AGREEMENT 1971</w:t>
            </w:r>
          </w:p>
          <w:p>
            <w:pPr>
              <w:pStyle w:val="zyMiscellaneousBody"/>
              <w:spacing w:before="100"/>
              <w:ind w:left="284" w:right="0"/>
              <w:jc w:val="center"/>
              <w:rPr>
                <w:b/>
              </w:rPr>
            </w:pPr>
            <w:r>
              <w:rPr>
                <w:b/>
              </w:rPr>
              <w:t>TERMINATION AGREEMENT</w:t>
            </w:r>
          </w:p>
          <w:p>
            <w:pPr>
              <w:pStyle w:val="zyMiscellaneousBody"/>
              <w:spacing w:before="0"/>
              <w:ind w:left="0" w:right="0"/>
              <w:jc w:val="center"/>
              <w:rPr>
                <w:b/>
              </w:rPr>
            </w:pPr>
          </w:p>
        </w:tc>
      </w:tr>
    </w:tbl>
    <w:p>
      <w:pPr>
        <w:pStyle w:val="zyMiscellaneousBody"/>
        <w:spacing w:before="0"/>
        <w:ind w:left="284" w:right="0"/>
        <w:jc w:val="center"/>
        <w:rPr>
          <w:b/>
        </w:rPr>
      </w:pPr>
    </w:p>
    <w:p>
      <w:pPr>
        <w:pStyle w:val="zyMiscellaneousBody"/>
        <w:spacing w:before="0"/>
        <w:ind w:left="284" w:right="0"/>
        <w:jc w:val="center"/>
        <w:rPr>
          <w:b/>
        </w:rPr>
      </w:pPr>
    </w:p>
    <w:p>
      <w:pPr>
        <w:pStyle w:val="zyMiscellaneousBody"/>
        <w:spacing w:before="0"/>
        <w:ind w:left="284" w:right="0"/>
        <w:jc w:val="center"/>
        <w:rPr>
          <w:b/>
        </w:rPr>
      </w:pPr>
    </w:p>
    <w:p>
      <w:pPr>
        <w:pStyle w:val="zyMiscellaneousBody"/>
        <w:spacing w:before="0"/>
        <w:ind w:left="284" w:right="0"/>
        <w:jc w:val="center"/>
        <w:rPr>
          <w:b/>
        </w:rPr>
      </w:pPr>
    </w:p>
    <w:p>
      <w:pPr>
        <w:pStyle w:val="zyMiscellaneousBody"/>
        <w:spacing w:before="0"/>
        <w:ind w:left="284" w:right="0"/>
        <w:jc w:val="center"/>
        <w:rPr>
          <w:b/>
        </w:rPr>
      </w:pPr>
    </w:p>
    <w:p>
      <w:pPr>
        <w:pStyle w:val="zyMiscellaneousBody"/>
        <w:spacing w:before="0"/>
        <w:ind w:left="284" w:right="0"/>
        <w:jc w:val="center"/>
      </w:pPr>
      <w:r>
        <w:t>[Solicitor's details]</w:t>
      </w:r>
    </w:p>
    <w:p>
      <w:pPr>
        <w:pStyle w:val="zyMiscellaneousBody"/>
        <w:tabs>
          <w:tab w:val="left" w:pos="4536"/>
          <w:tab w:val="right" w:pos="9072"/>
        </w:tabs>
        <w:spacing w:before="0"/>
        <w:ind w:left="284" w:right="0"/>
        <w:jc w:val="both"/>
        <w:rPr>
          <w:b/>
        </w:rPr>
      </w:pPr>
    </w:p>
    <w:p>
      <w:pPr>
        <w:pStyle w:val="zyMiscellaneousBody"/>
        <w:pageBreakBefore/>
        <w:tabs>
          <w:tab w:val="left" w:pos="3686"/>
          <w:tab w:val="left" w:pos="4253"/>
          <w:tab w:val="left" w:pos="5245"/>
          <w:tab w:val="left" w:pos="5954"/>
          <w:tab w:val="left" w:pos="6521"/>
          <w:tab w:val="left" w:pos="7088"/>
        </w:tabs>
        <w:spacing w:before="120"/>
        <w:ind w:left="284" w:right="0"/>
        <w:jc w:val="both"/>
      </w:pPr>
      <w:r>
        <w:rPr>
          <w:b/>
        </w:rPr>
        <w:t>THIS AGREEMENT</w:t>
      </w:r>
      <w:r>
        <w:t xml:space="preserve"> is made this</w:t>
      </w:r>
      <w:r>
        <w:tab/>
        <w:t>20</w:t>
      </w:r>
      <w:r>
        <w:rPr>
          <w:vertAlign w:val="superscript"/>
        </w:rPr>
        <w:t>th</w:t>
      </w:r>
      <w:r>
        <w:rPr>
          <w:vertAlign w:val="superscript"/>
        </w:rPr>
        <w:tab/>
      </w:r>
      <w:r>
        <w:t>day of</w:t>
      </w:r>
      <w:r>
        <w:tab/>
        <w:t>February</w:t>
      </w:r>
      <w:r>
        <w:tab/>
        <w:t>2015</w:t>
      </w:r>
    </w:p>
    <w:p>
      <w:pPr>
        <w:pStyle w:val="zyMiscellaneousBody"/>
        <w:spacing w:before="120"/>
        <w:ind w:left="284" w:right="0"/>
        <w:jc w:val="both"/>
        <w:rPr>
          <w:b/>
        </w:rPr>
      </w:pPr>
      <w:r>
        <w:rPr>
          <w:b/>
        </w:rPr>
        <w:t>BETWEEN</w:t>
      </w:r>
    </w:p>
    <w:p>
      <w:pPr>
        <w:pStyle w:val="zyMiscellaneousBody"/>
        <w:spacing w:before="120"/>
        <w:ind w:left="284" w:right="0"/>
        <w:jc w:val="both"/>
      </w:pPr>
      <w:r>
        <w:rPr>
          <w:b/>
        </w:rPr>
        <w:t>THE HONOURABLE COLIN JAMES BARNETT</w:t>
      </w:r>
      <w:r>
        <w:t>, MEc., M.L.A., Premier of the State of Western Australia, acting for and on behalf of the said State and instrumentalities thereof from time to time ("</w:t>
      </w:r>
      <w:r>
        <w:rPr>
          <w:b/>
        </w:rPr>
        <w:t>the</w:t>
      </w:r>
      <w:r>
        <w:t xml:space="preserve"> </w:t>
      </w:r>
      <w:r>
        <w:rPr>
          <w:b/>
        </w:rPr>
        <w:t>State</w:t>
      </w:r>
      <w:r>
        <w:t>") of the one part</w:t>
      </w:r>
    </w:p>
    <w:p>
      <w:pPr>
        <w:pStyle w:val="zyMiscellaneousBody"/>
        <w:spacing w:before="120"/>
        <w:ind w:left="284" w:right="0"/>
        <w:jc w:val="both"/>
        <w:rPr>
          <w:b/>
        </w:rPr>
      </w:pPr>
      <w:r>
        <w:rPr>
          <w:b/>
        </w:rPr>
        <w:t>AND</w:t>
      </w:r>
    </w:p>
    <w:p>
      <w:pPr>
        <w:pStyle w:val="zyMiscellaneousBody"/>
        <w:spacing w:before="120"/>
        <w:ind w:left="284" w:right="0"/>
        <w:jc w:val="both"/>
      </w:pPr>
      <w:r>
        <w:rPr>
          <w:b/>
        </w:rPr>
        <w:t xml:space="preserve">MITCHELL PLATEAU BAUXITE CO. PTY. LIMITED </w:t>
      </w:r>
      <w:r>
        <w:t xml:space="preserve">ACN 008 545 499 of 123 Albert Street, Brisbane, Queensland and </w:t>
      </w:r>
      <w:r>
        <w:rPr>
          <w:b/>
        </w:rPr>
        <w:t xml:space="preserve">ALCOA OF AUSTRALIA LIMITED </w:t>
      </w:r>
      <w:r>
        <w:t>ACN 004 879 298 of Corner Davy and Marmion Streets, Booragoon, Western Australia (together called "</w:t>
      </w:r>
      <w:r>
        <w:rPr>
          <w:b/>
        </w:rPr>
        <w:t>the</w:t>
      </w:r>
      <w:r>
        <w:t xml:space="preserve"> </w:t>
      </w:r>
      <w:r>
        <w:rPr>
          <w:b/>
        </w:rPr>
        <w:t>Company</w:t>
      </w:r>
      <w:r>
        <w:t>" in which term shall be included their respective successors and permitted assigns) of the other part.</w:t>
      </w:r>
    </w:p>
    <w:p>
      <w:pPr>
        <w:pStyle w:val="zyMiscellaneousBody"/>
        <w:spacing w:before="120"/>
        <w:ind w:left="284" w:right="0"/>
        <w:jc w:val="both"/>
        <w:rPr>
          <w:b/>
        </w:rPr>
      </w:pPr>
      <w:r>
        <w:rPr>
          <w:b/>
        </w:rPr>
        <w:t>WHEREAS:</w:t>
      </w:r>
    </w:p>
    <w:p>
      <w:pPr>
        <w:pStyle w:val="zyMiscellaneousBody"/>
        <w:spacing w:before="120"/>
        <w:ind w:left="880" w:right="0" w:hanging="596"/>
        <w:jc w:val="both"/>
        <w:rPr>
          <w:highlight w:val="cyan"/>
        </w:rPr>
      </w:pPr>
      <w:r>
        <w:rPr>
          <w:b/>
        </w:rPr>
        <w:t>A.</w:t>
      </w:r>
      <w:r>
        <w:tab/>
        <w:t>The State and the Company are now the parties to the agreement dated 17 November 1971 which agreement was ratified by the Agreement Act and subsequently varied or supplemented by agreements dated 31 August 1972, 15 May 1973, 29 October 1985 and 29 August 2003, and which agreement as subsequently varied or supplemented is referred to in this Agreement as "</w:t>
      </w:r>
      <w:r>
        <w:rPr>
          <w:b/>
        </w:rPr>
        <w:t>the Principal Agreement</w:t>
      </w:r>
      <w:r>
        <w:t>".</w:t>
      </w:r>
    </w:p>
    <w:p>
      <w:pPr>
        <w:pStyle w:val="zyMiscellaneousBody"/>
        <w:keepNext/>
        <w:spacing w:before="120"/>
        <w:ind w:left="880" w:right="0" w:hanging="596"/>
        <w:jc w:val="both"/>
      </w:pPr>
      <w:r>
        <w:rPr>
          <w:b/>
        </w:rPr>
        <w:t>B.</w:t>
      </w:r>
      <w:r>
        <w:tab/>
        <w:t>The State and the Company wish to terminate the Principal Agreement in the manner and on the terms set out in this Agreement.</w:t>
      </w:r>
    </w:p>
    <w:p>
      <w:pPr>
        <w:pStyle w:val="zyMiscellaneousBody"/>
        <w:spacing w:before="120"/>
        <w:ind w:left="284" w:right="0"/>
        <w:jc w:val="both"/>
        <w:rPr>
          <w:b/>
        </w:rPr>
      </w:pPr>
      <w:r>
        <w:rPr>
          <w:b/>
        </w:rPr>
        <w:t>NOW THIS AGREEMENT WITNESSES:</w:t>
      </w:r>
    </w:p>
    <w:p>
      <w:pPr>
        <w:pStyle w:val="zyMiscellaneousBody"/>
        <w:spacing w:before="120"/>
        <w:ind w:left="880" w:right="0" w:hanging="596"/>
        <w:jc w:val="both"/>
        <w:rPr>
          <w:b/>
        </w:rPr>
      </w:pPr>
      <w:r>
        <w:rPr>
          <w:b/>
        </w:rPr>
        <w:t>1.</w:t>
      </w:r>
      <w:r>
        <w:rPr>
          <w:b/>
        </w:rPr>
        <w:tab/>
        <w:t>Definitions</w:t>
      </w:r>
    </w:p>
    <w:p>
      <w:pPr>
        <w:pStyle w:val="zyMiscellaneousBody"/>
        <w:spacing w:before="120"/>
        <w:ind w:left="880" w:right="0"/>
        <w:jc w:val="both"/>
      </w:pPr>
      <w:r>
        <w:t>In this Agreement subject to the context:</w:t>
      </w:r>
    </w:p>
    <w:p>
      <w:pPr>
        <w:pStyle w:val="zyMiscellaneousBody"/>
        <w:spacing w:before="120"/>
        <w:ind w:left="880" w:right="0"/>
      </w:pPr>
      <w:r>
        <w:rPr>
          <w:b/>
        </w:rPr>
        <w:t xml:space="preserve">Agreement Act </w:t>
      </w:r>
      <w:r>
        <w:t xml:space="preserve">means the </w:t>
      </w:r>
      <w:r>
        <w:rPr>
          <w:i/>
        </w:rPr>
        <w:t>Alumina Refinery (Mitchell Plateau) Agreement Act 1971</w:t>
      </w:r>
      <w:r>
        <w:t xml:space="preserve"> (WA).</w:t>
      </w:r>
    </w:p>
    <w:p>
      <w:pPr>
        <w:pStyle w:val="zyMiscellaneousBody"/>
        <w:spacing w:before="120"/>
        <w:ind w:left="880" w:right="0"/>
      </w:pPr>
      <w:r>
        <w:rPr>
          <w:b/>
        </w:rPr>
        <w:t>Cape Bougainville Mining Leases</w:t>
      </w:r>
      <w:r>
        <w:t xml:space="preserve"> means mining leases 80/47 </w:t>
      </w:r>
      <w:r>
        <w:noBreakHyphen/>
        <w:t xml:space="preserve"> 80/60 (both inclusive).</w:t>
      </w:r>
    </w:p>
    <w:p>
      <w:pPr>
        <w:pStyle w:val="zyMiscellaneousBody"/>
        <w:spacing w:before="120"/>
        <w:ind w:left="880" w:right="0"/>
        <w:jc w:val="both"/>
      </w:pPr>
      <w:r>
        <w:rPr>
          <w:b/>
        </w:rPr>
        <w:t xml:space="preserve">LAA </w:t>
      </w:r>
      <w:r>
        <w:t xml:space="preserve">means the </w:t>
      </w:r>
      <w:r>
        <w:rPr>
          <w:i/>
        </w:rPr>
        <w:t>Land Administration Act 1997</w:t>
      </w:r>
      <w:r>
        <w:t xml:space="preserve"> (WA).</w:t>
      </w:r>
    </w:p>
    <w:p>
      <w:pPr>
        <w:pStyle w:val="zyMiscellaneousBody"/>
        <w:spacing w:before="120"/>
        <w:ind w:left="880" w:right="0"/>
        <w:jc w:val="both"/>
      </w:pPr>
      <w:r>
        <w:rPr>
          <w:b/>
        </w:rPr>
        <w:t>Mining Act</w:t>
      </w:r>
      <w:r>
        <w:t xml:space="preserve"> means the </w:t>
      </w:r>
      <w:r>
        <w:rPr>
          <w:i/>
        </w:rPr>
        <w:t>Mining Act 1978</w:t>
      </w:r>
      <w:r>
        <w:t xml:space="preserve"> (WA).</w:t>
      </w:r>
    </w:p>
    <w:p>
      <w:pPr>
        <w:pStyle w:val="zyMiscellaneousBody"/>
        <w:spacing w:before="120"/>
        <w:ind w:left="880" w:right="0"/>
        <w:jc w:val="both"/>
      </w:pPr>
      <w:r>
        <w:rPr>
          <w:b/>
        </w:rPr>
        <w:t>Operative Date</w:t>
      </w:r>
      <w:r>
        <w:t xml:space="preserve"> has the meaning given in clause 3(2).</w:t>
      </w:r>
    </w:p>
    <w:p>
      <w:pPr>
        <w:pStyle w:val="zyMiscellaneousBody"/>
        <w:spacing w:before="120"/>
        <w:ind w:left="880" w:right="0"/>
        <w:jc w:val="both"/>
      </w:pPr>
      <w:r>
        <w:rPr>
          <w:b/>
        </w:rPr>
        <w:t>Right of Occupancy</w:t>
      </w:r>
      <w:r>
        <w:t xml:space="preserve"> means the right of occupancy in respect of the Temporary Reserve referred to in, and renewed pursuant to, the Principal Agreement.</w:t>
      </w:r>
    </w:p>
    <w:p>
      <w:pPr>
        <w:pStyle w:val="zyMiscellaneousBody"/>
        <w:spacing w:before="120"/>
        <w:ind w:left="880" w:right="0"/>
        <w:jc w:val="both"/>
      </w:pPr>
      <w:r>
        <w:rPr>
          <w:b/>
        </w:rPr>
        <w:t xml:space="preserve">Temporary Reserve </w:t>
      </w:r>
      <w:r>
        <w:t>means Temporary Reserve 5610H.</w:t>
      </w:r>
    </w:p>
    <w:p>
      <w:pPr>
        <w:pStyle w:val="zyMiscellaneousBody"/>
        <w:spacing w:before="120"/>
        <w:ind w:left="880" w:right="0"/>
        <w:jc w:val="both"/>
      </w:pPr>
      <w:r>
        <w:rPr>
          <w:b/>
        </w:rPr>
        <w:t>this Agreement</w:t>
      </w:r>
      <w:r>
        <w:t xml:space="preserve">, </w:t>
      </w:r>
      <w:r>
        <w:rPr>
          <w:b/>
        </w:rPr>
        <w:t>hereof</w:t>
      </w:r>
      <w:r>
        <w:t xml:space="preserve"> and </w:t>
      </w:r>
      <w:r>
        <w:rPr>
          <w:b/>
        </w:rPr>
        <w:t>hereunder</w:t>
      </w:r>
      <w:r>
        <w:t xml:space="preserve"> refer to this Agreement, whether in its original form or as from time to time added to, varied or amended.</w:t>
      </w:r>
    </w:p>
    <w:p>
      <w:pPr>
        <w:pStyle w:val="zyMiscellaneousBody"/>
        <w:keepNext/>
        <w:spacing w:before="120"/>
        <w:ind w:left="879" w:right="0" w:hanging="596"/>
        <w:jc w:val="both"/>
        <w:rPr>
          <w:b/>
        </w:rPr>
      </w:pPr>
      <w:r>
        <w:rPr>
          <w:b/>
        </w:rPr>
        <w:t>2.</w:t>
      </w:r>
      <w:r>
        <w:rPr>
          <w:b/>
        </w:rPr>
        <w:tab/>
        <w:t>Interpretation</w:t>
      </w:r>
    </w:p>
    <w:p>
      <w:pPr>
        <w:pStyle w:val="zyMiscellaneousBody"/>
        <w:keepNext/>
        <w:spacing w:before="120"/>
        <w:ind w:left="879" w:right="0"/>
        <w:jc w:val="both"/>
      </w:pPr>
      <w:r>
        <w:t>In this Agreement:</w:t>
      </w:r>
    </w:p>
    <w:p>
      <w:pPr>
        <w:pStyle w:val="zyMiscellaneousBody"/>
        <w:tabs>
          <w:tab w:val="right" w:pos="1332"/>
          <w:tab w:val="left" w:pos="1616"/>
        </w:tabs>
        <w:spacing w:before="120"/>
        <w:ind w:left="1620" w:right="0" w:hanging="1336"/>
        <w:jc w:val="both"/>
      </w:pPr>
      <w:r>
        <w:tab/>
        <w:t>(a)</w:t>
      </w:r>
      <w:r>
        <w:tab/>
        <w:t>clause headings do not affect interpretation or construction;</w:t>
      </w:r>
    </w:p>
    <w:p>
      <w:pPr>
        <w:pStyle w:val="zyMiscellaneousBody"/>
        <w:tabs>
          <w:tab w:val="right" w:pos="1332"/>
          <w:tab w:val="left" w:pos="1616"/>
        </w:tabs>
        <w:spacing w:before="120"/>
        <w:ind w:left="1620" w:right="0" w:hanging="1336"/>
        <w:jc w:val="both"/>
      </w:pPr>
      <w:r>
        <w:tab/>
        <w:t>(b)</w:t>
      </w:r>
      <w:r>
        <w:tab/>
        <w:t>words in the singular shall include the plural and words in the plural shall include the singular according to the requirements of the context;</w:t>
      </w:r>
    </w:p>
    <w:p>
      <w:pPr>
        <w:pStyle w:val="zyMiscellaneousBody"/>
        <w:tabs>
          <w:tab w:val="right" w:pos="1332"/>
          <w:tab w:val="left" w:pos="1616"/>
        </w:tabs>
        <w:spacing w:before="120"/>
        <w:ind w:left="1620" w:right="0" w:hanging="1336"/>
        <w:jc w:val="both"/>
      </w:pPr>
      <w:r>
        <w:tab/>
        <w:t>(c)</w:t>
      </w:r>
      <w:r>
        <w:tab/>
        <w:t>one gender includes the other genders;</w:t>
      </w:r>
    </w:p>
    <w:p>
      <w:pPr>
        <w:pStyle w:val="zyMiscellaneousBody"/>
        <w:tabs>
          <w:tab w:val="right" w:pos="1332"/>
          <w:tab w:val="left" w:pos="1616"/>
        </w:tabs>
        <w:spacing w:before="120"/>
        <w:ind w:left="1620" w:right="0" w:hanging="1336"/>
        <w:jc w:val="both"/>
      </w:pPr>
      <w:r>
        <w:tab/>
        <w:t>(d)</w:t>
      </w:r>
      <w:r>
        <w:tab/>
        <w:t>a covenant or agreement by more than one person binds, and is enforceable against, those persons jointly and each of them severally;</w:t>
      </w:r>
    </w:p>
    <w:p>
      <w:pPr>
        <w:pStyle w:val="zyMiscellaneousBody"/>
        <w:tabs>
          <w:tab w:val="right" w:pos="1332"/>
          <w:tab w:val="left" w:pos="1616"/>
        </w:tabs>
        <w:spacing w:before="120"/>
        <w:ind w:left="1620" w:right="0" w:hanging="1336"/>
        <w:jc w:val="both"/>
      </w:pPr>
      <w:r>
        <w:tab/>
        <w:t>(e)</w:t>
      </w:r>
      <w:r>
        <w:tab/>
        <w:t>a reference to a "person" includes a body corporate;</w:t>
      </w:r>
    </w:p>
    <w:p>
      <w:pPr>
        <w:pStyle w:val="zyMiscellaneousBody"/>
        <w:keepLines/>
        <w:tabs>
          <w:tab w:val="right" w:pos="1332"/>
          <w:tab w:val="left" w:pos="1616"/>
        </w:tabs>
        <w:spacing w:before="120"/>
        <w:ind w:left="1622" w:right="0" w:hanging="1338"/>
        <w:jc w:val="both"/>
      </w:pPr>
      <w:r>
        <w:tab/>
        <w:t>(f)</w:t>
      </w:r>
      <w:r>
        <w:tab/>
        <w:t>a reference to an Act includes the amendments to that Act for the time being in force and also any Act passed in substitution therefor or in lieu thereof and the regulations for the time being in force thereunder;</w:t>
      </w:r>
    </w:p>
    <w:p>
      <w:pPr>
        <w:pStyle w:val="zyMiscellaneousBody"/>
        <w:tabs>
          <w:tab w:val="right" w:pos="1332"/>
          <w:tab w:val="left" w:pos="1616"/>
        </w:tabs>
        <w:spacing w:before="120"/>
        <w:ind w:left="1620" w:right="0" w:hanging="1336"/>
        <w:jc w:val="both"/>
      </w:pPr>
      <w:r>
        <w:tab/>
        <w:t>(g)</w:t>
      </w:r>
      <w:r>
        <w:tab/>
        <w:t>a reference to any document includes that document as from time to time added to, varied or amended and notwithstanding any change in the identity of the parties;</w:t>
      </w:r>
    </w:p>
    <w:p>
      <w:pPr>
        <w:pStyle w:val="zyMiscellaneousBody"/>
        <w:tabs>
          <w:tab w:val="right" w:pos="1332"/>
          <w:tab w:val="left" w:pos="1616"/>
        </w:tabs>
        <w:spacing w:before="120"/>
        <w:ind w:left="1620" w:right="0" w:hanging="1336"/>
        <w:jc w:val="both"/>
      </w:pPr>
      <w:r>
        <w:tab/>
        <w:t>(h)</w:t>
      </w:r>
      <w:r>
        <w:tab/>
        <w:t>a reference to a clause or schedule is a reference to a clause in or schedule to this Agreement, and a reference to a subclause or paragraph is a reference to the subclause of the clause or paragraph of the clause or subclause as the case may be in, or in relation to, which the reference is made;</w:t>
      </w:r>
    </w:p>
    <w:p>
      <w:pPr>
        <w:pStyle w:val="zyMiscellaneousBody"/>
        <w:tabs>
          <w:tab w:val="right" w:pos="1332"/>
          <w:tab w:val="left" w:pos="1616"/>
        </w:tabs>
        <w:spacing w:before="120"/>
        <w:ind w:left="1620" w:right="0" w:hanging="1336"/>
        <w:jc w:val="both"/>
      </w:pPr>
      <w:r>
        <w:tab/>
        <w:t>(h)</w:t>
      </w:r>
      <w:r>
        <w:tab/>
        <w:t>a reference to this Agreement includes all recitals, schedules and annexures; and</w:t>
      </w:r>
    </w:p>
    <w:p>
      <w:pPr>
        <w:pStyle w:val="zyMiscellaneousBody"/>
        <w:tabs>
          <w:tab w:val="right" w:pos="1332"/>
          <w:tab w:val="left" w:pos="1616"/>
        </w:tabs>
        <w:spacing w:before="120"/>
        <w:ind w:left="1620" w:right="0" w:hanging="1336"/>
        <w:jc w:val="both"/>
      </w:pPr>
      <w:r>
        <w:tab/>
        <w:t>(i)</w:t>
      </w:r>
      <w:r>
        <w:tab/>
        <w:t>"including" means "including, but not limited to".</w:t>
      </w:r>
    </w:p>
    <w:p>
      <w:pPr>
        <w:pStyle w:val="zyMiscellaneousBody"/>
        <w:spacing w:before="120"/>
        <w:ind w:left="880" w:right="0" w:hanging="596"/>
        <w:jc w:val="both"/>
        <w:rPr>
          <w:b/>
        </w:rPr>
      </w:pPr>
      <w:r>
        <w:rPr>
          <w:b/>
        </w:rPr>
        <w:t>3.</w:t>
      </w:r>
      <w:r>
        <w:rPr>
          <w:b/>
        </w:rPr>
        <w:tab/>
        <w:t>Ratification and operation</w:t>
      </w:r>
    </w:p>
    <w:p>
      <w:pPr>
        <w:pStyle w:val="zyMiscellaneousBody"/>
        <w:tabs>
          <w:tab w:val="right" w:pos="595"/>
        </w:tabs>
        <w:spacing w:before="120"/>
        <w:ind w:left="880" w:right="0" w:hanging="596"/>
        <w:jc w:val="both"/>
      </w:pPr>
      <w:r>
        <w:tab/>
        <w:t>(1)</w:t>
      </w:r>
      <w:r>
        <w:tab/>
        <w:t>This Agreement, other than this clause and clauses 1 and 2, does not come into operation except in accordance with subclause (2).</w:t>
      </w:r>
    </w:p>
    <w:p>
      <w:pPr>
        <w:pStyle w:val="zyMiscellaneousBody"/>
        <w:tabs>
          <w:tab w:val="right" w:pos="595"/>
        </w:tabs>
        <w:spacing w:before="120"/>
        <w:ind w:left="880" w:right="0" w:hanging="596"/>
        <w:jc w:val="both"/>
      </w:pPr>
      <w:r>
        <w:tab/>
        <w:t>(2)</w:t>
      </w:r>
      <w:r>
        <w:tab/>
        <w:t>This Agreement, other than this clause and clauses 1 and 2, comes into operation on the day on which it is ratified by an Act of the Parliament of Western Australia (Operative Date) unless, before that day, it terminates under subclauses (4) or (5).</w:t>
      </w:r>
    </w:p>
    <w:p>
      <w:pPr>
        <w:pStyle w:val="zyMiscellaneousBody"/>
        <w:tabs>
          <w:tab w:val="right" w:pos="595"/>
        </w:tabs>
        <w:spacing w:before="120"/>
        <w:ind w:left="880" w:right="0" w:hanging="596"/>
        <w:jc w:val="both"/>
      </w:pPr>
      <w:r>
        <w:tab/>
        <w:t>(3)</w:t>
      </w:r>
      <w:r>
        <w:tab/>
        <w:t>The State must introduce in the Parliament of Western Australia before 31 March 2015, or a later date agreed between the parties to this Agreement, a Bill to ratify this Agreement and must endeavour to secure its passage as an Act.</w:t>
      </w:r>
    </w:p>
    <w:p>
      <w:pPr>
        <w:pStyle w:val="zyMiscellaneousBody"/>
        <w:tabs>
          <w:tab w:val="right" w:pos="595"/>
        </w:tabs>
        <w:spacing w:before="120"/>
        <w:ind w:left="880" w:right="0" w:hanging="596"/>
        <w:jc w:val="both"/>
      </w:pPr>
      <w:r>
        <w:tab/>
        <w:t>(4)</w:t>
      </w:r>
      <w:r>
        <w:tab/>
        <w:t>If by 31 December 2015 this Agreement has not been ratified by an Act of the Parliament of Western Australia then, unless the parties to this Agreement otherwise agree, this Agreement terminates on that day and no party hereto will have any claim against any other party hereto with respect to any matter or thing arising out of, done, performed, or omitted to be done or performed under this Agreement.</w:t>
      </w:r>
    </w:p>
    <w:p>
      <w:pPr>
        <w:pStyle w:val="zyMiscellaneousBody"/>
        <w:tabs>
          <w:tab w:val="right" w:pos="595"/>
        </w:tabs>
        <w:spacing w:before="120"/>
        <w:ind w:left="880" w:right="0" w:hanging="596"/>
        <w:jc w:val="both"/>
      </w:pPr>
      <w:r>
        <w:tab/>
        <w:t>(5)</w:t>
      </w:r>
      <w:r>
        <w:tab/>
        <w:t>The parties agree that if the Principal Agreement is otherwise determined in accordance with its provisions on a day prior to the Operative Date, then this Agreement shall also terminate on and from that day and no party hereto will have any claim against any other party hereto with respect to any matter or thing arising out of, done, performed, or omitted to be done or performed under this Agreement.</w:t>
      </w:r>
    </w:p>
    <w:p>
      <w:pPr>
        <w:pStyle w:val="zyMiscellaneousBody"/>
        <w:keepNext/>
        <w:spacing w:before="120"/>
        <w:ind w:left="880" w:right="0" w:hanging="596"/>
        <w:jc w:val="both"/>
        <w:rPr>
          <w:b/>
        </w:rPr>
      </w:pPr>
      <w:r>
        <w:rPr>
          <w:b/>
        </w:rPr>
        <w:t>4.</w:t>
      </w:r>
      <w:r>
        <w:rPr>
          <w:b/>
        </w:rPr>
        <w:tab/>
        <w:t>Termination of Principal Agreement</w:t>
      </w:r>
    </w:p>
    <w:p>
      <w:pPr>
        <w:pStyle w:val="zyMiscellaneousBody"/>
        <w:tabs>
          <w:tab w:val="right" w:pos="595"/>
        </w:tabs>
        <w:spacing w:before="120"/>
        <w:ind w:left="880" w:right="0" w:hanging="596"/>
        <w:jc w:val="both"/>
      </w:pPr>
      <w:r>
        <w:tab/>
        <w:t>(1)</w:t>
      </w:r>
      <w:r>
        <w:tab/>
        <w:t>Subject to the remainder of this clause, the Principal Agreement is hereby terminated with effect on and from the Operative Date and, except as otherwise provided in this Agreement, neither the State nor the Company shall have any claim against the other with respect to any matter or thing in or arising out of the Principal Agreement.</w:t>
      </w:r>
    </w:p>
    <w:p>
      <w:pPr>
        <w:pStyle w:val="zyMiscellaneousBody"/>
        <w:tabs>
          <w:tab w:val="right" w:pos="595"/>
        </w:tabs>
        <w:spacing w:before="120"/>
        <w:ind w:left="880" w:right="0" w:hanging="596"/>
        <w:jc w:val="both"/>
      </w:pPr>
      <w:r>
        <w:tab/>
        <w:t>(2)</w:t>
      </w:r>
      <w:r>
        <w:tab/>
        <w:t>Notwithstanding subclause (1), but subject to subclause (6), the Company shall remain liable for any antecedent breach or default under the Principal Agreement and in respect of any indemnity given under the Principal Agreement.</w:t>
      </w:r>
    </w:p>
    <w:p>
      <w:pPr>
        <w:pStyle w:val="zyMiscellaneousBody"/>
        <w:tabs>
          <w:tab w:val="right" w:pos="595"/>
        </w:tabs>
        <w:spacing w:before="120"/>
        <w:ind w:left="880" w:right="0" w:hanging="596"/>
        <w:jc w:val="both"/>
      </w:pPr>
      <w:r>
        <w:tab/>
        <w:t>(3)</w:t>
      </w:r>
      <w:r>
        <w:tab/>
        <w:t>Notwithstanding subclause (1):</w:t>
      </w:r>
    </w:p>
    <w:p>
      <w:pPr>
        <w:pStyle w:val="zyMiscellaneousBody"/>
        <w:tabs>
          <w:tab w:val="right" w:pos="1332"/>
          <w:tab w:val="left" w:pos="1616"/>
        </w:tabs>
        <w:spacing w:before="120"/>
        <w:ind w:left="1620" w:right="0" w:hanging="596"/>
        <w:jc w:val="both"/>
      </w:pPr>
      <w:r>
        <w:tab/>
        <w:t>(a)</w:t>
      </w:r>
      <w:r>
        <w:tab/>
        <w:t xml:space="preserve">on and from the Operative Date the Cape Bougainville Mining Leases shall continue in force only under and, except as provided in this subclause, subject to the provisions of the Mining Act and, for the avoidance of doubt, shall cease to have the benefit of the rights and privileges conferred by the Principal Agreement; </w:t>
      </w:r>
    </w:p>
    <w:p>
      <w:pPr>
        <w:pStyle w:val="zyMiscellaneousBody"/>
        <w:keepNext/>
        <w:tabs>
          <w:tab w:val="right" w:pos="1332"/>
          <w:tab w:val="left" w:pos="1616"/>
        </w:tabs>
        <w:spacing w:before="120"/>
        <w:ind w:left="1621" w:right="0" w:hanging="595"/>
        <w:jc w:val="both"/>
      </w:pPr>
      <w:r>
        <w:tab/>
        <w:t>(b)</w:t>
      </w:r>
      <w:r>
        <w:tab/>
        <w:t>in relation to each of the Cape Bougainville Mining Leases, for the period from and including the Operative Date up to and including the earlier of:</w:t>
      </w:r>
    </w:p>
    <w:p>
      <w:pPr>
        <w:pStyle w:val="zyMiscellaneousBody"/>
        <w:tabs>
          <w:tab w:val="right" w:pos="2041"/>
          <w:tab w:val="left" w:pos="2325"/>
        </w:tabs>
        <w:spacing w:before="120"/>
        <w:ind w:left="2320" w:right="0" w:hanging="596"/>
        <w:jc w:val="both"/>
      </w:pPr>
      <w:r>
        <w:tab/>
        <w:t>(i)</w:t>
      </w:r>
      <w:r>
        <w:tab/>
        <w:t>the date of expiry of the current term of that mining lease; and</w:t>
      </w:r>
    </w:p>
    <w:p>
      <w:pPr>
        <w:pStyle w:val="zyMiscellaneousBody"/>
        <w:tabs>
          <w:tab w:val="right" w:pos="2041"/>
          <w:tab w:val="left" w:pos="2325"/>
        </w:tabs>
        <w:spacing w:before="120"/>
        <w:ind w:left="2320" w:right="0" w:hanging="596"/>
        <w:jc w:val="both"/>
      </w:pPr>
      <w:r>
        <w:tab/>
        <w:t>(ii)</w:t>
      </w:r>
      <w:r>
        <w:tab/>
        <w:t xml:space="preserve">the date on which the companies comprising the Company at the date of this Agreement cease to hold greater than a 30% interest in that mining lease (where such interest may be held individually by one of those companies or by both of them in the aggregate), </w:t>
      </w:r>
    </w:p>
    <w:p>
      <w:pPr>
        <w:pStyle w:val="zyMiscellaneousBody"/>
        <w:spacing w:before="120"/>
        <w:ind w:left="1620" w:right="0" w:hanging="596"/>
        <w:jc w:val="both"/>
      </w:pPr>
      <w:r>
        <w:tab/>
        <w:t>the holder of that mining lease shall not be required:</w:t>
      </w:r>
    </w:p>
    <w:p>
      <w:pPr>
        <w:pStyle w:val="zyMiscellaneousBody"/>
        <w:tabs>
          <w:tab w:val="right" w:pos="2041"/>
          <w:tab w:val="left" w:pos="2325"/>
        </w:tabs>
        <w:spacing w:before="120"/>
        <w:ind w:left="2320" w:right="0" w:hanging="596"/>
        <w:jc w:val="both"/>
      </w:pPr>
      <w:r>
        <w:tab/>
        <w:t>(iii)</w:t>
      </w:r>
      <w:r>
        <w:tab/>
        <w:t>to comply with the expenditure conditions prescribed under the Mining Act that are applicable to that mining lease; or</w:t>
      </w:r>
    </w:p>
    <w:p>
      <w:pPr>
        <w:pStyle w:val="zyMiscellaneousBody"/>
        <w:tabs>
          <w:tab w:val="right" w:pos="2041"/>
          <w:tab w:val="left" w:pos="2325"/>
        </w:tabs>
        <w:spacing w:before="120"/>
        <w:ind w:left="2320" w:right="0" w:hanging="596"/>
        <w:jc w:val="both"/>
      </w:pPr>
      <w:r>
        <w:tab/>
        <w:t>(iv)</w:t>
      </w:r>
      <w:r>
        <w:tab/>
        <w:t>to lodge a Form 5 (operations report–expenditure on mining tenement) in relation to that mining lease in compliance with the requirements of the Mining Act; and</w:t>
      </w:r>
    </w:p>
    <w:p>
      <w:pPr>
        <w:pStyle w:val="zyMiscellaneousBody"/>
        <w:tabs>
          <w:tab w:val="right" w:pos="1332"/>
          <w:tab w:val="left" w:pos="1616"/>
        </w:tabs>
        <w:spacing w:before="120"/>
        <w:ind w:left="1620" w:right="0" w:hanging="596"/>
        <w:jc w:val="both"/>
      </w:pPr>
      <w:r>
        <w:tab/>
        <w:t>(c)</w:t>
      </w:r>
      <w:r>
        <w:tab/>
        <w:t>in relation to each of the Cape Bougainville Mining Leases, if exploration or mining expenditure has been incurred in the relevant reporting period in relation to that mining lease, the holder of that mining lease must notwithstanding the reporting exemption contained in paragraph (b)(iv) file, or cause to be filed, as the case may be, the mineral exploration report required by section 115A of the Mining Act in relation to that mining lease at the times that would otherwise have been applicable (including whenever required under section 115A(2)(b)) if such exemption had not been granted,</w:t>
      </w:r>
    </w:p>
    <w:p>
      <w:pPr>
        <w:pStyle w:val="zyMiscellaneousBody"/>
        <w:spacing w:before="120"/>
        <w:ind w:left="880" w:right="0" w:hanging="596"/>
        <w:jc w:val="both"/>
      </w:pPr>
      <w:r>
        <w:tab/>
        <w:t>and on application under section 103G of the Mining Act made within 3 months after the Operative Date, the State shall cause an endorsement to be made in the register maintained under section 103F of the Mining Act that the provisions of this subclause apply to the Cape Bougainville Mining Leases.</w:t>
      </w:r>
    </w:p>
    <w:p>
      <w:pPr>
        <w:pStyle w:val="zyMiscellaneousBody"/>
        <w:tabs>
          <w:tab w:val="right" w:pos="595"/>
        </w:tabs>
        <w:spacing w:before="120"/>
        <w:ind w:left="880" w:right="0" w:hanging="596"/>
        <w:jc w:val="both"/>
      </w:pPr>
      <w:r>
        <w:tab/>
        <w:t>(4)</w:t>
      </w:r>
      <w:r>
        <w:tab/>
        <w:t>Within 14 days after the Operative Date the Company shall pay to the State an amount of $760,000 to fund rehabilitation and other proposed on</w:t>
      </w:r>
      <w:r>
        <w:noBreakHyphen/>
        <w:t>ground activities of the State within the area of land comprised within the Temporary Reserve immediately before the Operative Date.</w:t>
      </w:r>
    </w:p>
    <w:p>
      <w:pPr>
        <w:pStyle w:val="zyMiscellaneousBody"/>
        <w:tabs>
          <w:tab w:val="right" w:pos="595"/>
        </w:tabs>
        <w:spacing w:before="120"/>
        <w:ind w:left="880" w:right="0" w:hanging="596"/>
        <w:jc w:val="both"/>
      </w:pPr>
      <w:r>
        <w:tab/>
        <w:t>(5)</w:t>
      </w:r>
      <w:r>
        <w:tab/>
        <w:t>Subject to subclause (6), on and from the Operative Date the Company will indemnify and keep indemnified the State and the State's employees, agents and contractors in respect of all actions, suits, claims, demands or costs of third parties arising out of or in connection with any work carried out by the Company pursuant to the Principal Agreement or relating to its operations under the Principal Agreement or arising out of or in connection with the construction, maintenance or use by the Company or its employees, agents, contractors, assignees or sublessees of the Company's works or services the subject of the Principal Agreement or the plant, apparatus or equipment installed in connection with the Principal Agreement.</w:t>
      </w:r>
    </w:p>
    <w:p>
      <w:pPr>
        <w:pStyle w:val="zyMiscellaneousBody"/>
        <w:spacing w:before="120"/>
        <w:ind w:left="880" w:right="0" w:hanging="596"/>
        <w:jc w:val="both"/>
      </w:pPr>
      <w:r>
        <w:tab/>
        <w:t>This indemnity shall remain in force for a period ending on the date which is 20 years after the Operative Date.</w:t>
      </w:r>
    </w:p>
    <w:p>
      <w:pPr>
        <w:pStyle w:val="zyMiscellaneousBody"/>
        <w:tabs>
          <w:tab w:val="right" w:pos="595"/>
        </w:tabs>
        <w:spacing w:before="120"/>
        <w:ind w:left="880" w:right="0" w:hanging="596"/>
        <w:jc w:val="both"/>
      </w:pPr>
      <w:r>
        <w:tab/>
        <w:t>(6)</w:t>
      </w:r>
      <w:r>
        <w:tab/>
        <w:t>The Company is not liable to indemnify the State and the State's employees, agents and contractors under subclause (5) or under the Principal Agreement (as the case may be):</w:t>
      </w:r>
    </w:p>
    <w:p>
      <w:pPr>
        <w:pStyle w:val="zyMiscellaneousBody"/>
        <w:tabs>
          <w:tab w:val="right" w:pos="1332"/>
          <w:tab w:val="left" w:pos="1616"/>
        </w:tabs>
        <w:spacing w:before="120"/>
        <w:ind w:left="1620" w:right="0" w:hanging="596"/>
        <w:jc w:val="both"/>
      </w:pPr>
      <w:r>
        <w:tab/>
        <w:t>(a)</w:t>
      </w:r>
      <w:r>
        <w:tab/>
        <w:t>to the extent that the relevant action, suit, claim, demand or cost relates to activities or works carried out before the Operative Date by the State or the State's employees, agents or contractors (including activities or works funded by the Company);</w:t>
      </w:r>
    </w:p>
    <w:p>
      <w:pPr>
        <w:pStyle w:val="zyMiscellaneousBody"/>
        <w:tabs>
          <w:tab w:val="right" w:pos="1332"/>
          <w:tab w:val="left" w:pos="1616"/>
        </w:tabs>
        <w:spacing w:before="120"/>
        <w:ind w:left="1620" w:right="0" w:hanging="596"/>
        <w:jc w:val="both"/>
      </w:pPr>
      <w:r>
        <w:tab/>
        <w:t>(b)</w:t>
      </w:r>
      <w:r>
        <w:tab/>
        <w:t>to the extent that the relevant action, suit, claim, demand or cost relates to rehabilitation or other on</w:t>
      </w:r>
      <w:r>
        <w:noBreakHyphen/>
        <w:t>ground activities of the State undertaken after the Operative Date as contemplated by subclause (4);</w:t>
      </w:r>
    </w:p>
    <w:p>
      <w:pPr>
        <w:pStyle w:val="zyMiscellaneousBody"/>
        <w:tabs>
          <w:tab w:val="right" w:pos="1332"/>
          <w:tab w:val="left" w:pos="1616"/>
        </w:tabs>
        <w:spacing w:before="120"/>
        <w:ind w:left="1620" w:right="0" w:hanging="596"/>
        <w:jc w:val="both"/>
      </w:pPr>
      <w:r>
        <w:tab/>
        <w:t>(c)</w:t>
      </w:r>
      <w:r>
        <w:tab/>
        <w:t>to the extent that the relevant action, suit, claim, demand or cost relates to earthworks or ground disturbances, within the area of land comprised within the Temporary Reserve immediately before the Operative Date, relating to exploration activities conducted pursuant to the Principal Agreement; or</w:t>
      </w:r>
    </w:p>
    <w:p>
      <w:pPr>
        <w:pStyle w:val="zyMiscellaneousBody"/>
        <w:tabs>
          <w:tab w:val="right" w:pos="1332"/>
          <w:tab w:val="left" w:pos="1616"/>
        </w:tabs>
        <w:spacing w:before="120"/>
        <w:ind w:left="1620" w:right="0" w:hanging="596"/>
        <w:jc w:val="both"/>
      </w:pPr>
      <w:r>
        <w:tab/>
        <w:t>(d)</w:t>
      </w:r>
      <w:r>
        <w:tab/>
        <w:t>to the extent that the relevant action, suit, claim, demand or cost relates to third party use after the Operative Date of works, services, plant, apparatus or equipment constructed, operated or maintained by the Company within the area of land comprised within the Temporary Reserve immediately before the Operative Date, including the airstrip and the access road.</w:t>
      </w:r>
    </w:p>
    <w:p>
      <w:pPr>
        <w:pStyle w:val="zyMiscellaneousBody"/>
        <w:tabs>
          <w:tab w:val="right" w:pos="595"/>
        </w:tabs>
        <w:spacing w:before="120"/>
        <w:ind w:left="880" w:right="0" w:hanging="596"/>
        <w:jc w:val="both"/>
      </w:pPr>
      <w:r>
        <w:tab/>
        <w:t>(7)</w:t>
      </w:r>
      <w:r>
        <w:tab/>
        <w:t>For the avoidance of doubt a reference to matters or things in, under, pursuant to, conferred by or arising out of or in connection with the Principal Agreement for the purposes of this clause includes matters or things deemed to be so attributed to the Principal Agreement by section 6 of the Agreement Act.</w:t>
      </w:r>
    </w:p>
    <w:p>
      <w:pPr>
        <w:pStyle w:val="zyMiscellaneousBody"/>
        <w:spacing w:before="120"/>
        <w:ind w:left="879" w:right="0" w:hanging="595"/>
        <w:jc w:val="both"/>
        <w:rPr>
          <w:b/>
        </w:rPr>
      </w:pPr>
      <w:r>
        <w:rPr>
          <w:b/>
        </w:rPr>
        <w:t>5.</w:t>
      </w:r>
      <w:r>
        <w:rPr>
          <w:b/>
        </w:rPr>
        <w:tab/>
        <w:t>Termination of Right of Occupancy</w:t>
      </w:r>
    </w:p>
    <w:p>
      <w:pPr>
        <w:pStyle w:val="zyMiscellaneousBody"/>
        <w:tabs>
          <w:tab w:val="right" w:pos="595"/>
        </w:tabs>
        <w:spacing w:before="120"/>
        <w:ind w:left="880" w:right="0" w:hanging="738"/>
        <w:jc w:val="both"/>
      </w:pPr>
      <w:r>
        <w:tab/>
        <w:t>(1)</w:t>
      </w:r>
      <w:r>
        <w:tab/>
        <w:t>The Right of Occupancy shall be deemed to have been surrendered with effect on and from the Operative Date.</w:t>
      </w:r>
    </w:p>
    <w:p>
      <w:pPr>
        <w:pStyle w:val="zyMiscellaneousBody"/>
        <w:tabs>
          <w:tab w:val="right" w:pos="595"/>
        </w:tabs>
        <w:spacing w:before="120"/>
        <w:ind w:left="880" w:right="0" w:hanging="738"/>
        <w:jc w:val="both"/>
      </w:pPr>
      <w:r>
        <w:tab/>
        <w:t>(2)</w:t>
      </w:r>
      <w:r>
        <w:tab/>
        <w:t>The Company shall remain liable for any antecedent breach or default of the conditions of the Right of Occupancy.</w:t>
      </w:r>
    </w:p>
    <w:p>
      <w:pPr>
        <w:pStyle w:val="zyMiscellaneousBody"/>
        <w:keepNext/>
        <w:keepLines/>
        <w:spacing w:before="120"/>
        <w:ind w:left="879" w:right="0" w:hanging="595"/>
        <w:jc w:val="both"/>
        <w:rPr>
          <w:b/>
        </w:rPr>
      </w:pPr>
      <w:r>
        <w:rPr>
          <w:b/>
        </w:rPr>
        <w:t>6.</w:t>
      </w:r>
      <w:r>
        <w:rPr>
          <w:b/>
        </w:rPr>
        <w:tab/>
        <w:t>Applicable law</w:t>
      </w:r>
    </w:p>
    <w:p>
      <w:pPr>
        <w:pStyle w:val="zyMiscellaneousBody"/>
        <w:spacing w:before="120"/>
        <w:ind w:left="880" w:right="0" w:hanging="596"/>
        <w:jc w:val="both"/>
      </w:pPr>
      <w:r>
        <w:tab/>
        <w:t>This Agreement is to be interpreted according to the law for the time being in force in the State of Western Australia.</w:t>
      </w:r>
    </w:p>
    <w:p>
      <w:pPr>
        <w:pStyle w:val="zyMiscellaneousBody"/>
        <w:spacing w:before="0"/>
        <w:ind w:left="880" w:right="0" w:hanging="596"/>
        <w:jc w:val="both"/>
      </w:pPr>
    </w:p>
    <w:p>
      <w:pPr>
        <w:pStyle w:val="zyMiscellaneousBody"/>
        <w:spacing w:before="0"/>
        <w:ind w:left="284" w:right="0"/>
        <w:jc w:val="both"/>
      </w:pPr>
      <w:r>
        <w:rPr>
          <w:b/>
        </w:rPr>
        <w:t>EXECUTED</w:t>
      </w:r>
      <w:r>
        <w:t xml:space="preserve"> as a deed.</w:t>
      </w:r>
    </w:p>
    <w:p>
      <w:pPr>
        <w:pStyle w:val="zyMiscellaneousBody"/>
        <w:spacing w:before="0"/>
        <w:ind w:left="284" w:right="0"/>
        <w:jc w:val="both"/>
      </w:pPr>
    </w:p>
    <w:p>
      <w:pPr>
        <w:pStyle w:val="zyMiscellaneousBody"/>
        <w:spacing w:before="0"/>
        <w:ind w:left="284" w:right="0"/>
        <w:jc w:val="both"/>
      </w:pPr>
    </w:p>
    <w:p>
      <w:pPr>
        <w:pStyle w:val="zyMiscellaneousBody"/>
        <w:tabs>
          <w:tab w:val="left" w:pos="4680"/>
        </w:tabs>
        <w:spacing w:before="0"/>
        <w:ind w:left="284" w:right="0"/>
        <w:jc w:val="both"/>
      </w:pPr>
      <w:r>
        <w:rPr>
          <w:b/>
        </w:rPr>
        <w:t>SIGNED</w:t>
      </w:r>
      <w:r>
        <w:t xml:space="preserve"> by </w:t>
      </w:r>
      <w:r>
        <w:rPr>
          <w:b/>
        </w:rPr>
        <w:t>THE HONOURABLE</w:t>
      </w:r>
      <w:r>
        <w:tab/>
        <w:t>)</w:t>
      </w:r>
    </w:p>
    <w:p>
      <w:pPr>
        <w:pStyle w:val="zyMiscellaneousBody"/>
        <w:tabs>
          <w:tab w:val="left" w:pos="4680"/>
          <w:tab w:val="left" w:pos="5103"/>
        </w:tabs>
        <w:spacing w:before="0"/>
        <w:ind w:left="284" w:right="0"/>
        <w:jc w:val="both"/>
      </w:pPr>
      <w:r>
        <w:rPr>
          <w:b/>
        </w:rPr>
        <w:t>COLIN JAMES BARNETT</w:t>
      </w:r>
      <w:r>
        <w:tab/>
        <w:t>)</w:t>
      </w:r>
      <w:r>
        <w:tab/>
        <w:t>[Signature]</w:t>
      </w:r>
    </w:p>
    <w:p>
      <w:pPr>
        <w:pStyle w:val="zyMiscellaneousBody"/>
        <w:tabs>
          <w:tab w:val="left" w:pos="4680"/>
        </w:tabs>
        <w:spacing w:before="0"/>
        <w:ind w:left="284" w:right="0"/>
        <w:jc w:val="both"/>
      </w:pPr>
      <w:r>
        <w:t>in the presence of:</w:t>
      </w:r>
      <w:r>
        <w:tab/>
        <w:t>)</w:t>
      </w:r>
    </w:p>
    <w:p>
      <w:pPr>
        <w:pStyle w:val="zyMiscellaneousBody"/>
        <w:spacing w:before="0"/>
        <w:ind w:left="284" w:right="0"/>
        <w:jc w:val="both"/>
      </w:pPr>
    </w:p>
    <w:p>
      <w:pPr>
        <w:pStyle w:val="zyMiscellaneousBody"/>
        <w:spacing w:before="0"/>
        <w:ind w:left="284" w:right="0"/>
        <w:jc w:val="both"/>
      </w:pPr>
    </w:p>
    <w:p>
      <w:pPr>
        <w:pStyle w:val="zyMiscellaneousBody"/>
        <w:tabs>
          <w:tab w:val="left" w:pos="3402"/>
          <w:tab w:val="left" w:pos="3686"/>
        </w:tabs>
        <w:spacing w:before="0"/>
        <w:ind w:left="284" w:right="0"/>
        <w:jc w:val="both"/>
      </w:pPr>
      <w:r>
        <w:rPr>
          <w:u w:val="dotted"/>
        </w:rPr>
        <w:t>[</w:t>
      </w:r>
      <w:r>
        <w:rPr>
          <w:u w:val="single"/>
        </w:rPr>
        <w:t>Signature]</w:t>
      </w:r>
      <w:r>
        <w:rPr>
          <w:u w:val="single"/>
        </w:rPr>
        <w:tab/>
      </w:r>
      <w:r>
        <w:tab/>
      </w:r>
      <w:r>
        <w:rPr>
          <w:u w:val="single"/>
        </w:rPr>
        <w:tab/>
      </w:r>
      <w:r>
        <w:rPr>
          <w:u w:val="single"/>
        </w:rPr>
        <w:tab/>
      </w:r>
      <w:r>
        <w:rPr>
          <w:u w:val="single"/>
        </w:rPr>
        <w:tab/>
      </w:r>
    </w:p>
    <w:p>
      <w:pPr>
        <w:pStyle w:val="zyMiscellaneousBody"/>
        <w:tabs>
          <w:tab w:val="left" w:pos="3686"/>
        </w:tabs>
        <w:spacing w:before="0"/>
        <w:ind w:left="284" w:right="0"/>
        <w:jc w:val="both"/>
      </w:pPr>
      <w:r>
        <w:t xml:space="preserve"> Signature of witness</w:t>
      </w:r>
    </w:p>
    <w:p>
      <w:pPr>
        <w:pStyle w:val="zyMiscellaneousBody"/>
        <w:tabs>
          <w:tab w:val="left" w:leader="underscore" w:pos="8820"/>
        </w:tabs>
        <w:spacing w:before="0"/>
        <w:ind w:left="284" w:right="0"/>
        <w:jc w:val="both"/>
      </w:pPr>
    </w:p>
    <w:p>
      <w:pPr>
        <w:pStyle w:val="zyMiscellaneousBody"/>
        <w:tabs>
          <w:tab w:val="left" w:leader="underscore" w:pos="8820"/>
        </w:tabs>
        <w:spacing w:before="0"/>
        <w:ind w:left="284" w:right="0"/>
        <w:jc w:val="both"/>
      </w:pPr>
    </w:p>
    <w:p>
      <w:pPr>
        <w:pStyle w:val="zyMiscellaneousBody"/>
        <w:tabs>
          <w:tab w:val="left" w:pos="3402"/>
          <w:tab w:val="left" w:pos="3686"/>
        </w:tabs>
        <w:spacing w:before="0"/>
        <w:ind w:left="284" w:right="0"/>
        <w:jc w:val="both"/>
      </w:pPr>
      <w:r>
        <w:rPr>
          <w:sz w:val="20"/>
          <w:u w:val="single"/>
        </w:rPr>
        <w:t>NICOLE JANE HENDERSON</w:t>
      </w:r>
      <w:r>
        <w:rPr>
          <w:u w:val="single"/>
        </w:rPr>
        <w:tab/>
      </w:r>
    </w:p>
    <w:p>
      <w:pPr>
        <w:pStyle w:val="zyMiscellaneousBody"/>
        <w:tabs>
          <w:tab w:val="left" w:leader="underscore" w:pos="8820"/>
        </w:tabs>
        <w:spacing w:before="0"/>
        <w:ind w:left="284" w:right="0"/>
        <w:jc w:val="both"/>
      </w:pPr>
      <w:r>
        <w:t xml:space="preserve"> Name of witness</w:t>
      </w:r>
    </w:p>
    <w:p>
      <w:pPr>
        <w:pStyle w:val="zyMiscellaneousBody"/>
        <w:keepNext/>
        <w:tabs>
          <w:tab w:val="left" w:pos="4820"/>
        </w:tabs>
        <w:spacing w:before="0"/>
        <w:ind w:left="284" w:right="0"/>
        <w:jc w:val="both"/>
      </w:pPr>
      <w:r>
        <w:rPr>
          <w:b/>
        </w:rPr>
        <w:t xml:space="preserve">EXECUTED </w:t>
      </w:r>
      <w:r>
        <w:t xml:space="preserve">by </w:t>
      </w:r>
      <w:r>
        <w:rPr>
          <w:b/>
        </w:rPr>
        <w:t>MITCHELL PLATEAU</w:t>
      </w:r>
      <w:r>
        <w:tab/>
        <w:t>)</w:t>
      </w:r>
    </w:p>
    <w:p>
      <w:pPr>
        <w:pStyle w:val="zyMiscellaneousBody"/>
        <w:keepNext/>
        <w:tabs>
          <w:tab w:val="left" w:pos="4820"/>
        </w:tabs>
        <w:spacing w:before="0"/>
        <w:ind w:left="284" w:right="0"/>
        <w:jc w:val="both"/>
      </w:pPr>
      <w:r>
        <w:rPr>
          <w:b/>
        </w:rPr>
        <w:t>BAUXITE CO. PTY. LIMITED</w:t>
      </w:r>
      <w:r>
        <w:tab/>
        <w:t>)</w:t>
      </w:r>
    </w:p>
    <w:p>
      <w:pPr>
        <w:pStyle w:val="zyMiscellaneousBody"/>
        <w:keepNext/>
        <w:tabs>
          <w:tab w:val="left" w:pos="4820"/>
        </w:tabs>
        <w:spacing w:before="0"/>
        <w:ind w:left="284" w:right="0"/>
        <w:jc w:val="both"/>
      </w:pPr>
      <w:r>
        <w:t>ACN 008 545 499 in accordance with</w:t>
      </w:r>
      <w:r>
        <w:tab/>
        <w:t>)</w:t>
      </w:r>
    </w:p>
    <w:p>
      <w:pPr>
        <w:pStyle w:val="zyMiscellaneousBody"/>
        <w:keepNext/>
        <w:tabs>
          <w:tab w:val="left" w:pos="4820"/>
        </w:tabs>
        <w:spacing w:before="0"/>
        <w:ind w:left="284" w:right="0"/>
        <w:jc w:val="both"/>
      </w:pPr>
      <w:r>
        <w:t xml:space="preserve">section 127(1) of the </w:t>
      </w:r>
      <w:r>
        <w:rPr>
          <w:i/>
        </w:rPr>
        <w:t>Corporations Act 2001</w:t>
      </w:r>
      <w:r>
        <w:t xml:space="preserve"> (Cth)</w:t>
      </w:r>
      <w:r>
        <w:tab/>
        <w:t>)</w:t>
      </w:r>
    </w:p>
    <w:p>
      <w:pPr>
        <w:pStyle w:val="zyMiscellaneousBody"/>
        <w:keepNext/>
        <w:tabs>
          <w:tab w:val="left" w:pos="4680"/>
        </w:tabs>
        <w:spacing w:before="0"/>
        <w:ind w:left="284" w:right="0"/>
        <w:jc w:val="both"/>
      </w:pPr>
    </w:p>
    <w:p>
      <w:pPr>
        <w:pStyle w:val="zyMiscellaneousBody"/>
        <w:keepNext/>
        <w:tabs>
          <w:tab w:val="left" w:pos="4680"/>
        </w:tabs>
        <w:spacing w:before="0"/>
        <w:ind w:left="284" w:right="0"/>
        <w:jc w:val="both"/>
      </w:pPr>
      <w:r>
        <w:tab/>
      </w:r>
    </w:p>
    <w:p>
      <w:pPr>
        <w:pStyle w:val="zyMiscellaneousBody"/>
        <w:keepNext/>
        <w:tabs>
          <w:tab w:val="left" w:pos="4680"/>
        </w:tabs>
        <w:spacing w:before="0"/>
        <w:ind w:left="284" w:right="0"/>
        <w:jc w:val="both"/>
      </w:pPr>
      <w:r>
        <w:tab/>
      </w:r>
    </w:p>
    <w:p>
      <w:pPr>
        <w:pStyle w:val="zyMiscellaneousBody"/>
        <w:spacing w:before="0"/>
        <w:ind w:left="284" w:right="0"/>
        <w:jc w:val="both"/>
      </w:pPr>
    </w:p>
    <w:p>
      <w:pPr>
        <w:pStyle w:val="zyMiscellaneousBody"/>
        <w:tabs>
          <w:tab w:val="left" w:pos="3402"/>
          <w:tab w:val="left" w:pos="3686"/>
        </w:tabs>
        <w:spacing w:before="0"/>
        <w:ind w:left="284" w:right="0"/>
        <w:jc w:val="both"/>
      </w:pPr>
      <w:r>
        <w:rPr>
          <w:u w:val="dotted"/>
        </w:rPr>
        <w:t>[</w:t>
      </w:r>
      <w:r>
        <w:rPr>
          <w:u w:val="single"/>
        </w:rPr>
        <w:t>Signature]</w:t>
      </w:r>
      <w:r>
        <w:rPr>
          <w:u w:val="single"/>
        </w:rPr>
        <w:tab/>
      </w:r>
      <w:r>
        <w:tab/>
      </w:r>
      <w:r>
        <w:rPr>
          <w:u w:val="single"/>
        </w:rPr>
        <w:t>[Signature]</w:t>
      </w:r>
      <w:r>
        <w:rPr>
          <w:u w:val="single"/>
        </w:rPr>
        <w:tab/>
      </w:r>
      <w:r>
        <w:rPr>
          <w:u w:val="single"/>
        </w:rPr>
        <w:tab/>
      </w:r>
    </w:p>
    <w:p>
      <w:pPr>
        <w:pStyle w:val="zyMiscellaneousBody"/>
        <w:tabs>
          <w:tab w:val="left" w:pos="3686"/>
        </w:tabs>
        <w:spacing w:before="0"/>
        <w:ind w:left="284" w:right="0"/>
        <w:jc w:val="both"/>
      </w:pPr>
      <w:r>
        <w:t xml:space="preserve"> Signature of Director</w:t>
      </w:r>
      <w:r>
        <w:tab/>
        <w:t>Signature of Secretary</w:t>
      </w:r>
    </w:p>
    <w:p>
      <w:pPr>
        <w:pStyle w:val="zyMiscellaneousBody"/>
        <w:tabs>
          <w:tab w:val="left" w:pos="4536"/>
        </w:tabs>
        <w:spacing w:before="0"/>
        <w:ind w:left="284" w:right="0"/>
        <w:jc w:val="both"/>
      </w:pPr>
    </w:p>
    <w:p>
      <w:pPr>
        <w:pStyle w:val="zyMiscellaneousBody"/>
        <w:tabs>
          <w:tab w:val="left" w:leader="underscore" w:pos="8820"/>
        </w:tabs>
        <w:spacing w:before="0"/>
        <w:ind w:left="284" w:right="0"/>
        <w:jc w:val="both"/>
      </w:pPr>
    </w:p>
    <w:p>
      <w:pPr>
        <w:pStyle w:val="zyMiscellaneousBody"/>
        <w:tabs>
          <w:tab w:val="left" w:leader="underscore" w:pos="8820"/>
        </w:tabs>
        <w:spacing w:before="0"/>
        <w:ind w:left="284" w:right="0"/>
        <w:jc w:val="both"/>
      </w:pPr>
    </w:p>
    <w:p>
      <w:pPr>
        <w:pStyle w:val="zyMiscellaneousBody"/>
        <w:tabs>
          <w:tab w:val="left" w:pos="3402"/>
          <w:tab w:val="left" w:pos="3686"/>
        </w:tabs>
        <w:spacing w:before="0"/>
        <w:ind w:left="284" w:right="0"/>
        <w:jc w:val="both"/>
      </w:pPr>
      <w:r>
        <w:rPr>
          <w:sz w:val="20"/>
          <w:u w:val="single"/>
        </w:rPr>
        <w:t>PAUL GERARD ARNOLD</w:t>
      </w:r>
      <w:r>
        <w:rPr>
          <w:u w:val="single"/>
        </w:rPr>
        <w:tab/>
      </w:r>
      <w:r>
        <w:tab/>
      </w:r>
      <w:r>
        <w:rPr>
          <w:sz w:val="20"/>
          <w:u w:val="single"/>
        </w:rPr>
        <w:t>ALFRED PATRICK GRIGG</w:t>
      </w:r>
      <w:r>
        <w:rPr>
          <w:u w:val="single"/>
        </w:rPr>
        <w:tab/>
      </w:r>
    </w:p>
    <w:p>
      <w:pPr>
        <w:pStyle w:val="zyMiscellaneousBody"/>
        <w:tabs>
          <w:tab w:val="left" w:pos="3686"/>
        </w:tabs>
        <w:spacing w:before="0"/>
        <w:ind w:left="284" w:right="0"/>
        <w:jc w:val="both"/>
      </w:pPr>
      <w:r>
        <w:t xml:space="preserve"> Full Name</w:t>
      </w:r>
      <w:r>
        <w:tab/>
        <w:t>Full Name</w:t>
      </w:r>
    </w:p>
    <w:p>
      <w:pPr>
        <w:pStyle w:val="zyMiscellaneousBody"/>
        <w:spacing w:before="0"/>
        <w:ind w:left="284" w:right="0"/>
        <w:jc w:val="both"/>
      </w:pPr>
    </w:p>
    <w:p>
      <w:pPr>
        <w:pStyle w:val="zyMiscellaneousBody"/>
        <w:spacing w:before="0"/>
        <w:ind w:left="284" w:right="0"/>
        <w:jc w:val="both"/>
      </w:pPr>
    </w:p>
    <w:p>
      <w:pPr>
        <w:pStyle w:val="zyMiscellaneousBody"/>
        <w:tabs>
          <w:tab w:val="left" w:pos="4820"/>
        </w:tabs>
        <w:spacing w:before="0"/>
        <w:ind w:left="284" w:right="0"/>
        <w:jc w:val="both"/>
      </w:pPr>
      <w:r>
        <w:rPr>
          <w:b/>
        </w:rPr>
        <w:t xml:space="preserve">EXECUTED </w:t>
      </w:r>
      <w:r>
        <w:t>by</w:t>
      </w:r>
      <w:r>
        <w:rPr>
          <w:b/>
        </w:rPr>
        <w:t xml:space="preserve"> ALCOA OF AUSTRALIA</w:t>
      </w:r>
      <w:r>
        <w:tab/>
        <w:t>)</w:t>
      </w:r>
    </w:p>
    <w:p>
      <w:pPr>
        <w:pStyle w:val="zyMiscellaneousBody"/>
        <w:tabs>
          <w:tab w:val="left" w:pos="4820"/>
        </w:tabs>
        <w:spacing w:before="0"/>
        <w:ind w:left="284" w:right="0"/>
        <w:jc w:val="both"/>
      </w:pPr>
      <w:r>
        <w:rPr>
          <w:b/>
        </w:rPr>
        <w:t>LIMITED</w:t>
      </w:r>
      <w:r>
        <w:t xml:space="preserve"> ACN 004 879 298 in accordance </w:t>
      </w:r>
      <w:r>
        <w:tab/>
        <w:t>)</w:t>
      </w:r>
    </w:p>
    <w:p>
      <w:pPr>
        <w:pStyle w:val="zyMiscellaneousBody"/>
        <w:tabs>
          <w:tab w:val="left" w:pos="4820"/>
        </w:tabs>
        <w:spacing w:before="0"/>
        <w:ind w:left="284" w:right="0"/>
        <w:jc w:val="both"/>
      </w:pPr>
      <w:r>
        <w:t xml:space="preserve">with section 127(1) of the </w:t>
      </w:r>
      <w:r>
        <w:rPr>
          <w:i/>
        </w:rPr>
        <w:t>Corporations Act</w:t>
      </w:r>
      <w:r>
        <w:tab/>
        <w:t>)</w:t>
      </w:r>
    </w:p>
    <w:p>
      <w:pPr>
        <w:pStyle w:val="zyMiscellaneousBody"/>
        <w:tabs>
          <w:tab w:val="left" w:pos="4820"/>
        </w:tabs>
        <w:spacing w:before="0"/>
        <w:ind w:left="284" w:right="0"/>
        <w:jc w:val="both"/>
      </w:pPr>
      <w:r>
        <w:rPr>
          <w:i/>
        </w:rPr>
        <w:t>2001</w:t>
      </w:r>
      <w:r>
        <w:t xml:space="preserve"> (Cth)</w:t>
      </w:r>
      <w:r>
        <w:tab/>
        <w:t>)</w:t>
      </w:r>
    </w:p>
    <w:p>
      <w:pPr>
        <w:pStyle w:val="zyMiscellaneousBody"/>
        <w:tabs>
          <w:tab w:val="left" w:pos="4820"/>
        </w:tabs>
        <w:spacing w:before="0"/>
        <w:ind w:left="284" w:right="0"/>
        <w:jc w:val="both"/>
      </w:pPr>
      <w:r>
        <w:tab/>
      </w:r>
    </w:p>
    <w:p>
      <w:pPr>
        <w:pStyle w:val="zyMiscellaneousBody"/>
        <w:tabs>
          <w:tab w:val="left" w:pos="4820"/>
        </w:tabs>
        <w:spacing w:before="0"/>
        <w:ind w:left="284" w:right="0"/>
        <w:jc w:val="both"/>
      </w:pPr>
      <w:r>
        <w:tab/>
      </w:r>
    </w:p>
    <w:p>
      <w:pPr>
        <w:pStyle w:val="zyMiscellaneousBody"/>
        <w:spacing w:before="0"/>
        <w:ind w:left="284" w:right="0"/>
        <w:jc w:val="both"/>
      </w:pPr>
    </w:p>
    <w:p>
      <w:pPr>
        <w:pStyle w:val="zyMiscellaneousBody"/>
        <w:tabs>
          <w:tab w:val="left" w:pos="3402"/>
          <w:tab w:val="left" w:pos="3686"/>
        </w:tabs>
        <w:spacing w:before="0"/>
        <w:ind w:left="284" w:right="0"/>
        <w:jc w:val="both"/>
      </w:pPr>
      <w:r>
        <w:rPr>
          <w:u w:val="dotted"/>
        </w:rPr>
        <w:t>[</w:t>
      </w:r>
      <w:r>
        <w:rPr>
          <w:u w:val="single"/>
        </w:rPr>
        <w:t>Signature]</w:t>
      </w:r>
      <w:r>
        <w:rPr>
          <w:u w:val="single"/>
        </w:rPr>
        <w:tab/>
      </w:r>
      <w:r>
        <w:tab/>
      </w:r>
      <w:r>
        <w:rPr>
          <w:u w:val="single"/>
        </w:rPr>
        <w:t>[Signature]</w:t>
      </w:r>
      <w:r>
        <w:rPr>
          <w:u w:val="single"/>
        </w:rPr>
        <w:tab/>
      </w:r>
      <w:r>
        <w:rPr>
          <w:u w:val="single"/>
        </w:rPr>
        <w:tab/>
      </w:r>
    </w:p>
    <w:p>
      <w:pPr>
        <w:pStyle w:val="zyMiscellaneousBody"/>
        <w:tabs>
          <w:tab w:val="left" w:pos="3686"/>
        </w:tabs>
        <w:spacing w:before="0"/>
        <w:ind w:left="284" w:right="0"/>
        <w:jc w:val="both"/>
      </w:pPr>
      <w:r>
        <w:t xml:space="preserve"> Signature of Director</w:t>
      </w:r>
      <w:r>
        <w:tab/>
        <w:t>Signature of Secretary</w:t>
      </w:r>
    </w:p>
    <w:p>
      <w:pPr>
        <w:pStyle w:val="zyMiscellaneousBody"/>
        <w:tabs>
          <w:tab w:val="left" w:pos="4536"/>
        </w:tabs>
        <w:spacing w:before="0"/>
        <w:ind w:left="284" w:right="0"/>
        <w:jc w:val="both"/>
      </w:pPr>
    </w:p>
    <w:p>
      <w:pPr>
        <w:pStyle w:val="zyMiscellaneousBody"/>
        <w:tabs>
          <w:tab w:val="left" w:leader="underscore" w:pos="8820"/>
        </w:tabs>
        <w:spacing w:before="0"/>
        <w:ind w:left="284" w:right="0"/>
        <w:jc w:val="both"/>
      </w:pPr>
    </w:p>
    <w:p>
      <w:pPr>
        <w:pStyle w:val="zyMiscellaneousBody"/>
        <w:tabs>
          <w:tab w:val="left" w:leader="underscore" w:pos="8820"/>
        </w:tabs>
        <w:spacing w:before="0"/>
        <w:ind w:left="284" w:right="0"/>
        <w:jc w:val="both"/>
      </w:pPr>
    </w:p>
    <w:p>
      <w:pPr>
        <w:pStyle w:val="zyMiscellaneousBody"/>
        <w:tabs>
          <w:tab w:val="left" w:pos="3686"/>
        </w:tabs>
        <w:spacing w:before="0"/>
        <w:ind w:left="284" w:right="0"/>
        <w:jc w:val="both"/>
        <w:rPr>
          <w:u w:val="single"/>
        </w:rPr>
      </w:pPr>
      <w:r>
        <w:rPr>
          <w:sz w:val="20"/>
          <w:u w:val="single"/>
        </w:rPr>
        <w:t>SIMON NICOLAS BUTTERWORTH</w:t>
      </w:r>
      <w:r>
        <w:rPr>
          <w:sz w:val="18"/>
        </w:rPr>
        <w:tab/>
      </w:r>
      <w:r>
        <w:rPr>
          <w:sz w:val="20"/>
          <w:u w:val="single"/>
        </w:rPr>
        <w:t>MELANIE KATHERINE BROWN</w:t>
      </w:r>
      <w:r>
        <w:rPr>
          <w:sz w:val="20"/>
          <w:u w:val="single"/>
        </w:rPr>
        <w:tab/>
      </w:r>
    </w:p>
    <w:p>
      <w:pPr>
        <w:pStyle w:val="zyMiscellaneousBody"/>
        <w:tabs>
          <w:tab w:val="left" w:pos="3686"/>
        </w:tabs>
        <w:spacing w:before="0"/>
        <w:ind w:left="284" w:right="0"/>
        <w:jc w:val="both"/>
      </w:pPr>
      <w:r>
        <w:t xml:space="preserve"> Full Name</w:t>
      </w:r>
      <w:r>
        <w:tab/>
        <w:t>Full Name</w:t>
      </w:r>
    </w:p>
    <w:p>
      <w:pPr>
        <w:pStyle w:val="zyHeading2"/>
        <w:spacing w:before="480"/>
      </w:pPr>
      <w:bookmarkStart w:id="102" w:name="_Toc412535438"/>
      <w:bookmarkStart w:id="103" w:name="_Toc412535460"/>
      <w:bookmarkStart w:id="104" w:name="_Toc412535606"/>
      <w:bookmarkStart w:id="105" w:name="_Toc412817931"/>
      <w:bookmarkStart w:id="106" w:name="_Toc412817981"/>
      <w:bookmarkStart w:id="107" w:name="_Toc412818003"/>
      <w:bookmarkStart w:id="108" w:name="_Toc412819573"/>
      <w:bookmarkStart w:id="109" w:name="_Toc413138394"/>
      <w:bookmarkStart w:id="110" w:name="_Toc413170422"/>
      <w:bookmarkStart w:id="111" w:name="_Toc413236614"/>
      <w:bookmarkStart w:id="112" w:name="_Toc413396027"/>
      <w:bookmarkStart w:id="113" w:name="_Toc433186864"/>
      <w:bookmarkStart w:id="114" w:name="_Toc433187132"/>
      <w:bookmarkStart w:id="115" w:name="_Toc434319516"/>
      <w:bookmarkStart w:id="116" w:name="_Toc434319538"/>
      <w:bookmarkStart w:id="117" w:name="_Toc434319588"/>
      <w:bookmarkStart w:id="118" w:name="_Toc434324283"/>
      <w:bookmarkStart w:id="119" w:name="_Toc434324379"/>
      <w:r>
        <w:t>Fifth Schedule — Mitchell Plateau area</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pPr>
        <w:pStyle w:val="zyShoulderClause"/>
        <w:keepNext/>
      </w:pPr>
      <w:r>
        <w:t>[s. 2]</w:t>
      </w:r>
    </w:p>
    <w:p>
      <w:pPr>
        <w:pStyle w:val="zyHeading3"/>
      </w:pPr>
      <w:bookmarkStart w:id="120" w:name="_Toc412535439"/>
      <w:bookmarkStart w:id="121" w:name="_Toc412535461"/>
      <w:bookmarkStart w:id="122" w:name="_Toc412535607"/>
      <w:bookmarkStart w:id="123" w:name="_Toc412817932"/>
      <w:bookmarkStart w:id="124" w:name="_Toc412817982"/>
      <w:bookmarkStart w:id="125" w:name="_Toc412818004"/>
      <w:bookmarkStart w:id="126" w:name="_Toc412819574"/>
      <w:bookmarkStart w:id="127" w:name="_Toc413138395"/>
      <w:bookmarkStart w:id="128" w:name="_Toc413170423"/>
      <w:bookmarkStart w:id="129" w:name="_Toc413236615"/>
      <w:bookmarkStart w:id="130" w:name="_Toc413396028"/>
      <w:bookmarkStart w:id="131" w:name="_Toc433186865"/>
      <w:bookmarkStart w:id="132" w:name="_Toc433187133"/>
      <w:bookmarkStart w:id="133" w:name="_Toc434319517"/>
      <w:bookmarkStart w:id="134" w:name="_Toc434319539"/>
      <w:bookmarkStart w:id="135" w:name="_Toc434319589"/>
      <w:bookmarkStart w:id="136" w:name="_Toc434324284"/>
      <w:bookmarkStart w:id="137" w:name="_Toc434324380"/>
      <w:r>
        <w:t>Division 1</w:t>
      </w:r>
      <w:r>
        <w:rPr>
          <w:b w:val="0"/>
        </w:rPr>
        <w:t> — </w:t>
      </w:r>
      <w:r>
        <w:t>Description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pPr>
        <w:pStyle w:val="zyHeading5"/>
      </w:pPr>
      <w:bookmarkStart w:id="138" w:name="_Toc412535608"/>
      <w:bookmarkStart w:id="139" w:name="_Toc433187134"/>
      <w:bookmarkStart w:id="140" w:name="_Toc434319590"/>
      <w:bookmarkStart w:id="141" w:name="_Toc434324381"/>
      <w:r>
        <w:t>1.</w:t>
      </w:r>
      <w:r>
        <w:tab/>
        <w:t>Mitchell Plateau area</w:t>
      </w:r>
      <w:bookmarkEnd w:id="138"/>
      <w:bookmarkEnd w:id="139"/>
      <w:bookmarkEnd w:id="140"/>
      <w:bookmarkEnd w:id="141"/>
    </w:p>
    <w:p>
      <w:pPr>
        <w:pStyle w:val="zySubsection"/>
        <w:keepNext/>
      </w:pPr>
      <w:r>
        <w:tab/>
        <w:t>(1)</w:t>
      </w:r>
      <w:r>
        <w:tab/>
        <w:t xml:space="preserve">In this clause — </w:t>
      </w:r>
    </w:p>
    <w:p>
      <w:pPr>
        <w:pStyle w:val="zyDefstart"/>
      </w:pPr>
      <w:r>
        <w:tab/>
      </w:r>
      <w:r>
        <w:rPr>
          <w:rStyle w:val="CharDefText"/>
        </w:rPr>
        <w:t>high water mark</w:t>
      </w:r>
      <w:r>
        <w:t xml:space="preserve"> means ordinary high water mark at spring tides;</w:t>
      </w:r>
    </w:p>
    <w:p>
      <w:pPr>
        <w:pStyle w:val="zyDefstart"/>
      </w:pPr>
      <w:r>
        <w:tab/>
      </w:r>
      <w:r>
        <w:rPr>
          <w:rStyle w:val="CharDefText"/>
        </w:rPr>
        <w:t>point</w:t>
      </w:r>
      <w:r>
        <w:t xml:space="preserve"> means a point on the surface of the Earth identified by a number on the map set out in Division 2.</w:t>
      </w:r>
    </w:p>
    <w:p>
      <w:pPr>
        <w:pStyle w:val="zySubsection"/>
      </w:pPr>
      <w:r>
        <w:tab/>
        <w:t>(2)</w:t>
      </w:r>
      <w:r>
        <w:tab/>
        <w:t xml:space="preserve">The Mitchell Plateau area is the area of land bounded by — </w:t>
      </w:r>
    </w:p>
    <w:p>
      <w:pPr>
        <w:pStyle w:val="zyIndenta"/>
      </w:pPr>
      <w:r>
        <w:tab/>
        <w:t>(a)</w:t>
      </w:r>
      <w:r>
        <w:tab/>
        <w:t>the straight line starting at the intersection of the high water mark and the straight line connecting points 1 and 2, and ending at point 2; and</w:t>
      </w:r>
    </w:p>
    <w:p>
      <w:pPr>
        <w:pStyle w:val="zyIndenta"/>
      </w:pPr>
      <w:r>
        <w:tab/>
        <w:t>(b)</w:t>
      </w:r>
      <w:r>
        <w:tab/>
        <w:t>the straight lines connecting points 2 to 38; and</w:t>
      </w:r>
    </w:p>
    <w:p>
      <w:pPr>
        <w:pStyle w:val="zyIndenta"/>
      </w:pPr>
      <w:r>
        <w:tab/>
        <w:t>(c)</w:t>
      </w:r>
      <w:r>
        <w:tab/>
        <w:t>the straight line starting at point 38 and ending at the intersection of the high water mark and the straight line connecting points 38 and 39; and</w:t>
      </w:r>
    </w:p>
    <w:p>
      <w:pPr>
        <w:pStyle w:val="zyIndenta"/>
      </w:pPr>
      <w:r>
        <w:tab/>
        <w:t>(d)</w:t>
      </w:r>
      <w:r>
        <w:tab/>
        <w:t>the line along the high water mark starting at the intersection of the high water mark and the straight line connecting points 38 and 39 and ending at the intersection of the high water mark and the straight line connecting points 40 and 41; and</w:t>
      </w:r>
    </w:p>
    <w:p>
      <w:pPr>
        <w:pStyle w:val="zyIndenta"/>
      </w:pPr>
      <w:r>
        <w:tab/>
        <w:t>(e)</w:t>
      </w:r>
      <w:r>
        <w:tab/>
        <w:t>the straight line starting at the intersection of the high water mark and the straight line connecting points 40 and 41, and ending at point 41; and</w:t>
      </w:r>
    </w:p>
    <w:p>
      <w:pPr>
        <w:pStyle w:val="zyIndenta"/>
      </w:pPr>
      <w:r>
        <w:tab/>
        <w:t>(f)</w:t>
      </w:r>
      <w:r>
        <w:tab/>
        <w:t>the straight lines connecting points 41 to 44; and</w:t>
      </w:r>
    </w:p>
    <w:p>
      <w:pPr>
        <w:pStyle w:val="zyIndenta"/>
      </w:pPr>
      <w:r>
        <w:tab/>
        <w:t>(g)</w:t>
      </w:r>
      <w:r>
        <w:tab/>
        <w:t>the straight line starting at point 44 and ending at the intersection of the high water mark and the straight line connecting points 44 and 45; and</w:t>
      </w:r>
    </w:p>
    <w:p>
      <w:pPr>
        <w:pStyle w:val="zyIndenta"/>
      </w:pPr>
      <w:r>
        <w:tab/>
        <w:t>(h)</w:t>
      </w:r>
      <w:r>
        <w:tab/>
        <w:t>the line along the high water mark starting at the intersection of the high water mark and the straight line connecting points 44 and 45 and ending at the intersection of the high water mark and the straight line connecting points 1 and 2.</w:t>
      </w:r>
    </w:p>
    <w:p>
      <w:pPr>
        <w:pStyle w:val="zySubsection"/>
      </w:pPr>
      <w:r>
        <w:tab/>
        <w:t>(3)</w:t>
      </w:r>
      <w:r>
        <w:tab/>
        <w:t>However, the Mitchell Plateau area does not include the area of land bounded by straight lines connecting points 46, 47, 48 and 49, starting at point 46 and ending at that point.</w:t>
      </w:r>
    </w:p>
    <w:p>
      <w:pPr>
        <w:pStyle w:val="zySubsection"/>
      </w:pPr>
      <w:r>
        <w:tab/>
        <w:t>(4)</w:t>
      </w:r>
      <w:r>
        <w:tab/>
        <w:t>The Mitchell Plateau area is depicted on the map set out in Division 2.</w:t>
      </w:r>
    </w:p>
    <w:p>
      <w:pPr>
        <w:pStyle w:val="zySubsection"/>
      </w:pPr>
      <w:r>
        <w:tab/>
        <w:t>(5)</w:t>
      </w:r>
      <w:r>
        <w:tab/>
        <w:t>The position of a point is to be determined by reference to the coordinates set out in Division 3 opposite the relevant point number.</w:t>
      </w:r>
    </w:p>
    <w:p>
      <w:pPr>
        <w:pStyle w:val="zySubsection"/>
      </w:pPr>
      <w:r>
        <w:tab/>
        <w:t>(6)</w:t>
      </w:r>
      <w:r>
        <w:tab/>
        <w:t>The coordinates referred to in subclause (5) are Geocentric Datum of Australia 1994 coordinates.</w:t>
      </w:r>
    </w:p>
    <w:p>
      <w:pPr>
        <w:pStyle w:val="zyHeading3"/>
      </w:pPr>
      <w:bookmarkStart w:id="142" w:name="_Toc412535441"/>
      <w:bookmarkStart w:id="143" w:name="_Toc412535463"/>
      <w:bookmarkStart w:id="144" w:name="_Toc412535609"/>
      <w:bookmarkStart w:id="145" w:name="_Toc412817934"/>
      <w:bookmarkStart w:id="146" w:name="_Toc412817984"/>
      <w:bookmarkStart w:id="147" w:name="_Toc412818006"/>
      <w:bookmarkStart w:id="148" w:name="_Toc412819576"/>
      <w:bookmarkStart w:id="149" w:name="_Toc413138397"/>
      <w:bookmarkStart w:id="150" w:name="_Toc413170425"/>
      <w:bookmarkStart w:id="151" w:name="_Toc413236617"/>
      <w:bookmarkStart w:id="152" w:name="_Toc413396030"/>
      <w:bookmarkStart w:id="153" w:name="_Toc433186867"/>
      <w:bookmarkStart w:id="154" w:name="_Toc433187135"/>
      <w:bookmarkStart w:id="155" w:name="_Toc434319519"/>
      <w:bookmarkStart w:id="156" w:name="_Toc434319541"/>
      <w:bookmarkStart w:id="157" w:name="_Toc434319591"/>
      <w:bookmarkStart w:id="158" w:name="_Toc434324286"/>
      <w:bookmarkStart w:id="159" w:name="_Toc434324382"/>
      <w:r>
        <w:t>Division 2</w:t>
      </w:r>
      <w:r>
        <w:rPr>
          <w:b w:val="0"/>
        </w:rPr>
        <w:t> — </w:t>
      </w:r>
      <w:r>
        <w:t>Map</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pPr>
        <w:pStyle w:val="zyMiscellaneousBody"/>
        <w:ind w:left="142" w:right="424"/>
        <w:jc w:val="both"/>
      </w:pPr>
      <w:r>
        <w:rPr>
          <w:noProof/>
        </w:rPr>
        <w:drawing>
          <wp:inline distT="0" distB="0" distL="0" distR="0">
            <wp:extent cx="4286250" cy="6062855"/>
            <wp:effectExtent l="0" t="0" r="0" b="0"/>
            <wp:docPr id="4" name="Picture 4" descr="C:\Users\GrahamH\AppData\Local\Microsoft\Windows\Temporary Internet Files\Content.Word\Mitchell Plateau Area DMP BW Simplified Map incl coastal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H\AppData\Local\Microsoft\Windows\Temporary Internet Files\Content.Word\Mitchell Plateau Area DMP BW Simplified Map incl coastal point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0566" cy="6068960"/>
                    </a:xfrm>
                    <a:prstGeom prst="rect">
                      <a:avLst/>
                    </a:prstGeom>
                    <a:noFill/>
                    <a:ln>
                      <a:noFill/>
                    </a:ln>
                  </pic:spPr>
                </pic:pic>
              </a:graphicData>
            </a:graphic>
          </wp:inline>
        </w:drawing>
      </w:r>
    </w:p>
    <w:p>
      <w:pPr>
        <w:pStyle w:val="zyHeading3"/>
        <w:spacing w:after="240"/>
      </w:pPr>
      <w:bookmarkStart w:id="160" w:name="_Toc412535442"/>
      <w:bookmarkStart w:id="161" w:name="_Toc412535464"/>
      <w:bookmarkStart w:id="162" w:name="_Toc412535610"/>
      <w:bookmarkStart w:id="163" w:name="_Toc412817935"/>
      <w:bookmarkStart w:id="164" w:name="_Toc412817985"/>
      <w:bookmarkStart w:id="165" w:name="_Toc412818007"/>
      <w:bookmarkStart w:id="166" w:name="_Toc412819577"/>
      <w:bookmarkStart w:id="167" w:name="_Toc413138398"/>
      <w:bookmarkStart w:id="168" w:name="_Toc413170426"/>
      <w:bookmarkStart w:id="169" w:name="_Toc413236618"/>
      <w:bookmarkStart w:id="170" w:name="_Toc413396031"/>
      <w:bookmarkStart w:id="171" w:name="_Toc433186868"/>
      <w:bookmarkStart w:id="172" w:name="_Toc433187136"/>
      <w:bookmarkStart w:id="173" w:name="_Toc434319520"/>
      <w:bookmarkStart w:id="174" w:name="_Toc434319542"/>
      <w:bookmarkStart w:id="175" w:name="_Toc434319592"/>
      <w:bookmarkStart w:id="176" w:name="_Toc434324287"/>
      <w:bookmarkStart w:id="177" w:name="_Toc434324383"/>
      <w:r>
        <w:t>Division 3</w:t>
      </w:r>
      <w:r>
        <w:rPr>
          <w:b w:val="0"/>
        </w:rPr>
        <w:t> — </w:t>
      </w:r>
      <w:r>
        <w:t>Coordinates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tbl>
      <w:tblPr>
        <w:tblW w:w="623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851"/>
        <w:gridCol w:w="2764"/>
        <w:gridCol w:w="2622"/>
      </w:tblGrid>
      <w:tr>
        <w:trPr>
          <w:tblHeader/>
        </w:trPr>
        <w:tc>
          <w:tcPr>
            <w:tcW w:w="851" w:type="dxa"/>
          </w:tcPr>
          <w:p>
            <w:pPr>
              <w:pStyle w:val="zyTableNAm"/>
              <w:jc w:val="center"/>
              <w:rPr>
                <w:b/>
                <w:bCs/>
              </w:rPr>
            </w:pPr>
            <w:r>
              <w:rPr>
                <w:b/>
                <w:bCs/>
              </w:rPr>
              <w:t>Point</w:t>
            </w:r>
          </w:p>
        </w:tc>
        <w:tc>
          <w:tcPr>
            <w:tcW w:w="2764" w:type="dxa"/>
          </w:tcPr>
          <w:p>
            <w:pPr>
              <w:pStyle w:val="zyTableNAm"/>
              <w:jc w:val="center"/>
              <w:rPr>
                <w:b/>
                <w:bCs/>
              </w:rPr>
            </w:pPr>
            <w:r>
              <w:rPr>
                <w:b/>
                <w:bCs/>
              </w:rPr>
              <w:t>Latitude</w:t>
            </w:r>
          </w:p>
        </w:tc>
        <w:tc>
          <w:tcPr>
            <w:tcW w:w="2622" w:type="dxa"/>
          </w:tcPr>
          <w:p>
            <w:pPr>
              <w:pStyle w:val="zyTableNAm"/>
              <w:jc w:val="center"/>
              <w:rPr>
                <w:b/>
                <w:bCs/>
              </w:rPr>
            </w:pPr>
            <w:r>
              <w:rPr>
                <w:b/>
                <w:bCs/>
              </w:rPr>
              <w:t>Longitude</w:t>
            </w:r>
          </w:p>
        </w:tc>
      </w:tr>
      <w:tr>
        <w:tc>
          <w:tcPr>
            <w:tcW w:w="851" w:type="dxa"/>
          </w:tcPr>
          <w:p>
            <w:pPr>
              <w:pStyle w:val="zyTableNAm"/>
              <w:jc w:val="center"/>
            </w:pPr>
            <w:r>
              <w:t>1</w:t>
            </w:r>
          </w:p>
        </w:tc>
        <w:tc>
          <w:tcPr>
            <w:tcW w:w="2764" w:type="dxa"/>
            <w:vAlign w:val="bottom"/>
          </w:tcPr>
          <w:p>
            <w:pPr>
              <w:jc w:val="center"/>
            </w:pPr>
            <w:r>
              <w:rPr>
                <w:sz w:val="22"/>
              </w:rPr>
              <w:t>14°35'27.24" S</w:t>
            </w:r>
          </w:p>
        </w:tc>
        <w:tc>
          <w:tcPr>
            <w:tcW w:w="2622" w:type="dxa"/>
            <w:vAlign w:val="bottom"/>
          </w:tcPr>
          <w:p>
            <w:pPr>
              <w:jc w:val="center"/>
              <w:rPr>
                <w:rFonts w:ascii="Calibri" w:hAnsi="Calibri"/>
                <w:color w:val="000000"/>
                <w:sz w:val="22"/>
                <w:szCs w:val="22"/>
              </w:rPr>
            </w:pPr>
            <w:r>
              <w:rPr>
                <w:sz w:val="22"/>
              </w:rPr>
              <w:t>125°50'44.84" E</w:t>
            </w:r>
          </w:p>
        </w:tc>
      </w:tr>
      <w:tr>
        <w:tc>
          <w:tcPr>
            <w:tcW w:w="851" w:type="dxa"/>
          </w:tcPr>
          <w:p>
            <w:pPr>
              <w:pStyle w:val="zyTableNAm"/>
              <w:jc w:val="center"/>
            </w:pPr>
            <w:r>
              <w:t>2</w:t>
            </w:r>
          </w:p>
        </w:tc>
        <w:tc>
          <w:tcPr>
            <w:tcW w:w="2764" w:type="dxa"/>
          </w:tcPr>
          <w:p>
            <w:pPr>
              <w:pStyle w:val="zyTableNAm"/>
              <w:jc w:val="center"/>
            </w:pPr>
            <w:r>
              <w:t>14°41'33.24" S</w:t>
            </w:r>
          </w:p>
        </w:tc>
        <w:tc>
          <w:tcPr>
            <w:tcW w:w="2622" w:type="dxa"/>
          </w:tcPr>
          <w:p>
            <w:pPr>
              <w:pStyle w:val="zyTableNAm"/>
              <w:jc w:val="center"/>
            </w:pPr>
            <w:r>
              <w:t>125°50'44.84” E</w:t>
            </w:r>
          </w:p>
        </w:tc>
      </w:tr>
      <w:tr>
        <w:tc>
          <w:tcPr>
            <w:tcW w:w="851" w:type="dxa"/>
          </w:tcPr>
          <w:p>
            <w:pPr>
              <w:pStyle w:val="zyTableNAm"/>
              <w:jc w:val="center"/>
            </w:pPr>
            <w:r>
              <w:t>3</w:t>
            </w:r>
          </w:p>
        </w:tc>
        <w:tc>
          <w:tcPr>
            <w:tcW w:w="2764" w:type="dxa"/>
          </w:tcPr>
          <w:p>
            <w:pPr>
              <w:pStyle w:val="zyTableNAm"/>
              <w:jc w:val="center"/>
            </w:pPr>
            <w:r>
              <w:t>14°43'11.86" S</w:t>
            </w:r>
          </w:p>
        </w:tc>
        <w:tc>
          <w:tcPr>
            <w:tcW w:w="2622" w:type="dxa"/>
          </w:tcPr>
          <w:p>
            <w:pPr>
              <w:pStyle w:val="zyTableNAm"/>
              <w:jc w:val="center"/>
            </w:pPr>
            <w:r>
              <w:t>125°51'43.34" E</w:t>
            </w:r>
          </w:p>
        </w:tc>
      </w:tr>
      <w:tr>
        <w:tc>
          <w:tcPr>
            <w:tcW w:w="851" w:type="dxa"/>
          </w:tcPr>
          <w:p>
            <w:pPr>
              <w:pStyle w:val="zyTableNAm"/>
              <w:jc w:val="center"/>
            </w:pPr>
            <w:r>
              <w:t>4</w:t>
            </w:r>
          </w:p>
        </w:tc>
        <w:tc>
          <w:tcPr>
            <w:tcW w:w="2764" w:type="dxa"/>
          </w:tcPr>
          <w:p>
            <w:pPr>
              <w:pStyle w:val="zyTableNAm"/>
              <w:jc w:val="center"/>
            </w:pPr>
            <w:r>
              <w:t>14°43'11.86" S</w:t>
            </w:r>
          </w:p>
        </w:tc>
        <w:tc>
          <w:tcPr>
            <w:tcW w:w="2622" w:type="dxa"/>
          </w:tcPr>
          <w:p>
            <w:pPr>
              <w:pStyle w:val="zyTableNAm"/>
              <w:jc w:val="center"/>
            </w:pPr>
            <w:r>
              <w:t>125°52'50.20" E</w:t>
            </w:r>
          </w:p>
        </w:tc>
      </w:tr>
      <w:tr>
        <w:tc>
          <w:tcPr>
            <w:tcW w:w="851" w:type="dxa"/>
          </w:tcPr>
          <w:p>
            <w:pPr>
              <w:pStyle w:val="zyTableNAm"/>
              <w:jc w:val="center"/>
            </w:pPr>
            <w:r>
              <w:t>5</w:t>
            </w:r>
          </w:p>
        </w:tc>
        <w:tc>
          <w:tcPr>
            <w:tcW w:w="2764" w:type="dxa"/>
          </w:tcPr>
          <w:p>
            <w:pPr>
              <w:pStyle w:val="zyTableNAm"/>
              <w:jc w:val="center"/>
            </w:pPr>
            <w:r>
              <w:t>14°45'54.54" S</w:t>
            </w:r>
          </w:p>
        </w:tc>
        <w:tc>
          <w:tcPr>
            <w:tcW w:w="2622" w:type="dxa"/>
          </w:tcPr>
          <w:p>
            <w:pPr>
              <w:pStyle w:val="zyTableNAm"/>
              <w:jc w:val="center"/>
            </w:pPr>
            <w:r>
              <w:t>125°52'50.20" E</w:t>
            </w:r>
          </w:p>
        </w:tc>
      </w:tr>
      <w:tr>
        <w:tc>
          <w:tcPr>
            <w:tcW w:w="851" w:type="dxa"/>
          </w:tcPr>
          <w:p>
            <w:pPr>
              <w:pStyle w:val="zyTableNAm"/>
              <w:jc w:val="center"/>
            </w:pPr>
            <w:r>
              <w:t>6</w:t>
            </w:r>
          </w:p>
        </w:tc>
        <w:tc>
          <w:tcPr>
            <w:tcW w:w="2764" w:type="dxa"/>
          </w:tcPr>
          <w:p>
            <w:pPr>
              <w:pStyle w:val="zyTableNAm"/>
              <w:jc w:val="center"/>
            </w:pPr>
            <w:r>
              <w:t>14°45'54.55" S</w:t>
            </w:r>
          </w:p>
        </w:tc>
        <w:tc>
          <w:tcPr>
            <w:tcW w:w="2622" w:type="dxa"/>
          </w:tcPr>
          <w:p>
            <w:pPr>
              <w:pStyle w:val="zyTableNAm"/>
              <w:jc w:val="center"/>
            </w:pPr>
            <w:r>
              <w:t>125°55'04.55" E</w:t>
            </w:r>
          </w:p>
        </w:tc>
      </w:tr>
      <w:tr>
        <w:tc>
          <w:tcPr>
            <w:tcW w:w="851" w:type="dxa"/>
          </w:tcPr>
          <w:p>
            <w:pPr>
              <w:pStyle w:val="zyTableNAm"/>
              <w:jc w:val="center"/>
            </w:pPr>
            <w:r>
              <w:t>7</w:t>
            </w:r>
          </w:p>
        </w:tc>
        <w:tc>
          <w:tcPr>
            <w:tcW w:w="2764" w:type="dxa"/>
          </w:tcPr>
          <w:p>
            <w:pPr>
              <w:pStyle w:val="zyTableNAm"/>
              <w:jc w:val="center"/>
            </w:pPr>
            <w:r>
              <w:t>14°48'49.00" S</w:t>
            </w:r>
          </w:p>
        </w:tc>
        <w:tc>
          <w:tcPr>
            <w:tcW w:w="2622" w:type="dxa"/>
          </w:tcPr>
          <w:p>
            <w:pPr>
              <w:pStyle w:val="zyTableNAm"/>
              <w:jc w:val="center"/>
            </w:pPr>
            <w:r>
              <w:t>125°55'04.55" E</w:t>
            </w:r>
          </w:p>
        </w:tc>
      </w:tr>
      <w:tr>
        <w:tc>
          <w:tcPr>
            <w:tcW w:w="851" w:type="dxa"/>
          </w:tcPr>
          <w:p>
            <w:pPr>
              <w:pStyle w:val="zyTableNAm"/>
              <w:jc w:val="center"/>
            </w:pPr>
            <w:r>
              <w:t>8</w:t>
            </w:r>
          </w:p>
        </w:tc>
        <w:tc>
          <w:tcPr>
            <w:tcW w:w="2764" w:type="dxa"/>
          </w:tcPr>
          <w:p>
            <w:pPr>
              <w:pStyle w:val="zyTableNAm"/>
              <w:jc w:val="center"/>
            </w:pPr>
            <w:r>
              <w:t>14°48'49.00" S</w:t>
            </w:r>
          </w:p>
        </w:tc>
        <w:tc>
          <w:tcPr>
            <w:tcW w:w="2622" w:type="dxa"/>
          </w:tcPr>
          <w:p>
            <w:pPr>
              <w:pStyle w:val="zyTableNAm"/>
              <w:jc w:val="center"/>
            </w:pPr>
            <w:r>
              <w:t>125°56'51.57" E</w:t>
            </w:r>
          </w:p>
        </w:tc>
      </w:tr>
      <w:tr>
        <w:tc>
          <w:tcPr>
            <w:tcW w:w="851" w:type="dxa"/>
          </w:tcPr>
          <w:p>
            <w:pPr>
              <w:pStyle w:val="zyTableNAm"/>
              <w:jc w:val="center"/>
            </w:pPr>
            <w:r>
              <w:t>9</w:t>
            </w:r>
          </w:p>
        </w:tc>
        <w:tc>
          <w:tcPr>
            <w:tcW w:w="2764" w:type="dxa"/>
          </w:tcPr>
          <w:p>
            <w:pPr>
              <w:pStyle w:val="zyTableNAm"/>
              <w:jc w:val="center"/>
            </w:pPr>
            <w:r>
              <w:t>14°53'09.28" S</w:t>
            </w:r>
          </w:p>
        </w:tc>
        <w:tc>
          <w:tcPr>
            <w:tcW w:w="2622" w:type="dxa"/>
          </w:tcPr>
          <w:p>
            <w:pPr>
              <w:pStyle w:val="zyTableNAm"/>
              <w:jc w:val="center"/>
            </w:pPr>
            <w:r>
              <w:t>125°56'51.58" E</w:t>
            </w:r>
          </w:p>
        </w:tc>
      </w:tr>
      <w:tr>
        <w:tc>
          <w:tcPr>
            <w:tcW w:w="851" w:type="dxa"/>
          </w:tcPr>
          <w:p>
            <w:pPr>
              <w:pStyle w:val="zyTableNAm"/>
              <w:jc w:val="center"/>
            </w:pPr>
            <w:r>
              <w:t>10</w:t>
            </w:r>
          </w:p>
        </w:tc>
        <w:tc>
          <w:tcPr>
            <w:tcW w:w="2764" w:type="dxa"/>
          </w:tcPr>
          <w:p>
            <w:pPr>
              <w:pStyle w:val="zyTableNAm"/>
              <w:jc w:val="center"/>
            </w:pPr>
            <w:r>
              <w:t>14°53'09.28" S</w:t>
            </w:r>
          </w:p>
        </w:tc>
        <w:tc>
          <w:tcPr>
            <w:tcW w:w="2622" w:type="dxa"/>
          </w:tcPr>
          <w:p>
            <w:pPr>
              <w:pStyle w:val="zyTableNAm"/>
              <w:jc w:val="center"/>
            </w:pPr>
            <w:r>
              <w:t>126°00'52.45" E</w:t>
            </w:r>
          </w:p>
        </w:tc>
      </w:tr>
      <w:tr>
        <w:tc>
          <w:tcPr>
            <w:tcW w:w="851" w:type="dxa"/>
          </w:tcPr>
          <w:p>
            <w:pPr>
              <w:pStyle w:val="zyTableNAm"/>
              <w:jc w:val="center"/>
            </w:pPr>
            <w:r>
              <w:t>11</w:t>
            </w:r>
          </w:p>
        </w:tc>
        <w:tc>
          <w:tcPr>
            <w:tcW w:w="2764" w:type="dxa"/>
          </w:tcPr>
          <w:p>
            <w:pPr>
              <w:pStyle w:val="zyTableNAm"/>
              <w:jc w:val="center"/>
            </w:pPr>
            <w:r>
              <w:t>14°49'41.05" S</w:t>
            </w:r>
          </w:p>
        </w:tc>
        <w:tc>
          <w:tcPr>
            <w:tcW w:w="2622" w:type="dxa"/>
          </w:tcPr>
          <w:p>
            <w:pPr>
              <w:pStyle w:val="zyTableNAm"/>
              <w:jc w:val="center"/>
            </w:pPr>
            <w:r>
              <w:t>126°00'52.45" E</w:t>
            </w:r>
          </w:p>
        </w:tc>
      </w:tr>
      <w:tr>
        <w:tc>
          <w:tcPr>
            <w:tcW w:w="851" w:type="dxa"/>
          </w:tcPr>
          <w:p>
            <w:pPr>
              <w:pStyle w:val="zyTableNAm"/>
              <w:jc w:val="center"/>
            </w:pPr>
            <w:r>
              <w:t>12</w:t>
            </w:r>
          </w:p>
        </w:tc>
        <w:tc>
          <w:tcPr>
            <w:tcW w:w="2764" w:type="dxa"/>
          </w:tcPr>
          <w:p>
            <w:pPr>
              <w:pStyle w:val="zyTableNAm"/>
              <w:jc w:val="center"/>
            </w:pPr>
            <w:r>
              <w:t>14°49'41.04" S</w:t>
            </w:r>
          </w:p>
        </w:tc>
        <w:tc>
          <w:tcPr>
            <w:tcW w:w="2622" w:type="dxa"/>
          </w:tcPr>
          <w:p>
            <w:pPr>
              <w:pStyle w:val="zyTableNAm"/>
              <w:jc w:val="center"/>
            </w:pPr>
            <w:r>
              <w:t>126°10'00.00" E</w:t>
            </w:r>
          </w:p>
        </w:tc>
      </w:tr>
      <w:tr>
        <w:tc>
          <w:tcPr>
            <w:tcW w:w="851" w:type="dxa"/>
          </w:tcPr>
          <w:p>
            <w:pPr>
              <w:pStyle w:val="zyTableNAm"/>
              <w:jc w:val="center"/>
            </w:pPr>
            <w:r>
              <w:t>13</w:t>
            </w:r>
          </w:p>
        </w:tc>
        <w:tc>
          <w:tcPr>
            <w:tcW w:w="2764" w:type="dxa"/>
          </w:tcPr>
          <w:p>
            <w:pPr>
              <w:pStyle w:val="zyTableNAm"/>
              <w:jc w:val="center"/>
            </w:pPr>
            <w:r>
              <w:t>14°55'00.00" S</w:t>
            </w:r>
          </w:p>
        </w:tc>
        <w:tc>
          <w:tcPr>
            <w:tcW w:w="2622" w:type="dxa"/>
          </w:tcPr>
          <w:p>
            <w:pPr>
              <w:pStyle w:val="zyTableNAm"/>
              <w:jc w:val="center"/>
            </w:pPr>
            <w:r>
              <w:t>126°10'00.00" E</w:t>
            </w:r>
          </w:p>
        </w:tc>
      </w:tr>
      <w:tr>
        <w:tc>
          <w:tcPr>
            <w:tcW w:w="851" w:type="dxa"/>
          </w:tcPr>
          <w:p>
            <w:pPr>
              <w:pStyle w:val="zyTableNAm"/>
              <w:jc w:val="center"/>
            </w:pPr>
            <w:r>
              <w:t>14</w:t>
            </w:r>
          </w:p>
        </w:tc>
        <w:tc>
          <w:tcPr>
            <w:tcW w:w="2764" w:type="dxa"/>
          </w:tcPr>
          <w:p>
            <w:pPr>
              <w:pStyle w:val="zyTableNAm"/>
              <w:jc w:val="center"/>
            </w:pPr>
            <w:r>
              <w:t>14°55'00.00" S</w:t>
            </w:r>
          </w:p>
        </w:tc>
        <w:tc>
          <w:tcPr>
            <w:tcW w:w="2622" w:type="dxa"/>
          </w:tcPr>
          <w:p>
            <w:pPr>
              <w:pStyle w:val="zyTableNAm"/>
              <w:jc w:val="center"/>
            </w:pPr>
            <w:r>
              <w:t>126°08'00.00" E</w:t>
            </w:r>
          </w:p>
        </w:tc>
      </w:tr>
      <w:tr>
        <w:tc>
          <w:tcPr>
            <w:tcW w:w="851" w:type="dxa"/>
          </w:tcPr>
          <w:p>
            <w:pPr>
              <w:pStyle w:val="zyTableNAm"/>
              <w:jc w:val="center"/>
            </w:pPr>
            <w:r>
              <w:t>15</w:t>
            </w:r>
          </w:p>
        </w:tc>
        <w:tc>
          <w:tcPr>
            <w:tcW w:w="2764" w:type="dxa"/>
          </w:tcPr>
          <w:p>
            <w:pPr>
              <w:pStyle w:val="zyTableNAm"/>
              <w:jc w:val="center"/>
            </w:pPr>
            <w:r>
              <w:t>14°56'58.36" S</w:t>
            </w:r>
          </w:p>
        </w:tc>
        <w:tc>
          <w:tcPr>
            <w:tcW w:w="2622" w:type="dxa"/>
          </w:tcPr>
          <w:p>
            <w:pPr>
              <w:pStyle w:val="zyTableNAm"/>
              <w:jc w:val="center"/>
            </w:pPr>
            <w:r>
              <w:t>126°08'00.00" E</w:t>
            </w:r>
          </w:p>
        </w:tc>
      </w:tr>
      <w:tr>
        <w:tc>
          <w:tcPr>
            <w:tcW w:w="851" w:type="dxa"/>
          </w:tcPr>
          <w:p>
            <w:pPr>
              <w:pStyle w:val="zyTableNAm"/>
              <w:jc w:val="center"/>
            </w:pPr>
            <w:r>
              <w:t>16</w:t>
            </w:r>
          </w:p>
        </w:tc>
        <w:tc>
          <w:tcPr>
            <w:tcW w:w="2764" w:type="dxa"/>
          </w:tcPr>
          <w:p>
            <w:pPr>
              <w:pStyle w:val="zyTableNAm"/>
              <w:jc w:val="center"/>
            </w:pPr>
            <w:r>
              <w:t>14°56'58.38" S</w:t>
            </w:r>
          </w:p>
        </w:tc>
        <w:tc>
          <w:tcPr>
            <w:tcW w:w="2622" w:type="dxa"/>
          </w:tcPr>
          <w:p>
            <w:pPr>
              <w:pStyle w:val="zyTableNAm"/>
              <w:jc w:val="center"/>
            </w:pPr>
            <w:r>
              <w:t>126°05'34.55" E</w:t>
            </w:r>
          </w:p>
        </w:tc>
      </w:tr>
      <w:tr>
        <w:tc>
          <w:tcPr>
            <w:tcW w:w="851" w:type="dxa"/>
          </w:tcPr>
          <w:p>
            <w:pPr>
              <w:pStyle w:val="zyTableNAm"/>
              <w:jc w:val="center"/>
            </w:pPr>
            <w:r>
              <w:t>17</w:t>
            </w:r>
          </w:p>
        </w:tc>
        <w:tc>
          <w:tcPr>
            <w:tcW w:w="2764" w:type="dxa"/>
          </w:tcPr>
          <w:p>
            <w:pPr>
              <w:pStyle w:val="zyTableNAm"/>
              <w:jc w:val="center"/>
            </w:pPr>
            <w:r>
              <w:t>15°01'20.19" S</w:t>
            </w:r>
          </w:p>
        </w:tc>
        <w:tc>
          <w:tcPr>
            <w:tcW w:w="2622" w:type="dxa"/>
          </w:tcPr>
          <w:p>
            <w:pPr>
              <w:pStyle w:val="zyTableNAm"/>
              <w:jc w:val="center"/>
            </w:pPr>
            <w:r>
              <w:t>126°05'34.55" E</w:t>
            </w:r>
          </w:p>
        </w:tc>
      </w:tr>
      <w:tr>
        <w:tc>
          <w:tcPr>
            <w:tcW w:w="851" w:type="dxa"/>
          </w:tcPr>
          <w:p>
            <w:pPr>
              <w:pStyle w:val="zyTableNAm"/>
              <w:jc w:val="center"/>
            </w:pPr>
            <w:r>
              <w:t>18</w:t>
            </w:r>
          </w:p>
        </w:tc>
        <w:tc>
          <w:tcPr>
            <w:tcW w:w="2764" w:type="dxa"/>
          </w:tcPr>
          <w:p>
            <w:pPr>
              <w:pStyle w:val="zyTableNAm"/>
              <w:jc w:val="center"/>
            </w:pPr>
            <w:r>
              <w:t>15°01'20.19" S</w:t>
            </w:r>
          </w:p>
        </w:tc>
        <w:tc>
          <w:tcPr>
            <w:tcW w:w="2622" w:type="dxa"/>
          </w:tcPr>
          <w:p>
            <w:pPr>
              <w:pStyle w:val="zyTableNAm"/>
              <w:jc w:val="center"/>
            </w:pPr>
            <w:r>
              <w:t>126°01'05.17" E</w:t>
            </w:r>
          </w:p>
        </w:tc>
      </w:tr>
      <w:tr>
        <w:tc>
          <w:tcPr>
            <w:tcW w:w="851" w:type="dxa"/>
          </w:tcPr>
          <w:p>
            <w:pPr>
              <w:pStyle w:val="zyTableNAm"/>
              <w:jc w:val="center"/>
            </w:pPr>
            <w:r>
              <w:t>19</w:t>
            </w:r>
          </w:p>
        </w:tc>
        <w:tc>
          <w:tcPr>
            <w:tcW w:w="2764" w:type="dxa"/>
          </w:tcPr>
          <w:p>
            <w:pPr>
              <w:pStyle w:val="zyTableNAm"/>
              <w:jc w:val="center"/>
            </w:pPr>
            <w:r>
              <w:t>15°06'00.00" S</w:t>
            </w:r>
          </w:p>
        </w:tc>
        <w:tc>
          <w:tcPr>
            <w:tcW w:w="2622" w:type="dxa"/>
          </w:tcPr>
          <w:p>
            <w:pPr>
              <w:pStyle w:val="zyTableNAm"/>
              <w:jc w:val="center"/>
            </w:pPr>
            <w:r>
              <w:t>126°01'05.17" E</w:t>
            </w:r>
          </w:p>
        </w:tc>
      </w:tr>
      <w:tr>
        <w:tc>
          <w:tcPr>
            <w:tcW w:w="851" w:type="dxa"/>
          </w:tcPr>
          <w:p>
            <w:pPr>
              <w:pStyle w:val="zyTableNAm"/>
              <w:jc w:val="center"/>
            </w:pPr>
            <w:r>
              <w:t>20</w:t>
            </w:r>
          </w:p>
        </w:tc>
        <w:tc>
          <w:tcPr>
            <w:tcW w:w="2764" w:type="dxa"/>
          </w:tcPr>
          <w:p>
            <w:pPr>
              <w:pStyle w:val="zyTableNAm"/>
              <w:jc w:val="center"/>
            </w:pPr>
            <w:r>
              <w:t>15°06'00.00" S</w:t>
            </w:r>
          </w:p>
        </w:tc>
        <w:tc>
          <w:tcPr>
            <w:tcW w:w="2622" w:type="dxa"/>
          </w:tcPr>
          <w:p>
            <w:pPr>
              <w:pStyle w:val="zyTableNAm"/>
              <w:jc w:val="center"/>
            </w:pPr>
            <w:r>
              <w:t>126°00'00.00" E</w:t>
            </w:r>
          </w:p>
        </w:tc>
      </w:tr>
      <w:tr>
        <w:tc>
          <w:tcPr>
            <w:tcW w:w="851" w:type="dxa"/>
          </w:tcPr>
          <w:p>
            <w:pPr>
              <w:pStyle w:val="zyTableNAm"/>
              <w:jc w:val="center"/>
            </w:pPr>
            <w:r>
              <w:t>21</w:t>
            </w:r>
          </w:p>
        </w:tc>
        <w:tc>
          <w:tcPr>
            <w:tcW w:w="2764" w:type="dxa"/>
          </w:tcPr>
          <w:p>
            <w:pPr>
              <w:pStyle w:val="zyTableNAm"/>
              <w:jc w:val="center"/>
            </w:pPr>
            <w:r>
              <w:t>15°08'19.08" S</w:t>
            </w:r>
          </w:p>
        </w:tc>
        <w:tc>
          <w:tcPr>
            <w:tcW w:w="2622" w:type="dxa"/>
          </w:tcPr>
          <w:p>
            <w:pPr>
              <w:pStyle w:val="zyTableNAm"/>
              <w:jc w:val="center"/>
            </w:pPr>
            <w:r>
              <w:t>126°00'00.00" E</w:t>
            </w:r>
          </w:p>
        </w:tc>
      </w:tr>
      <w:tr>
        <w:tc>
          <w:tcPr>
            <w:tcW w:w="851" w:type="dxa"/>
          </w:tcPr>
          <w:p>
            <w:pPr>
              <w:pStyle w:val="zyTableNAm"/>
              <w:jc w:val="center"/>
            </w:pPr>
            <w:r>
              <w:t>22</w:t>
            </w:r>
          </w:p>
        </w:tc>
        <w:tc>
          <w:tcPr>
            <w:tcW w:w="2764" w:type="dxa"/>
          </w:tcPr>
          <w:p>
            <w:pPr>
              <w:pStyle w:val="zyTableNAm"/>
              <w:jc w:val="center"/>
            </w:pPr>
            <w:r>
              <w:t>15°08'19.09" S</w:t>
            </w:r>
          </w:p>
        </w:tc>
        <w:tc>
          <w:tcPr>
            <w:tcW w:w="2622" w:type="dxa"/>
          </w:tcPr>
          <w:p>
            <w:pPr>
              <w:pStyle w:val="zyTableNAm"/>
              <w:jc w:val="center"/>
            </w:pPr>
            <w:r>
              <w:t>125°43'43.74" E</w:t>
            </w:r>
          </w:p>
        </w:tc>
      </w:tr>
      <w:tr>
        <w:tc>
          <w:tcPr>
            <w:tcW w:w="851" w:type="dxa"/>
          </w:tcPr>
          <w:p>
            <w:pPr>
              <w:pStyle w:val="zyTableNAm"/>
              <w:jc w:val="center"/>
            </w:pPr>
            <w:r>
              <w:t>23</w:t>
            </w:r>
          </w:p>
        </w:tc>
        <w:tc>
          <w:tcPr>
            <w:tcW w:w="2764" w:type="dxa"/>
          </w:tcPr>
          <w:p>
            <w:pPr>
              <w:pStyle w:val="zyTableNAm"/>
              <w:jc w:val="center"/>
            </w:pPr>
            <w:r>
              <w:t>14°59'58.66" S</w:t>
            </w:r>
          </w:p>
        </w:tc>
        <w:tc>
          <w:tcPr>
            <w:tcW w:w="2622" w:type="dxa"/>
          </w:tcPr>
          <w:p>
            <w:pPr>
              <w:pStyle w:val="zyTableNAm"/>
              <w:jc w:val="center"/>
            </w:pPr>
            <w:r>
              <w:t>125°43'43.74" E</w:t>
            </w:r>
          </w:p>
        </w:tc>
      </w:tr>
      <w:tr>
        <w:tc>
          <w:tcPr>
            <w:tcW w:w="851" w:type="dxa"/>
          </w:tcPr>
          <w:p>
            <w:pPr>
              <w:pStyle w:val="zyTableNAm"/>
              <w:jc w:val="center"/>
            </w:pPr>
            <w:r>
              <w:t>24</w:t>
            </w:r>
          </w:p>
        </w:tc>
        <w:tc>
          <w:tcPr>
            <w:tcW w:w="2764" w:type="dxa"/>
          </w:tcPr>
          <w:p>
            <w:pPr>
              <w:pStyle w:val="zyTableNAm"/>
              <w:jc w:val="center"/>
            </w:pPr>
            <w:r>
              <w:t>14°59'58.66" S</w:t>
            </w:r>
          </w:p>
        </w:tc>
        <w:tc>
          <w:tcPr>
            <w:tcW w:w="2622" w:type="dxa"/>
          </w:tcPr>
          <w:p>
            <w:pPr>
              <w:pStyle w:val="zyTableNAm"/>
              <w:jc w:val="center"/>
            </w:pPr>
            <w:r>
              <w:t>125°45'30.86" E</w:t>
            </w:r>
          </w:p>
        </w:tc>
      </w:tr>
      <w:tr>
        <w:tc>
          <w:tcPr>
            <w:tcW w:w="851" w:type="dxa"/>
          </w:tcPr>
          <w:p>
            <w:pPr>
              <w:pStyle w:val="zyTableNAm"/>
              <w:jc w:val="center"/>
            </w:pPr>
            <w:r>
              <w:t>25</w:t>
            </w:r>
          </w:p>
        </w:tc>
        <w:tc>
          <w:tcPr>
            <w:tcW w:w="2764" w:type="dxa"/>
          </w:tcPr>
          <w:p>
            <w:pPr>
              <w:pStyle w:val="zyTableNAm"/>
              <w:jc w:val="center"/>
            </w:pPr>
            <w:r>
              <w:t>14°55'38.38" S</w:t>
            </w:r>
          </w:p>
        </w:tc>
        <w:tc>
          <w:tcPr>
            <w:tcW w:w="2622" w:type="dxa"/>
          </w:tcPr>
          <w:p>
            <w:pPr>
              <w:pStyle w:val="zyTableNAm"/>
              <w:jc w:val="center"/>
            </w:pPr>
            <w:r>
              <w:t>125°45'30.86" E</w:t>
            </w:r>
          </w:p>
        </w:tc>
      </w:tr>
      <w:tr>
        <w:tc>
          <w:tcPr>
            <w:tcW w:w="851" w:type="dxa"/>
          </w:tcPr>
          <w:p>
            <w:pPr>
              <w:pStyle w:val="zyTableNAm"/>
              <w:jc w:val="center"/>
            </w:pPr>
            <w:r>
              <w:t>26</w:t>
            </w:r>
          </w:p>
        </w:tc>
        <w:tc>
          <w:tcPr>
            <w:tcW w:w="2764" w:type="dxa"/>
          </w:tcPr>
          <w:p>
            <w:pPr>
              <w:pStyle w:val="zyTableNAm"/>
              <w:jc w:val="center"/>
            </w:pPr>
            <w:r>
              <w:t>14°55'38.38" S</w:t>
            </w:r>
          </w:p>
        </w:tc>
        <w:tc>
          <w:tcPr>
            <w:tcW w:w="2622" w:type="dxa"/>
          </w:tcPr>
          <w:p>
            <w:pPr>
              <w:pStyle w:val="zyTableNAm"/>
              <w:jc w:val="center"/>
            </w:pPr>
            <w:r>
              <w:t>125°47'09.57" E</w:t>
            </w:r>
          </w:p>
        </w:tc>
      </w:tr>
      <w:tr>
        <w:tc>
          <w:tcPr>
            <w:tcW w:w="851" w:type="dxa"/>
          </w:tcPr>
          <w:p>
            <w:pPr>
              <w:pStyle w:val="zyTableNAm"/>
              <w:jc w:val="center"/>
            </w:pPr>
            <w:r>
              <w:t>27</w:t>
            </w:r>
          </w:p>
        </w:tc>
        <w:tc>
          <w:tcPr>
            <w:tcW w:w="2764" w:type="dxa"/>
          </w:tcPr>
          <w:p>
            <w:pPr>
              <w:pStyle w:val="zyTableNAm"/>
              <w:jc w:val="center"/>
            </w:pPr>
            <w:r>
              <w:t>14°53'24.97" S</w:t>
            </w:r>
          </w:p>
        </w:tc>
        <w:tc>
          <w:tcPr>
            <w:tcW w:w="2622" w:type="dxa"/>
          </w:tcPr>
          <w:p>
            <w:pPr>
              <w:pStyle w:val="zyTableNAm"/>
              <w:jc w:val="center"/>
            </w:pPr>
            <w:r>
              <w:t>125°48'17.01" E</w:t>
            </w:r>
          </w:p>
        </w:tc>
      </w:tr>
      <w:tr>
        <w:tc>
          <w:tcPr>
            <w:tcW w:w="851" w:type="dxa"/>
          </w:tcPr>
          <w:p>
            <w:pPr>
              <w:pStyle w:val="zyTableNAm"/>
              <w:jc w:val="center"/>
            </w:pPr>
            <w:r>
              <w:t>28</w:t>
            </w:r>
          </w:p>
        </w:tc>
        <w:tc>
          <w:tcPr>
            <w:tcW w:w="2764" w:type="dxa"/>
          </w:tcPr>
          <w:p>
            <w:pPr>
              <w:pStyle w:val="zyTableNAm"/>
              <w:jc w:val="center"/>
            </w:pPr>
            <w:r>
              <w:t>14°53'13.00" S</w:t>
            </w:r>
          </w:p>
        </w:tc>
        <w:tc>
          <w:tcPr>
            <w:tcW w:w="2622" w:type="dxa"/>
          </w:tcPr>
          <w:p>
            <w:pPr>
              <w:pStyle w:val="zyTableNAm"/>
              <w:jc w:val="center"/>
            </w:pPr>
            <w:r>
              <w:t>125°48'11.84" E</w:t>
            </w:r>
          </w:p>
        </w:tc>
      </w:tr>
      <w:tr>
        <w:tc>
          <w:tcPr>
            <w:tcW w:w="851" w:type="dxa"/>
          </w:tcPr>
          <w:p>
            <w:pPr>
              <w:pStyle w:val="zyTableNAm"/>
              <w:jc w:val="center"/>
            </w:pPr>
            <w:r>
              <w:t>29</w:t>
            </w:r>
          </w:p>
        </w:tc>
        <w:tc>
          <w:tcPr>
            <w:tcW w:w="2764" w:type="dxa"/>
          </w:tcPr>
          <w:p>
            <w:pPr>
              <w:pStyle w:val="zyTableNAm"/>
              <w:jc w:val="center"/>
            </w:pPr>
            <w:r>
              <w:t>14°52'48.63" S</w:t>
            </w:r>
          </w:p>
        </w:tc>
        <w:tc>
          <w:tcPr>
            <w:tcW w:w="2622" w:type="dxa"/>
          </w:tcPr>
          <w:p>
            <w:pPr>
              <w:pStyle w:val="zyTableNAm"/>
              <w:jc w:val="center"/>
            </w:pPr>
            <w:r>
              <w:t>125°46'49.63" E</w:t>
            </w:r>
          </w:p>
        </w:tc>
      </w:tr>
      <w:tr>
        <w:tc>
          <w:tcPr>
            <w:tcW w:w="851" w:type="dxa"/>
          </w:tcPr>
          <w:p>
            <w:pPr>
              <w:pStyle w:val="zyTableNAm"/>
              <w:jc w:val="center"/>
            </w:pPr>
            <w:r>
              <w:t>30</w:t>
            </w:r>
          </w:p>
        </w:tc>
        <w:tc>
          <w:tcPr>
            <w:tcW w:w="2764" w:type="dxa"/>
          </w:tcPr>
          <w:p>
            <w:pPr>
              <w:pStyle w:val="zyTableNAm"/>
              <w:jc w:val="center"/>
            </w:pPr>
            <w:r>
              <w:t>14°51'48.34" S</w:t>
            </w:r>
          </w:p>
        </w:tc>
        <w:tc>
          <w:tcPr>
            <w:tcW w:w="2622" w:type="dxa"/>
          </w:tcPr>
          <w:p>
            <w:pPr>
              <w:pStyle w:val="zyTableNAm"/>
              <w:jc w:val="center"/>
            </w:pPr>
            <w:r>
              <w:t>125°47'02.22" E</w:t>
            </w:r>
          </w:p>
        </w:tc>
      </w:tr>
      <w:tr>
        <w:tc>
          <w:tcPr>
            <w:tcW w:w="851" w:type="dxa"/>
          </w:tcPr>
          <w:p>
            <w:pPr>
              <w:pStyle w:val="zyTableNAm"/>
              <w:jc w:val="center"/>
            </w:pPr>
            <w:r>
              <w:t>31</w:t>
            </w:r>
          </w:p>
        </w:tc>
        <w:tc>
          <w:tcPr>
            <w:tcW w:w="2764" w:type="dxa"/>
          </w:tcPr>
          <w:p>
            <w:pPr>
              <w:pStyle w:val="zyTableNAm"/>
              <w:jc w:val="center"/>
            </w:pPr>
            <w:r>
              <w:t>14°50'47.19" S</w:t>
            </w:r>
          </w:p>
        </w:tc>
        <w:tc>
          <w:tcPr>
            <w:tcW w:w="2622" w:type="dxa"/>
          </w:tcPr>
          <w:p>
            <w:pPr>
              <w:pStyle w:val="zyTableNAm"/>
              <w:jc w:val="center"/>
            </w:pPr>
            <w:r>
              <w:t>125°48'26.40" E</w:t>
            </w:r>
          </w:p>
        </w:tc>
      </w:tr>
      <w:tr>
        <w:tc>
          <w:tcPr>
            <w:tcW w:w="851" w:type="dxa"/>
          </w:tcPr>
          <w:p>
            <w:pPr>
              <w:pStyle w:val="zyTableNAm"/>
              <w:jc w:val="center"/>
            </w:pPr>
            <w:r>
              <w:t>32</w:t>
            </w:r>
          </w:p>
        </w:tc>
        <w:tc>
          <w:tcPr>
            <w:tcW w:w="2764" w:type="dxa"/>
          </w:tcPr>
          <w:p>
            <w:pPr>
              <w:pStyle w:val="zyTableNAm"/>
              <w:jc w:val="center"/>
            </w:pPr>
            <w:r>
              <w:t>14°50'47.19" S</w:t>
            </w:r>
          </w:p>
        </w:tc>
        <w:tc>
          <w:tcPr>
            <w:tcW w:w="2622" w:type="dxa"/>
          </w:tcPr>
          <w:p>
            <w:pPr>
              <w:pStyle w:val="zyTableNAm"/>
              <w:jc w:val="center"/>
            </w:pPr>
            <w:r>
              <w:t>125°43'43.76" E</w:t>
            </w:r>
          </w:p>
        </w:tc>
      </w:tr>
      <w:tr>
        <w:tc>
          <w:tcPr>
            <w:tcW w:w="851" w:type="dxa"/>
          </w:tcPr>
          <w:p>
            <w:pPr>
              <w:pStyle w:val="zyTableNAm"/>
              <w:jc w:val="center"/>
            </w:pPr>
            <w:r>
              <w:t>33</w:t>
            </w:r>
          </w:p>
        </w:tc>
        <w:tc>
          <w:tcPr>
            <w:tcW w:w="2764" w:type="dxa"/>
          </w:tcPr>
          <w:p>
            <w:pPr>
              <w:pStyle w:val="zyTableNAm"/>
              <w:jc w:val="center"/>
            </w:pPr>
            <w:r>
              <w:t>14°41'37.33" S</w:t>
            </w:r>
          </w:p>
        </w:tc>
        <w:tc>
          <w:tcPr>
            <w:tcW w:w="2622" w:type="dxa"/>
          </w:tcPr>
          <w:p>
            <w:pPr>
              <w:pStyle w:val="zyTableNAm"/>
              <w:jc w:val="center"/>
            </w:pPr>
            <w:r>
              <w:t>125°43'43.75" E</w:t>
            </w:r>
          </w:p>
        </w:tc>
      </w:tr>
      <w:tr>
        <w:tc>
          <w:tcPr>
            <w:tcW w:w="851" w:type="dxa"/>
          </w:tcPr>
          <w:p>
            <w:pPr>
              <w:pStyle w:val="zyTableNAm"/>
              <w:jc w:val="center"/>
            </w:pPr>
            <w:r>
              <w:t>34</w:t>
            </w:r>
          </w:p>
        </w:tc>
        <w:tc>
          <w:tcPr>
            <w:tcW w:w="2764" w:type="dxa"/>
          </w:tcPr>
          <w:p>
            <w:pPr>
              <w:pStyle w:val="zyTableNAm"/>
              <w:jc w:val="center"/>
            </w:pPr>
            <w:r>
              <w:t>14°41'37.33" S</w:t>
            </w:r>
          </w:p>
        </w:tc>
        <w:tc>
          <w:tcPr>
            <w:tcW w:w="2622" w:type="dxa"/>
          </w:tcPr>
          <w:p>
            <w:pPr>
              <w:pStyle w:val="zyTableNAm"/>
              <w:jc w:val="center"/>
            </w:pPr>
            <w:r>
              <w:t>125°44'50.60" E</w:t>
            </w:r>
          </w:p>
        </w:tc>
      </w:tr>
      <w:tr>
        <w:tc>
          <w:tcPr>
            <w:tcW w:w="851" w:type="dxa"/>
          </w:tcPr>
          <w:p>
            <w:pPr>
              <w:pStyle w:val="zyTableNAm"/>
              <w:jc w:val="center"/>
            </w:pPr>
            <w:r>
              <w:t>35</w:t>
            </w:r>
          </w:p>
        </w:tc>
        <w:tc>
          <w:tcPr>
            <w:tcW w:w="2764" w:type="dxa"/>
          </w:tcPr>
          <w:p>
            <w:pPr>
              <w:pStyle w:val="zyTableNAm"/>
              <w:jc w:val="center"/>
            </w:pPr>
            <w:r>
              <w:t>14°38'05.84" S</w:t>
            </w:r>
          </w:p>
        </w:tc>
        <w:tc>
          <w:tcPr>
            <w:tcW w:w="2622" w:type="dxa"/>
          </w:tcPr>
          <w:p>
            <w:pPr>
              <w:pStyle w:val="zyTableNAm"/>
              <w:jc w:val="center"/>
            </w:pPr>
            <w:r>
              <w:t>125°44'50.60" E</w:t>
            </w:r>
          </w:p>
        </w:tc>
      </w:tr>
      <w:tr>
        <w:tc>
          <w:tcPr>
            <w:tcW w:w="851" w:type="dxa"/>
          </w:tcPr>
          <w:p>
            <w:pPr>
              <w:pStyle w:val="zyTableNAm"/>
              <w:jc w:val="center"/>
            </w:pPr>
            <w:r>
              <w:t>36</w:t>
            </w:r>
          </w:p>
        </w:tc>
        <w:tc>
          <w:tcPr>
            <w:tcW w:w="2764" w:type="dxa"/>
          </w:tcPr>
          <w:p>
            <w:pPr>
              <w:pStyle w:val="zyTableNAm"/>
              <w:jc w:val="center"/>
            </w:pPr>
            <w:r>
              <w:t>14°38'05.85" S</w:t>
            </w:r>
          </w:p>
        </w:tc>
        <w:tc>
          <w:tcPr>
            <w:tcW w:w="2622" w:type="dxa"/>
          </w:tcPr>
          <w:p>
            <w:pPr>
              <w:pStyle w:val="zyTableNAm"/>
              <w:jc w:val="center"/>
            </w:pPr>
            <w:r>
              <w:t>125°43'43.77" E</w:t>
            </w:r>
          </w:p>
        </w:tc>
      </w:tr>
      <w:tr>
        <w:tc>
          <w:tcPr>
            <w:tcW w:w="851" w:type="dxa"/>
          </w:tcPr>
          <w:p>
            <w:pPr>
              <w:pStyle w:val="zyTableNAm"/>
              <w:jc w:val="center"/>
            </w:pPr>
            <w:r>
              <w:t>37</w:t>
            </w:r>
          </w:p>
        </w:tc>
        <w:tc>
          <w:tcPr>
            <w:tcW w:w="2764" w:type="dxa"/>
          </w:tcPr>
          <w:p>
            <w:pPr>
              <w:pStyle w:val="zyTableNAm"/>
              <w:jc w:val="center"/>
            </w:pPr>
            <w:r>
              <w:t>14°35'55.70" S</w:t>
            </w:r>
          </w:p>
        </w:tc>
        <w:tc>
          <w:tcPr>
            <w:tcW w:w="2622" w:type="dxa"/>
          </w:tcPr>
          <w:p>
            <w:pPr>
              <w:pStyle w:val="zyTableNAm"/>
              <w:jc w:val="center"/>
            </w:pPr>
            <w:r>
              <w:t>125°43'43.77" E</w:t>
            </w:r>
          </w:p>
        </w:tc>
      </w:tr>
      <w:tr>
        <w:tc>
          <w:tcPr>
            <w:tcW w:w="851" w:type="dxa"/>
          </w:tcPr>
          <w:p>
            <w:pPr>
              <w:pStyle w:val="zyTableNAm"/>
              <w:jc w:val="center"/>
            </w:pPr>
            <w:r>
              <w:t>38</w:t>
            </w:r>
          </w:p>
        </w:tc>
        <w:tc>
          <w:tcPr>
            <w:tcW w:w="2764" w:type="dxa"/>
          </w:tcPr>
          <w:p>
            <w:pPr>
              <w:pStyle w:val="zyTableNAm"/>
              <w:jc w:val="center"/>
            </w:pPr>
            <w:r>
              <w:t>14°35'55.70" S</w:t>
            </w:r>
          </w:p>
        </w:tc>
        <w:tc>
          <w:tcPr>
            <w:tcW w:w="2622" w:type="dxa"/>
          </w:tcPr>
          <w:p>
            <w:pPr>
              <w:pStyle w:val="zyTableNAm"/>
              <w:jc w:val="center"/>
            </w:pPr>
            <w:r>
              <w:t>125°42'03.54" E</w:t>
            </w:r>
          </w:p>
        </w:tc>
      </w:tr>
      <w:tr>
        <w:tc>
          <w:tcPr>
            <w:tcW w:w="851" w:type="dxa"/>
          </w:tcPr>
          <w:p>
            <w:pPr>
              <w:pStyle w:val="zyTableNAm"/>
              <w:jc w:val="center"/>
            </w:pPr>
            <w:r>
              <w:t>39</w:t>
            </w:r>
          </w:p>
        </w:tc>
        <w:tc>
          <w:tcPr>
            <w:tcW w:w="2764" w:type="dxa"/>
          </w:tcPr>
          <w:p>
            <w:pPr>
              <w:pStyle w:val="zyTableNAm"/>
              <w:jc w:val="center"/>
            </w:pPr>
            <w:r>
              <w:t>14°31'20.50" S</w:t>
            </w:r>
          </w:p>
        </w:tc>
        <w:tc>
          <w:tcPr>
            <w:tcW w:w="2622" w:type="dxa"/>
          </w:tcPr>
          <w:p>
            <w:pPr>
              <w:pStyle w:val="zyTableNAm"/>
              <w:jc w:val="center"/>
            </w:pPr>
            <w:r>
              <w:t>125°42'03.53" E</w:t>
            </w:r>
          </w:p>
        </w:tc>
      </w:tr>
      <w:tr>
        <w:tc>
          <w:tcPr>
            <w:tcW w:w="851" w:type="dxa"/>
          </w:tcPr>
          <w:p>
            <w:pPr>
              <w:pStyle w:val="zyTableNAm"/>
              <w:jc w:val="center"/>
            </w:pPr>
            <w:r>
              <w:t>40</w:t>
            </w:r>
          </w:p>
        </w:tc>
        <w:tc>
          <w:tcPr>
            <w:tcW w:w="2764" w:type="dxa"/>
          </w:tcPr>
          <w:p>
            <w:pPr>
              <w:pStyle w:val="zyTableNAm"/>
              <w:jc w:val="center"/>
            </w:pPr>
            <w:r>
              <w:t>14°28'11.87" S</w:t>
            </w:r>
          </w:p>
        </w:tc>
        <w:tc>
          <w:tcPr>
            <w:tcW w:w="2622" w:type="dxa"/>
          </w:tcPr>
          <w:p>
            <w:pPr>
              <w:pStyle w:val="zyTableNAm"/>
              <w:jc w:val="center"/>
            </w:pPr>
            <w:r>
              <w:t>125°46'56.18" E</w:t>
            </w:r>
          </w:p>
        </w:tc>
      </w:tr>
      <w:tr>
        <w:tc>
          <w:tcPr>
            <w:tcW w:w="851" w:type="dxa"/>
          </w:tcPr>
          <w:p>
            <w:pPr>
              <w:pStyle w:val="zyTableNAm"/>
              <w:jc w:val="center"/>
            </w:pPr>
            <w:r>
              <w:t>41</w:t>
            </w:r>
          </w:p>
        </w:tc>
        <w:tc>
          <w:tcPr>
            <w:tcW w:w="2764" w:type="dxa"/>
          </w:tcPr>
          <w:p>
            <w:pPr>
              <w:pStyle w:val="zyTableNAm"/>
              <w:jc w:val="center"/>
            </w:pPr>
            <w:r>
              <w:t>14°31'35.31" S</w:t>
            </w:r>
          </w:p>
        </w:tc>
        <w:tc>
          <w:tcPr>
            <w:tcW w:w="2622" w:type="dxa"/>
          </w:tcPr>
          <w:p>
            <w:pPr>
              <w:pStyle w:val="zyTableNAm"/>
              <w:jc w:val="center"/>
            </w:pPr>
            <w:r>
              <w:t>125°46'01.21" E</w:t>
            </w:r>
          </w:p>
        </w:tc>
      </w:tr>
      <w:tr>
        <w:tc>
          <w:tcPr>
            <w:tcW w:w="851" w:type="dxa"/>
          </w:tcPr>
          <w:p>
            <w:pPr>
              <w:pStyle w:val="zyTableNAm"/>
              <w:jc w:val="center"/>
            </w:pPr>
            <w:r>
              <w:t>42</w:t>
            </w:r>
          </w:p>
        </w:tc>
        <w:tc>
          <w:tcPr>
            <w:tcW w:w="2764" w:type="dxa"/>
          </w:tcPr>
          <w:p>
            <w:pPr>
              <w:pStyle w:val="zyTableNAm"/>
              <w:jc w:val="center"/>
            </w:pPr>
            <w:r>
              <w:t>14°31'43.46" S</w:t>
            </w:r>
          </w:p>
        </w:tc>
        <w:tc>
          <w:tcPr>
            <w:tcW w:w="2622" w:type="dxa"/>
          </w:tcPr>
          <w:p>
            <w:pPr>
              <w:pStyle w:val="zyTableNAm"/>
              <w:jc w:val="center"/>
            </w:pPr>
            <w:r>
              <w:t>125°46'33.54" E</w:t>
            </w:r>
          </w:p>
        </w:tc>
      </w:tr>
      <w:tr>
        <w:tc>
          <w:tcPr>
            <w:tcW w:w="851" w:type="dxa"/>
          </w:tcPr>
          <w:p>
            <w:pPr>
              <w:pStyle w:val="zyTableNAm"/>
              <w:jc w:val="center"/>
            </w:pPr>
            <w:r>
              <w:t>43</w:t>
            </w:r>
          </w:p>
        </w:tc>
        <w:tc>
          <w:tcPr>
            <w:tcW w:w="2764" w:type="dxa"/>
          </w:tcPr>
          <w:p>
            <w:pPr>
              <w:pStyle w:val="zyTableNAm"/>
              <w:jc w:val="center"/>
            </w:pPr>
            <w:r>
              <w:t>14°30'31.09" S</w:t>
            </w:r>
          </w:p>
        </w:tc>
        <w:tc>
          <w:tcPr>
            <w:tcW w:w="2622" w:type="dxa"/>
          </w:tcPr>
          <w:p>
            <w:pPr>
              <w:pStyle w:val="zyTableNAm"/>
              <w:jc w:val="center"/>
            </w:pPr>
            <w:r>
              <w:t>125°46'53.10" E</w:t>
            </w:r>
          </w:p>
        </w:tc>
      </w:tr>
      <w:tr>
        <w:tc>
          <w:tcPr>
            <w:tcW w:w="851" w:type="dxa"/>
          </w:tcPr>
          <w:p>
            <w:pPr>
              <w:pStyle w:val="zyTableNAm"/>
              <w:jc w:val="center"/>
            </w:pPr>
            <w:r>
              <w:t>44</w:t>
            </w:r>
          </w:p>
        </w:tc>
        <w:tc>
          <w:tcPr>
            <w:tcW w:w="2764" w:type="dxa"/>
          </w:tcPr>
          <w:p>
            <w:pPr>
              <w:pStyle w:val="zyTableNAm"/>
              <w:jc w:val="center"/>
            </w:pPr>
            <w:r>
              <w:t>14°28'40.14" S</w:t>
            </w:r>
          </w:p>
        </w:tc>
        <w:tc>
          <w:tcPr>
            <w:tcW w:w="2622" w:type="dxa"/>
          </w:tcPr>
          <w:p>
            <w:pPr>
              <w:pStyle w:val="zyTableNAm"/>
              <w:jc w:val="center"/>
            </w:pPr>
            <w:r>
              <w:t>125°48'55.22" E</w:t>
            </w:r>
          </w:p>
        </w:tc>
      </w:tr>
      <w:tr>
        <w:tc>
          <w:tcPr>
            <w:tcW w:w="851" w:type="dxa"/>
          </w:tcPr>
          <w:p>
            <w:pPr>
              <w:pStyle w:val="zyTableNAm"/>
              <w:jc w:val="center"/>
            </w:pPr>
            <w:r>
              <w:t>45</w:t>
            </w:r>
          </w:p>
        </w:tc>
        <w:tc>
          <w:tcPr>
            <w:tcW w:w="2764" w:type="dxa"/>
          </w:tcPr>
          <w:p>
            <w:pPr>
              <w:pStyle w:val="zyTableNAm"/>
              <w:jc w:val="center"/>
            </w:pPr>
            <w:r>
              <w:t>14°28'31.60" S</w:t>
            </w:r>
          </w:p>
        </w:tc>
        <w:tc>
          <w:tcPr>
            <w:tcW w:w="2622" w:type="dxa"/>
          </w:tcPr>
          <w:p>
            <w:pPr>
              <w:pStyle w:val="zyTableNAm"/>
              <w:jc w:val="center"/>
            </w:pPr>
            <w:r>
              <w:t>125°48'56.22" E</w:t>
            </w:r>
          </w:p>
        </w:tc>
      </w:tr>
      <w:tr>
        <w:tc>
          <w:tcPr>
            <w:tcW w:w="851" w:type="dxa"/>
          </w:tcPr>
          <w:p>
            <w:pPr>
              <w:pStyle w:val="zyTableNAm"/>
              <w:jc w:val="center"/>
            </w:pPr>
            <w:r>
              <w:t>46</w:t>
            </w:r>
          </w:p>
        </w:tc>
        <w:tc>
          <w:tcPr>
            <w:tcW w:w="2764" w:type="dxa"/>
          </w:tcPr>
          <w:p>
            <w:pPr>
              <w:pStyle w:val="zyTableNAm"/>
              <w:jc w:val="center"/>
            </w:pPr>
            <w:r>
              <w:t>14°48'39.88" S</w:t>
            </w:r>
          </w:p>
        </w:tc>
        <w:tc>
          <w:tcPr>
            <w:tcW w:w="2622" w:type="dxa"/>
          </w:tcPr>
          <w:p>
            <w:pPr>
              <w:pStyle w:val="zyTableNAm"/>
              <w:jc w:val="center"/>
            </w:pPr>
            <w:r>
              <w:t>125°50'52.95" E</w:t>
            </w:r>
          </w:p>
        </w:tc>
      </w:tr>
      <w:tr>
        <w:tc>
          <w:tcPr>
            <w:tcW w:w="851" w:type="dxa"/>
          </w:tcPr>
          <w:p>
            <w:pPr>
              <w:pStyle w:val="zyTableNAm"/>
              <w:jc w:val="center"/>
            </w:pPr>
            <w:r>
              <w:t>47</w:t>
            </w:r>
          </w:p>
        </w:tc>
        <w:tc>
          <w:tcPr>
            <w:tcW w:w="2764" w:type="dxa"/>
          </w:tcPr>
          <w:p>
            <w:pPr>
              <w:pStyle w:val="zyTableNAm"/>
              <w:jc w:val="center"/>
            </w:pPr>
            <w:r>
              <w:t>14°49'44.95" S</w:t>
            </w:r>
          </w:p>
        </w:tc>
        <w:tc>
          <w:tcPr>
            <w:tcW w:w="2622" w:type="dxa"/>
          </w:tcPr>
          <w:p>
            <w:pPr>
              <w:pStyle w:val="zyTableNAm"/>
              <w:jc w:val="center"/>
            </w:pPr>
            <w:r>
              <w:t>125°50'52.95" E</w:t>
            </w:r>
          </w:p>
        </w:tc>
      </w:tr>
      <w:tr>
        <w:tc>
          <w:tcPr>
            <w:tcW w:w="851" w:type="dxa"/>
          </w:tcPr>
          <w:p>
            <w:pPr>
              <w:pStyle w:val="zyTableNAm"/>
              <w:jc w:val="center"/>
            </w:pPr>
            <w:r>
              <w:t>48</w:t>
            </w:r>
          </w:p>
        </w:tc>
        <w:tc>
          <w:tcPr>
            <w:tcW w:w="2764" w:type="dxa"/>
          </w:tcPr>
          <w:p>
            <w:pPr>
              <w:pStyle w:val="zyTableNAm"/>
              <w:jc w:val="center"/>
            </w:pPr>
            <w:r>
              <w:t>14°49'44.95" S</w:t>
            </w:r>
          </w:p>
        </w:tc>
        <w:tc>
          <w:tcPr>
            <w:tcW w:w="2622" w:type="dxa"/>
          </w:tcPr>
          <w:p>
            <w:pPr>
              <w:pStyle w:val="zyTableNAm"/>
              <w:jc w:val="center"/>
            </w:pPr>
            <w:r>
              <w:t>125°50'19.50" E</w:t>
            </w:r>
          </w:p>
        </w:tc>
      </w:tr>
      <w:tr>
        <w:tc>
          <w:tcPr>
            <w:tcW w:w="851" w:type="dxa"/>
          </w:tcPr>
          <w:p>
            <w:pPr>
              <w:pStyle w:val="zyTableNAm"/>
              <w:jc w:val="center"/>
            </w:pPr>
            <w:r>
              <w:t>49</w:t>
            </w:r>
          </w:p>
        </w:tc>
        <w:tc>
          <w:tcPr>
            <w:tcW w:w="2764" w:type="dxa"/>
          </w:tcPr>
          <w:p>
            <w:pPr>
              <w:pStyle w:val="zyTableNAm"/>
              <w:jc w:val="center"/>
            </w:pPr>
            <w:r>
              <w:t>14°48'39.88" S</w:t>
            </w:r>
          </w:p>
        </w:tc>
        <w:tc>
          <w:tcPr>
            <w:tcW w:w="2622" w:type="dxa"/>
          </w:tcPr>
          <w:p>
            <w:pPr>
              <w:pStyle w:val="zyTableNAm"/>
              <w:jc w:val="center"/>
            </w:pPr>
            <w:r>
              <w:t>125°50'19.51" E</w:t>
            </w:r>
          </w:p>
        </w:tc>
      </w:tr>
    </w:tbl>
    <w:p>
      <w:pPr>
        <w:pStyle w:val="BlankClose"/>
      </w:pPr>
    </w:p>
    <w:p>
      <w:pPr>
        <w:pStyle w:val="Heading2"/>
      </w:pPr>
      <w:bookmarkStart w:id="178" w:name="_Toc412535443"/>
      <w:bookmarkStart w:id="179" w:name="_Toc412535465"/>
      <w:bookmarkStart w:id="180" w:name="_Toc412535611"/>
      <w:bookmarkStart w:id="181" w:name="_Toc412817936"/>
      <w:bookmarkStart w:id="182" w:name="_Toc412817986"/>
      <w:bookmarkStart w:id="183" w:name="_Toc412818008"/>
      <w:bookmarkStart w:id="184" w:name="_Toc412819578"/>
      <w:bookmarkStart w:id="185" w:name="_Toc413138399"/>
      <w:bookmarkStart w:id="186" w:name="_Toc413170427"/>
      <w:bookmarkStart w:id="187" w:name="_Toc413236619"/>
      <w:bookmarkStart w:id="188" w:name="_Toc413396032"/>
      <w:bookmarkStart w:id="189" w:name="_Toc433186869"/>
      <w:bookmarkStart w:id="190" w:name="_Toc433187137"/>
      <w:bookmarkStart w:id="191" w:name="_Toc434319521"/>
      <w:bookmarkStart w:id="192" w:name="_Toc434319543"/>
      <w:bookmarkStart w:id="193" w:name="_Toc434319593"/>
      <w:bookmarkStart w:id="194" w:name="_Toc434324288"/>
      <w:bookmarkStart w:id="195" w:name="_Toc434324384"/>
      <w:r>
        <w:rPr>
          <w:rStyle w:val="CharPartNo"/>
        </w:rPr>
        <w:t>Part 3</w:t>
      </w:r>
      <w:r>
        <w:rPr>
          <w:rStyle w:val="CharDivNo"/>
        </w:rPr>
        <w:t> </w:t>
      </w:r>
      <w:r>
        <w:t>—</w:t>
      </w:r>
      <w:r>
        <w:rPr>
          <w:rStyle w:val="CharDivText"/>
        </w:rPr>
        <w:t> </w:t>
      </w:r>
      <w:r>
        <w:rPr>
          <w:rStyle w:val="CharPartText"/>
          <w:i/>
        </w:rPr>
        <w:t>Mining Act 1978</w:t>
      </w:r>
      <w:r>
        <w:rPr>
          <w:rStyle w:val="CharPartText"/>
        </w:rPr>
        <w:t xml:space="preserve"> amended</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pPr>
        <w:pStyle w:val="Heading5"/>
      </w:pPr>
      <w:bookmarkStart w:id="196" w:name="_Toc412535612"/>
      <w:bookmarkStart w:id="197" w:name="_Toc433187138"/>
      <w:bookmarkStart w:id="198" w:name="_Toc434319594"/>
      <w:bookmarkStart w:id="199" w:name="_Toc434324385"/>
      <w:r>
        <w:rPr>
          <w:rStyle w:val="CharSectno"/>
        </w:rPr>
        <w:t>8</w:t>
      </w:r>
      <w:r>
        <w:t>.</w:t>
      </w:r>
      <w:r>
        <w:tab/>
        <w:t>Act amended</w:t>
      </w:r>
      <w:bookmarkEnd w:id="196"/>
      <w:bookmarkEnd w:id="197"/>
      <w:bookmarkEnd w:id="198"/>
      <w:bookmarkEnd w:id="199"/>
    </w:p>
    <w:p>
      <w:pPr>
        <w:pStyle w:val="Subsection"/>
      </w:pPr>
      <w:r>
        <w:tab/>
      </w:r>
      <w:r>
        <w:tab/>
        <w:t xml:space="preserve">This Part amends the </w:t>
      </w:r>
      <w:r>
        <w:rPr>
          <w:i/>
        </w:rPr>
        <w:t>Mining Act 1978</w:t>
      </w:r>
      <w:r>
        <w:t>.</w:t>
      </w:r>
    </w:p>
    <w:p>
      <w:pPr>
        <w:pStyle w:val="Heading5"/>
      </w:pPr>
      <w:bookmarkStart w:id="200" w:name="_Toc412535613"/>
      <w:bookmarkStart w:id="201" w:name="_Toc433187139"/>
      <w:bookmarkStart w:id="202" w:name="_Toc434319595"/>
      <w:bookmarkStart w:id="203" w:name="_Toc434324386"/>
      <w:r>
        <w:rPr>
          <w:rStyle w:val="CharSectno"/>
        </w:rPr>
        <w:t>9</w:t>
      </w:r>
      <w:r>
        <w:t>.</w:t>
      </w:r>
      <w:r>
        <w:tab/>
        <w:t>Section 6 amended</w:t>
      </w:r>
      <w:bookmarkEnd w:id="200"/>
      <w:bookmarkEnd w:id="201"/>
      <w:bookmarkEnd w:id="202"/>
      <w:bookmarkEnd w:id="203"/>
    </w:p>
    <w:p>
      <w:pPr>
        <w:pStyle w:val="Subsection"/>
      </w:pPr>
      <w:r>
        <w:tab/>
      </w:r>
      <w:r>
        <w:tab/>
        <w:t>After section 6(3) insert:</w:t>
      </w:r>
    </w:p>
    <w:p>
      <w:pPr>
        <w:pStyle w:val="BlankOpen"/>
      </w:pPr>
    </w:p>
    <w:p>
      <w:pPr>
        <w:pStyle w:val="zSubsection"/>
      </w:pPr>
      <w:r>
        <w:tab/>
        <w:t>(4)</w:t>
      </w:r>
      <w:r>
        <w:tab/>
        <w:t xml:space="preserve">The operation of this Act is subject to the </w:t>
      </w:r>
      <w:r>
        <w:rPr>
          <w:i/>
        </w:rPr>
        <w:t>Alumina Refinery (Mitchell Plateau) Agreement Act 1971</w:t>
      </w:r>
      <w:r>
        <w:t xml:space="preserve"> sections 5B and 5C.</w:t>
      </w:r>
    </w:p>
    <w:p>
      <w:pPr>
        <w:pStyle w:val="BlankClose"/>
      </w:pPr>
    </w:p>
    <w:p>
      <w:pPr>
        <w:pStyle w:val="CentredBaseLine"/>
        <w:jc w:val="center"/>
      </w:pPr>
      <w:r>
        <w:rPr>
          <w:noProof/>
        </w:rPr>
        <w:drawing>
          <wp:inline distT="0" distB="0" distL="0" distR="0">
            <wp:extent cx="933450" cy="171450"/>
            <wp:effectExtent l="0" t="0" r="0" b="0"/>
            <wp:docPr id="1" name="Picture 1"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pStyle w:val="Subsection"/>
        <w:sectPr>
          <w:headerReference w:type="even" r:id="rId29"/>
          <w:headerReference w:type="default" r:id="rId30"/>
          <w:endnotePr>
            <w:numFmt w:val="decimal"/>
          </w:endnotePr>
          <w:pgSz w:w="11907" w:h="16840" w:code="9"/>
          <w:pgMar w:top="2381" w:right="2410" w:bottom="3544" w:left="2410" w:header="720" w:footer="3544" w:gutter="0"/>
          <w:cols w:space="720"/>
          <w:docGrid w:linePitch="326"/>
        </w:sectPr>
      </w:pPr>
    </w:p>
    <w:p/>
    <w:sectPr>
      <w:headerReference w:type="even" r:id="rId31"/>
      <w:headerReference w:type="default" r:id="rId32"/>
      <w:footerReference w:type="even" r:id="rId33"/>
      <w:footerReference w:type="default" r:id="rId34"/>
      <w:headerReference w:type="first" r:id="rId35"/>
      <w:footerReference w:type="first" r:id="rId36"/>
      <w:endnotePr>
        <w:numFmt w:val="decimal"/>
      </w:endnotePr>
      <w:type w:val="continuous"/>
      <w:pgSz w:w="11907" w:h="16840" w:code="9"/>
      <w:pgMar w:top="567" w:right="2410" w:bottom="567" w:left="241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endnote>
  <w:endnote w:type="continuationSeparator" w:id="0">
    <w:p>
      <w:pPr>
        <w:pStyle w:val="Footer"/>
      </w:pP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"ActNoFooter" </w:instrText>
    </w:r>
    <w:r>
      <w:rPr>
        <w:sz w:val="20"/>
      </w:rPr>
      <w:fldChar w:fldCharType="separate"/>
    </w:r>
    <w:r>
      <w:rPr>
        <w:sz w:val="20"/>
      </w:rPr>
      <w:t>No. 31 of 2015</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02 Nov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02 Nov 2015</w:t>
    </w:r>
    <w:r>
      <w:rPr>
        <w:sz w:val="20"/>
      </w:rPr>
      <w:fldChar w:fldCharType="end"/>
    </w:r>
    <w:r>
      <w:rPr>
        <w:sz w:val="20"/>
      </w:rPr>
      <w:tab/>
    </w:r>
    <w:r>
      <w:rPr>
        <w:sz w:val="20"/>
      </w:rPr>
      <w:fldChar w:fldCharType="begin"/>
    </w:r>
    <w:r>
      <w:rPr>
        <w:sz w:val="20"/>
      </w:rPr>
      <w:instrText xml:space="preserve"> DOCPROPERTY "ActNoFooter" </w:instrText>
    </w:r>
    <w:r>
      <w:rPr>
        <w:sz w:val="20"/>
      </w:rPr>
      <w:fldChar w:fldCharType="separate"/>
    </w:r>
    <w:r>
      <w:rPr>
        <w:sz w:val="20"/>
      </w:rPr>
      <w:t>No. 31 of 2015</w:t>
    </w:r>
    <w:r>
      <w:rPr>
        <w:sz w:val="20"/>
      </w:rPr>
      <w:fldChar w:fldCharType="end"/>
    </w:r>
    <w:r>
      <w:rPr>
        <w:sz w:val="20"/>
      </w:rPr>
      <w:tab/>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02 Nov 2015</w:t>
    </w:r>
    <w:r>
      <w:rPr>
        <w:sz w:val="20"/>
      </w:rPr>
      <w:fldChar w:fldCharType="end"/>
    </w:r>
    <w:r>
      <w:rPr>
        <w:sz w:val="20"/>
      </w:rPr>
      <w:tab/>
    </w:r>
    <w:r>
      <w:rPr>
        <w:sz w:val="20"/>
      </w:rPr>
      <w:fldChar w:fldCharType="begin"/>
    </w:r>
    <w:r>
      <w:rPr>
        <w:sz w:val="20"/>
      </w:rPr>
      <w:instrText xml:space="preserve"> DOCPROPERTY "ActNoFooter" </w:instrText>
    </w:r>
    <w:r>
      <w:rPr>
        <w:sz w:val="20"/>
      </w:rPr>
      <w:fldChar w:fldCharType="separate"/>
    </w:r>
    <w:r>
      <w:rPr>
        <w:sz w:val="20"/>
      </w:rPr>
      <w:t>No. 31 of 2015</w:t>
    </w:r>
    <w:r>
      <w:rPr>
        <w:sz w:val="20"/>
      </w:rPr>
      <w:fldChar w:fldCharType="end"/>
    </w:r>
    <w:r>
      <w:rPr>
        <w:sz w:val="20"/>
      </w:rPr>
      <w:tab/>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sz w:val="20"/>
      </w:rPr>
      <w:t>ii</w:t>
    </w:r>
    <w:r>
      <w:rPr>
        <w:sz w:val="20"/>
      </w:rPr>
      <w:fldChar w:fldCharType="end"/>
    </w:r>
    <w:r>
      <w:rPr>
        <w:sz w:val="20"/>
      </w:rPr>
      <w:tab/>
    </w:r>
    <w:r>
      <w:rPr>
        <w:sz w:val="20"/>
      </w:rPr>
      <w:fldChar w:fldCharType="begin"/>
    </w:r>
    <w:r>
      <w:rPr>
        <w:sz w:val="20"/>
      </w:rPr>
      <w:instrText xml:space="preserve"> DOCPROPERTY "ActNoFooter" </w:instrText>
    </w:r>
    <w:r>
      <w:rPr>
        <w:sz w:val="20"/>
      </w:rPr>
      <w:fldChar w:fldCharType="separate"/>
    </w:r>
    <w:r>
      <w:rPr>
        <w:sz w:val="20"/>
      </w:rPr>
      <w:t>No. 31 of 2015</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02 Nov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02 Nov 2015</w:t>
    </w:r>
    <w:r>
      <w:rPr>
        <w:sz w:val="20"/>
      </w:rPr>
      <w:fldChar w:fldCharType="end"/>
    </w:r>
    <w:r>
      <w:rPr>
        <w:sz w:val="20"/>
      </w:rPr>
      <w:tab/>
    </w:r>
    <w:r>
      <w:rPr>
        <w:sz w:val="20"/>
      </w:rPr>
      <w:fldChar w:fldCharType="begin"/>
    </w:r>
    <w:r>
      <w:rPr>
        <w:sz w:val="20"/>
      </w:rPr>
      <w:instrText xml:space="preserve"> DOCPROPERTY "ActNoFooter" </w:instrText>
    </w:r>
    <w:r>
      <w:rPr>
        <w:sz w:val="20"/>
      </w:rPr>
      <w:fldChar w:fldCharType="separate"/>
    </w:r>
    <w:r>
      <w:rPr>
        <w:sz w:val="20"/>
      </w:rPr>
      <w:t>No. 31 of 2015</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ii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02 Nov 2015</w:t>
    </w:r>
    <w:r>
      <w:rPr>
        <w:sz w:val="20"/>
      </w:rPr>
      <w:fldChar w:fldCharType="end"/>
    </w:r>
    <w:r>
      <w:rPr>
        <w:sz w:val="20"/>
      </w:rPr>
      <w:tab/>
    </w:r>
    <w:r>
      <w:rPr>
        <w:sz w:val="20"/>
      </w:rPr>
      <w:fldChar w:fldCharType="begin"/>
    </w:r>
    <w:r>
      <w:rPr>
        <w:sz w:val="20"/>
      </w:rPr>
      <w:instrText xml:space="preserve"> DOCPROPERTY "ActNoFooter" </w:instrText>
    </w:r>
    <w:r>
      <w:rPr>
        <w:sz w:val="20"/>
      </w:rPr>
      <w:fldChar w:fldCharType="separate"/>
    </w:r>
    <w:r>
      <w:rPr>
        <w:sz w:val="20"/>
      </w:rPr>
      <w:t>No. 31 of 2015</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Bdr>
        <w:top w:val="single" w:sz="4" w:space="1" w:color="auto"/>
      </w:pBdr>
      <w:tabs>
        <w:tab w:val="left" w:pos="1417"/>
      </w:tabs>
      <w:rPr>
        <w:rFonts w:cs="Arial"/>
        <w:sz w:val="20"/>
      </w:rPr>
    </w:pPr>
    <w:r>
      <w:rPr>
        <w:rFonts w:cs="Arial"/>
        <w:sz w:val="20"/>
      </w:rPr>
      <w:t xml:space="preserve">page </w:t>
    </w:r>
    <w:r>
      <w:rPr>
        <w:rFonts w:cs="Arial"/>
        <w:sz w:val="20"/>
      </w:rPr>
      <w:fldChar w:fldCharType="begin"/>
    </w:r>
    <w:r>
      <w:rPr>
        <w:rFonts w:cs="Arial"/>
        <w:sz w:val="20"/>
      </w:rPr>
      <w:instrText xml:space="preserve"> PAGE  </w:instrText>
    </w:r>
    <w:r>
      <w:rPr>
        <w:rFonts w:cs="Arial"/>
        <w:sz w:val="20"/>
      </w:rPr>
      <w:fldChar w:fldCharType="separate"/>
    </w:r>
    <w:r>
      <w:rPr>
        <w:rFonts w:cs="Arial"/>
        <w:sz w:val="20"/>
      </w:rPr>
      <w:t>20</w:t>
    </w:r>
    <w:r>
      <w:rPr>
        <w:rFonts w:cs="Arial"/>
        <w:sz w:val="20"/>
      </w:rPr>
      <w:fldChar w:fldCharType="end"/>
    </w:r>
    <w:r>
      <w:rPr>
        <w:rFonts w:cs="Arial"/>
        <w:sz w:val="20"/>
      </w:rPr>
      <w:tab/>
    </w:r>
    <w:r>
      <w:rPr>
        <w:rFonts w:cs="Arial"/>
        <w:sz w:val="20"/>
      </w:rPr>
      <w:fldChar w:fldCharType="begin"/>
    </w:r>
    <w:r>
      <w:rPr>
        <w:rFonts w:cs="Arial"/>
        <w:sz w:val="20"/>
      </w:rPr>
      <w:instrText xml:space="preserve"> DOCPROPERTY ActNoFooter \* MERGEFORMAT </w:instrText>
    </w:r>
    <w:r>
      <w:rPr>
        <w:rFonts w:cs="Arial"/>
        <w:sz w:val="20"/>
      </w:rPr>
      <w:fldChar w:fldCharType="separate"/>
    </w:r>
    <w:r>
      <w:rPr>
        <w:rFonts w:cs="Arial"/>
        <w:sz w:val="20"/>
      </w:rPr>
      <w:t>No. 31 of 2015</w:t>
    </w:r>
    <w:r>
      <w:rPr>
        <w:rFonts w:cs="Arial"/>
        <w:sz w:val="20"/>
      </w:rPr>
      <w:fldChar w:fldCharType="end"/>
    </w:r>
    <w:r>
      <w:rPr>
        <w:rFonts w:cs="Arial"/>
        <w:sz w:val="20"/>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Pr>
      <w:pStyle w:val="Footer"/>
      <w:pBdr>
        <w:top w:val="single" w:sz="4" w:space="1" w:color="auto"/>
      </w:pBdr>
      <w:tabs>
        <w:tab w:val="right" w:pos="5669"/>
        <w:tab w:val="right" w:pos="7087"/>
      </w:tabs>
      <w:rPr>
        <w:rFonts w:cs="Arial"/>
        <w:sz w:val="20"/>
      </w:rPr>
    </w:pPr>
    <w:r>
      <w:rPr>
        <w:rFonts w:cs="Arial"/>
        <w:sz w:val="20"/>
      </w:rPr>
      <w:tab/>
    </w:r>
    <w:r>
      <w:rPr>
        <w:rFonts w:cs="Arial"/>
        <w:sz w:val="20"/>
      </w:rPr>
      <w:fldChar w:fldCharType="begin"/>
    </w:r>
    <w:r>
      <w:rPr>
        <w:rFonts w:cs="Arial"/>
        <w:sz w:val="20"/>
      </w:rPr>
      <w:instrText xml:space="preserve"> DOCPROPERTY ActNoFooter \* MERGEFORMAT </w:instrText>
    </w:r>
    <w:r>
      <w:rPr>
        <w:rFonts w:cs="Arial"/>
        <w:sz w:val="20"/>
      </w:rPr>
      <w:fldChar w:fldCharType="separate"/>
    </w:r>
    <w:r>
      <w:rPr>
        <w:rFonts w:cs="Arial"/>
        <w:sz w:val="20"/>
      </w:rPr>
      <w:t>No. 31 of 2015</w:t>
    </w:r>
    <w:r>
      <w:rPr>
        <w:rFonts w:cs="Arial"/>
        <w:sz w:val="20"/>
      </w:rPr>
      <w:fldChar w:fldCharType="end"/>
    </w:r>
    <w:r>
      <w:rPr>
        <w:rFonts w:cs="Arial"/>
        <w:sz w:val="20"/>
      </w:rPr>
      <w:tab/>
      <w:t xml:space="preserve">page </w:t>
    </w:r>
    <w:r>
      <w:rPr>
        <w:rFonts w:cs="Arial"/>
        <w:sz w:val="20"/>
      </w:rPr>
      <w:fldChar w:fldCharType="begin"/>
    </w:r>
    <w:r>
      <w:rPr>
        <w:rFonts w:cs="Arial"/>
        <w:sz w:val="20"/>
      </w:rPr>
      <w:instrText xml:space="preserve"> PAGE  </w:instrText>
    </w:r>
    <w:r>
      <w:rPr>
        <w:rFonts w:cs="Arial"/>
        <w:sz w:val="20"/>
      </w:rPr>
      <w:fldChar w:fldCharType="separate"/>
    </w:r>
    <w:r>
      <w:rPr>
        <w:rFonts w:cs="Arial"/>
        <w:sz w:val="20"/>
      </w:rPr>
      <w:t>19</w:t>
    </w:r>
    <w:r>
      <w:rPr>
        <w:rFonts w:cs="Arial"/>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Alumina Refinery (Mitchell Plateau) Agreement (Termination) Act 2015</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CharPartNo </w:instrText>
          </w:r>
          <w:r>
            <w:rPr>
              <w:b/>
            </w:rPr>
            <w:fldChar w:fldCharType="end"/>
          </w:r>
          <w:r>
            <w:rPr>
              <w:b/>
            </w:rPr>
            <w:instrText>" "</w:instrText>
          </w:r>
          <w:r>
            <w:rPr>
              <w:b/>
            </w:rPr>
            <w:fldChar w:fldCharType="begin"/>
          </w:r>
          <w:r>
            <w:rPr>
              <w:b/>
            </w:rPr>
            <w:instrText>STYLEREF CharPartNo</w:instrText>
          </w:r>
          <w:r>
            <w:rPr>
              <w:b/>
            </w:rPr>
            <w:fldChar w:fldCharType="separate"/>
          </w:r>
          <w:r>
            <w:rPr>
              <w:b/>
            </w:rPr>
            <w:instrText>Part</w:instrText>
          </w:r>
          <w:r>
            <w:rPr>
              <w:b/>
            </w:rPr>
            <w:fldChar w:fldCharType="end"/>
          </w:r>
          <w:r>
            <w:rPr>
              <w:b/>
            </w:rPr>
            <w:instrText xml:space="preserve"> </w:instrText>
          </w:r>
          <w:r>
            <w:rPr>
              <w:b/>
            </w:rPr>
            <w:fldChar w:fldCharType="begin"/>
          </w:r>
          <w:r>
            <w:rPr>
              <w:b/>
            </w:rPr>
            <w:instrText>STYLEREF CharPartNo \n</w:instrText>
          </w:r>
          <w:r>
            <w:rPr>
              <w:b/>
            </w:rPr>
            <w:fldChar w:fldCharType="separate"/>
          </w:r>
          <w:r>
            <w:rPr>
              <w:b/>
            </w:rPr>
            <w:instrText>2</w:instrText>
          </w:r>
          <w:r>
            <w:rPr>
              <w:b/>
            </w:rPr>
            <w:fldChar w:fldCharType="end"/>
          </w:r>
          <w:r>
            <w:rPr>
              <w:b/>
            </w:rPr>
            <w:instrText>"</w:instrText>
          </w:r>
          <w:r>
            <w:rPr>
              <w:b/>
            </w:rPr>
            <w:fldChar w:fldCharType="end"/>
          </w:r>
        </w:p>
      </w:tc>
    </w:tr>
    <w:t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CharDivNo </w:instrText>
          </w:r>
          <w:r>
            <w:rPr>
              <w:b/>
            </w:rPr>
            <w:fldChar w:fldCharType="end"/>
          </w:r>
          <w:r>
            <w:rPr>
              <w:b/>
            </w:rPr>
            <w:instrText>" "</w:instrText>
          </w:r>
          <w:r>
            <w:rPr>
              <w:b/>
            </w:rPr>
            <w:fldChar w:fldCharType="begin"/>
          </w:r>
          <w:r>
            <w:rPr>
              <w:b/>
            </w:rPr>
            <w:instrText xml:space="preserve"> STYLEREF CharDivNo </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s. </w:t>
          </w:r>
          <w:r>
            <w:rPr>
              <w:b/>
            </w:rPr>
            <w:fldChar w:fldCharType="begin"/>
          </w:r>
          <w:r>
            <w:rPr>
              <w:b/>
            </w:rPr>
            <w:instrText xml:space="preserve"> IF </w:instrText>
          </w:r>
          <w:r>
            <w:rPr>
              <w:b/>
            </w:rPr>
            <w:fldChar w:fldCharType="begin"/>
          </w:r>
          <w:r>
            <w:rPr>
              <w:b/>
            </w:rPr>
            <w:instrText>STYLEREF CharSectNo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STYLEREF CharSectNo \n</w:instrText>
          </w:r>
          <w:r>
            <w:rPr>
              <w:b/>
            </w:rPr>
            <w:fldChar w:fldCharType="separate"/>
          </w:r>
          <w:r>
            <w:rPr>
              <w:b/>
            </w:rPr>
            <w:instrText>7</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rPr>
        <w:rFonts w:ascii="Times New Roman" w:hAnsi="Times New Roma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04" w:name="Coversheet"/>
    <w:bookmarkEnd w:id="20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Alumina Refinery (Mitchell Plateau) Agreement (Termination) Act 2015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Alumina Refinery (Mitchell Plateau) Agreement (Termination) Act 2015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Alumina Refinery (Mitchell Plateau) Agreement (Termination) Act 2015</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end"/>
          </w:r>
          <w:r>
            <w:rPr>
              <w:b/>
            </w:rPr>
            <w:t xml:space="preserve"> </w:t>
          </w:r>
          <w:r>
            <w:rPr>
              <w:b/>
            </w:rPr>
            <w:fldChar w:fldCharType="begin"/>
          </w:r>
          <w:r>
            <w:rPr>
              <w:b/>
            </w:rPr>
            <w:instrText xml:space="preserve"> IF </w:instrText>
          </w:r>
          <w:r>
            <w:rPr>
              <w:b/>
            </w:rPr>
            <w:fldChar w:fldCharType="begin"/>
          </w:r>
          <w:r>
            <w:rPr>
              <w:b/>
            </w:rPr>
            <w:instrText xml:space="preserve"> styleref CharPartNo </w:instrText>
          </w:r>
          <w:r>
            <w:rPr>
              <w:b/>
            </w:rPr>
            <w:fldChar w:fldCharType="end"/>
          </w:r>
          <w:r>
            <w:rPr>
              <w:b/>
            </w:rPr>
            <w:instrText xml:space="preserve"> = "" "" </w:instrText>
          </w:r>
          <w:r>
            <w:rPr>
              <w:b/>
            </w:rPr>
            <w:fldChar w:fldCharType="begin"/>
          </w:r>
          <w:r>
            <w:rPr>
              <w:b/>
            </w:rPr>
            <w:instrText>styleref CharPartNo \n</w:instrText>
          </w:r>
          <w:r>
            <w:rPr>
              <w:b/>
            </w:rPr>
            <w:fldChar w:fldCharType="end"/>
          </w:r>
          <w:r>
            <w:rPr>
              <w:b/>
            </w:rPr>
            <w:instrText xml:space="preserve"> </w:instrText>
          </w:r>
          <w:r>
            <w:rPr>
              <w:b/>
            </w:rPr>
            <w:fldChar w:fldCharType="end"/>
          </w:r>
        </w:p>
      </w:tc>
      <w:tc>
        <w:tcPr>
          <w:tcW w:w="5715" w:type="dxa"/>
          <w:vAlign w:val="bottom"/>
        </w:tcPr>
        <w:p>
          <w:pPr>
            <w:pStyle w:val="Header"/>
            <w:spacing w:before="40"/>
          </w:pPr>
          <w:r>
            <w:fldChar w:fldCharType="begin"/>
          </w:r>
          <w:r>
            <w:instrText xml:space="preserve"> styleref CharPartText </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r>
            <w:rPr>
              <w:b/>
            </w:rPr>
            <w:t xml:space="preserve"> </w:t>
          </w:r>
          <w:r>
            <w:rPr>
              <w:b/>
            </w:rPr>
            <w:fldChar w:fldCharType="begin"/>
          </w:r>
          <w:r>
            <w:rPr>
              <w:b/>
            </w:rPr>
            <w:instrText xml:space="preserve"> IF </w:instrText>
          </w:r>
          <w:r>
            <w:rPr>
              <w:b/>
            </w:rPr>
            <w:fldChar w:fldCharType="begin"/>
          </w:r>
          <w:r>
            <w:rPr>
              <w:b/>
            </w:rPr>
            <w:instrText xml:space="preserve"> styleref CharDivNo </w:instrText>
          </w:r>
          <w:r>
            <w:rPr>
              <w:b/>
            </w:rPr>
            <w:fldChar w:fldCharType="end"/>
          </w:r>
          <w:r>
            <w:rPr>
              <w:b/>
            </w:rPr>
            <w:instrText xml:space="preserve"> = "" "" </w:instrText>
          </w:r>
          <w:r>
            <w:rPr>
              <w:b/>
            </w:rPr>
            <w:fldChar w:fldCharType="begin"/>
          </w:r>
          <w:r>
            <w:rPr>
              <w:b/>
            </w:rPr>
            <w:instrText xml:space="preserve"> styleref CharDivNo \n </w:instrText>
          </w:r>
          <w:r>
            <w:rPr>
              <w:b/>
            </w:rPr>
            <w:fldChar w:fldCharType="end"/>
          </w:r>
          <w:r>
            <w:rPr>
              <w:b/>
            </w:rPr>
            <w:instrText xml:space="preserve">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trPr>
      <w:tc>
        <w:tcPr>
          <w:tcW w:w="7263" w:type="dxa"/>
          <w:gridSpan w:val="2"/>
        </w:tcPr>
        <w:p>
          <w:pPr>
            <w:pStyle w:val="Header"/>
            <w:spacing w:before="40"/>
          </w:pPr>
        </w:p>
      </w:tc>
    </w:tr>
  </w:tbl>
  <w:p>
    <w:pPr>
      <w:pStyle w:val="Header"/>
      <w:pBdr>
        <w:top w:val="single" w:sz="4" w:space="1" w:color="auto"/>
      </w:pBdr>
      <w:rPr>
        <w:rFonts w:ascii="Times New Roman" w:hAnsi="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Alumina Refinery (Mitchell Plateau) Agreement (Termination) Act 2015</w:t>
          </w:r>
          <w:r>
            <w:rPr>
              <w:b/>
              <w:i/>
            </w:rPr>
            <w:fldChar w:fldCharType="end"/>
          </w:r>
        </w:p>
      </w:tc>
    </w:tr>
    <w:tr>
      <w:tc>
        <w:tcPr>
          <w:tcW w:w="5715" w:type="dxa"/>
          <w:vAlign w:val="bottom"/>
        </w:tcPr>
        <w:p>
          <w:pPr>
            <w:pStyle w:val="Header"/>
            <w:spacing w:before="40"/>
            <w:jc w:val="right"/>
          </w:pPr>
          <w:r>
            <w:fldChar w:fldCharType="begin"/>
          </w:r>
          <w:r>
            <w:instrText xml:space="preserve"> styleref CharPartText </w:instrTex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end"/>
          </w:r>
          <w:r>
            <w:rPr>
              <w:b/>
            </w:rPr>
            <w:t xml:space="preserve"> </w:t>
          </w:r>
          <w:r>
            <w:rPr>
              <w:b/>
            </w:rPr>
            <w:fldChar w:fldCharType="begin"/>
          </w:r>
          <w:r>
            <w:rPr>
              <w:b/>
            </w:rPr>
            <w:instrText xml:space="preserve"> IF </w:instrText>
          </w:r>
          <w:r>
            <w:rPr>
              <w:b/>
            </w:rPr>
            <w:fldChar w:fldCharType="begin"/>
          </w:r>
          <w:r>
            <w:rPr>
              <w:b/>
            </w:rPr>
            <w:instrText xml:space="preserve"> styleref CharPartNo </w:instrText>
          </w:r>
          <w:r>
            <w:rPr>
              <w:b/>
            </w:rPr>
            <w:fldChar w:fldCharType="end"/>
          </w:r>
          <w:r>
            <w:rPr>
              <w:b/>
            </w:rPr>
            <w:instrText xml:space="preserve"> = "" "" </w:instrText>
          </w:r>
          <w:r>
            <w:rPr>
              <w:b/>
            </w:rPr>
            <w:fldChar w:fldCharType="begin"/>
          </w:r>
          <w:r>
            <w:rPr>
              <w:b/>
            </w:rPr>
            <w:instrText>styleref CharPartNo \n</w:instrText>
          </w:r>
          <w:r>
            <w:rPr>
              <w:b/>
            </w:rPr>
            <w:fldChar w:fldCharType="end"/>
          </w:r>
          <w:r>
            <w:rPr>
              <w:b/>
            </w:rPr>
            <w:instrText xml:space="preserve"> </w:instrText>
          </w:r>
          <w:r>
            <w:rPr>
              <w:b/>
            </w:rPr>
            <w:fldChar w:fldCharType="end"/>
          </w:r>
        </w:p>
      </w:tc>
    </w:tr>
    <w:t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r>
            <w:rPr>
              <w:b/>
            </w:rPr>
            <w:t xml:space="preserve"> </w:t>
          </w:r>
          <w:r>
            <w:rPr>
              <w:b/>
            </w:rPr>
            <w:fldChar w:fldCharType="begin"/>
          </w:r>
          <w:r>
            <w:rPr>
              <w:b/>
            </w:rPr>
            <w:instrText xml:space="preserve"> IF </w:instrText>
          </w:r>
          <w:r>
            <w:rPr>
              <w:b/>
            </w:rPr>
            <w:fldChar w:fldCharType="begin"/>
          </w:r>
          <w:r>
            <w:rPr>
              <w:b/>
            </w:rPr>
            <w:instrText xml:space="preserve"> styleref CharDivNo </w:instrText>
          </w:r>
          <w:r>
            <w:rPr>
              <w:b/>
            </w:rPr>
            <w:fldChar w:fldCharType="end"/>
          </w:r>
          <w:r>
            <w:rPr>
              <w:b/>
            </w:rPr>
            <w:instrText xml:space="preserve"> = "" "" </w:instrText>
          </w:r>
          <w:r>
            <w:rPr>
              <w:b/>
            </w:rPr>
            <w:fldChar w:fldCharType="begin"/>
          </w:r>
          <w:r>
            <w:rPr>
              <w:b/>
            </w:rPr>
            <w:instrText>styleref CharDivNo \n</w:instrText>
          </w:r>
          <w:r>
            <w:rPr>
              <w:b/>
            </w:rPr>
            <w:fldChar w:fldCharType="end"/>
          </w:r>
          <w:r>
            <w:rPr>
              <w:b/>
            </w:rPr>
            <w:instrText xml:space="preserve"> </w:instrText>
          </w:r>
          <w:r>
            <w:rPr>
              <w:b/>
            </w:rPr>
            <w:fldChar w:fldCharType="end"/>
          </w:r>
        </w:p>
      </w:tc>
    </w:tr>
    <w:tr>
      <w:trPr>
        <w:cantSplit/>
      </w:trPr>
      <w:tc>
        <w:tcPr>
          <w:tcW w:w="7263" w:type="dxa"/>
          <w:gridSpan w:val="2"/>
        </w:tcPr>
        <w:p>
          <w:pPr>
            <w:pStyle w:val="Header"/>
            <w:spacing w:before="40"/>
            <w:ind w:right="17"/>
            <w:jc w:val="right"/>
          </w:pPr>
        </w:p>
      </w:tc>
    </w:tr>
  </w:tbl>
  <w:p>
    <w:pPr>
      <w:pStyle w:val="Header"/>
      <w:pBdr>
        <w:top w:val="single" w:sz="4" w:space="1" w:color="auto"/>
      </w:pBdr>
      <w:rPr>
        <w:rFonts w:ascii="Times New Roman" w:hAnsi="Times New Roma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c>
        <w:tcPr>
          <w:tcW w:w="7263" w:type="dxa"/>
          <w:gridSpan w:val="2"/>
        </w:tcPr>
        <w:p>
          <w:pPr>
            <w:pStyle w:val="Header"/>
          </w:pPr>
          <w:r>
            <w:rPr>
              <w:b/>
              <w:i/>
            </w:rPr>
            <w:fldChar w:fldCharType="begin"/>
          </w:r>
          <w:r>
            <w:rPr>
              <w:b/>
              <w:i/>
            </w:rPr>
            <w:instrText>STYLEREF "Name of Act/Reg"</w:instrText>
          </w:r>
          <w:r>
            <w:rPr>
              <w:b/>
              <w:i/>
            </w:rPr>
            <w:fldChar w:fldCharType="separate"/>
          </w:r>
          <w:r>
            <w:rPr>
              <w:b/>
              <w:i/>
            </w:rPr>
            <w:t>Alumina Refinery (Mitchell Plateau) Agreement (Termination) Act 2015</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separate"/>
          </w:r>
          <w:r>
            <w:rPr>
              <w:b/>
            </w:rPr>
            <w:instrText>Part 1</w:instrText>
          </w:r>
          <w:r>
            <w:rPr>
              <w:b/>
            </w:rPr>
            <w:fldChar w:fldCharType="end"/>
          </w:r>
          <w:r>
            <w:rPr>
              <w:b/>
            </w:rPr>
            <w:instrText>" "</w:instrText>
          </w:r>
          <w:r>
            <w:rPr>
              <w:b/>
            </w:rPr>
            <w:fldChar w:fldCharType="begin"/>
          </w:r>
          <w:r>
            <w:rPr>
              <w:b/>
            </w:rPr>
            <w:instrText>STYLEREF CharPartNo</w:instrText>
          </w:r>
          <w:r>
            <w:rPr>
              <w:b/>
            </w:rPr>
            <w:fldChar w:fldCharType="separate"/>
          </w:r>
          <w:r>
            <w:rPr>
              <w:b/>
            </w:rPr>
            <w:instrText>Part</w:instrText>
          </w:r>
          <w:r>
            <w:rPr>
              <w:b/>
            </w:rPr>
            <w:fldChar w:fldCharType="end"/>
          </w:r>
          <w:r>
            <w:rPr>
              <w:b/>
            </w:rPr>
            <w:instrText xml:space="preserve"> </w:instrText>
          </w:r>
          <w:r>
            <w:rPr>
              <w:b/>
            </w:rPr>
            <w:fldChar w:fldCharType="begin"/>
          </w:r>
          <w:r>
            <w:rPr>
              <w:b/>
            </w:rPr>
            <w:instrText>STYLEREF CharPartNo \n</w:instrText>
          </w:r>
          <w:r>
            <w:rPr>
              <w:b/>
            </w:rPr>
            <w:fldChar w:fldCharType="separate"/>
          </w:r>
          <w:r>
            <w:rPr>
              <w:b/>
            </w:rPr>
            <w:instrText>3</w:instrText>
          </w:r>
          <w:r>
            <w:rPr>
              <w:b/>
            </w:rPr>
            <w:fldChar w:fldCharType="end"/>
          </w:r>
          <w:r>
            <w:rPr>
              <w:b/>
            </w:rPr>
            <w:instrText>"</w:instrText>
          </w:r>
          <w:r>
            <w:rPr>
              <w:b/>
            </w:rPr>
            <w:fldChar w:fldCharType="separate"/>
          </w:r>
          <w:r>
            <w:rPr>
              <w:b/>
            </w:rPr>
            <w:t>Part 1</w:t>
          </w:r>
          <w:r>
            <w:rPr>
              <w:b/>
            </w:rPr>
            <w:fldChar w:fldCharType="end"/>
          </w:r>
        </w:p>
      </w:tc>
      <w:tc>
        <w:tcPr>
          <w:tcW w:w="5715" w:type="dxa"/>
          <w:vAlign w:val="bottom"/>
        </w:tcPr>
        <w:p>
          <w:pPr>
            <w:pStyle w:val="Header"/>
            <w:spacing w:before="40"/>
          </w:pPr>
          <w:r>
            <w:fldChar w:fldCharType="begin"/>
          </w:r>
          <w:r>
            <w:instrText>styleref CharPartText</w:instrText>
          </w:r>
          <w:r>
            <w:fldChar w:fldCharType="separate"/>
          </w:r>
          <w:r>
            <w:t>Preliminary</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CharDivNo </w:instrText>
          </w:r>
          <w:r>
            <w:rPr>
              <w:b/>
            </w:rPr>
            <w:fldChar w:fldCharType="end"/>
          </w:r>
          <w:r>
            <w:rPr>
              <w:b/>
            </w:rPr>
            <w:instrText>" "</w:instrText>
          </w:r>
          <w:r>
            <w:rPr>
              <w:b/>
            </w:rPr>
            <w:fldChar w:fldCharType="begin"/>
          </w:r>
          <w:r>
            <w:rPr>
              <w:b/>
            </w:rPr>
            <w:instrText xml:space="preserve"> STYLEREF CharDivNo </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c>
        <w:tcPr>
          <w:tcW w:w="7263" w:type="dxa"/>
          <w:gridSpan w:val="2"/>
        </w:tcPr>
        <w:p>
          <w:pPr>
            <w:pStyle w:val="Header"/>
            <w:spacing w:before="40"/>
          </w:pPr>
          <w:r>
            <w:rPr>
              <w:b/>
            </w:rPr>
            <w:t xml:space="preserve">s.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8</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38D7C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144F87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4C2480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7A4ED7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C29B5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99EDD4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D0D50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48EB14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B1C8FAC"/>
    <w:lvl w:ilvl="0">
      <w:start w:val="1"/>
      <w:numFmt w:val="decimal"/>
      <w:pStyle w:val="ListNumber"/>
      <w:lvlText w:val="%1."/>
      <w:lvlJc w:val="left"/>
      <w:pPr>
        <w:tabs>
          <w:tab w:val="num" w:pos="360"/>
        </w:tabs>
        <w:ind w:left="360" w:hanging="360"/>
      </w:pPr>
    </w:lvl>
  </w:abstractNum>
  <w:abstractNum w:abstractNumId="9">
    <w:nsid w:val="FFFFFF89"/>
    <w:multiLevelType w:val="singleLevel"/>
    <w:tmpl w:val="2842CE8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CC00AE5C"/>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3550C8FC"/>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C3A0729"/>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2FF52EB"/>
    <w:multiLevelType w:val="multilevel"/>
    <w:tmpl w:val="85E88ED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1">
    <w:nsid w:val="30E2035F"/>
    <w:multiLevelType w:val="singleLevel"/>
    <w:tmpl w:val="F356D5B2"/>
    <w:name w:val="ScheduleNumberedItems2"/>
    <w:lvl w:ilvl="0">
      <w:start w:val="1"/>
      <w:numFmt w:val="bullet"/>
      <w:lvlText w:val=""/>
      <w:lvlJc w:val="left"/>
      <w:pPr>
        <w:tabs>
          <w:tab w:val="num" w:pos="397"/>
        </w:tabs>
        <w:ind w:left="397" w:hanging="397"/>
      </w:pPr>
      <w:rPr>
        <w:rFonts w:ascii="Symbol" w:hAnsi="Symbol" w:hint="default"/>
      </w:rPr>
    </w:lvl>
  </w:abstractNum>
  <w:abstractNum w:abstractNumId="22">
    <w:nsid w:val="3C2808C0"/>
    <w:multiLevelType w:val="singleLevel"/>
    <w:tmpl w:val="B1B4B30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4336B68"/>
    <w:multiLevelType w:val="hybridMultilevel"/>
    <w:tmpl w:val="932A36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9">
    <w:nsid w:val="631722D4"/>
    <w:multiLevelType w:val="hybridMultilevel"/>
    <w:tmpl w:val="C430E90C"/>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0">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31"/>
  </w:num>
  <w:num w:numId="3">
    <w:abstractNumId w:val="13"/>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num>
  <w:num w:numId="16">
    <w:abstractNumId w:val="29"/>
  </w:num>
  <w:num w:numId="17">
    <w:abstractNumId w:val="14"/>
  </w:num>
  <w:num w:numId="18">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isplayHorizontalDrawingGridEvery w:val="0"/>
  <w:displayVerticalDrawingGridEvery w:val="0"/>
  <w:doNotUseMarginsForDrawingGridOrigin/>
  <w:doNotShadeFormData/>
  <w:noPunctuationKerning/>
  <w:characterSpacingControl w:val="doNotCompress"/>
  <w:footnotePr>
    <w:footnote w:id="-1"/>
    <w:footnote w:id="0"/>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3142531"/>
    <w:docVar w:name="WAFER_20140923150443" w:val="RemoveTocBookmarks,RemoveUnusedBookmarks,RemoveLanguageTags,UsedStyles,ResetPageSize"/>
    <w:docVar w:name="WAFER_20140923150443_GUID" w:val="251c3353-7a05-4ab7-850d-1af1a14a9021"/>
    <w:docVar w:name="WAFER_20141021110420" w:val="RemoveTocBookmarks,RemoveUnusedBookmarks,RemoveLanguageTags,UsedStyles,ResetPageSize"/>
    <w:docVar w:name="WAFER_20141021110420_GUID" w:val="9e843b11-eed7-49dd-8efb-cf664ee7cab8"/>
    <w:docVar w:name="WAFER_20150224093251" w:val="RemoveTocBookmarks,RemoveUnusedBookmarks,RemoveLanguageTags,UsedStyles,ResetPageSize"/>
    <w:docVar w:name="WAFER_20150224093251_GUID" w:val="5c8ad8c7-a742-41b3-b645-95dfc10ab41c"/>
    <w:docVar w:name="WAFER_20150227162627" w:val="ResetPageSize,UpdateArrangement,UpdateNTable"/>
    <w:docVar w:name="WAFER_20150227162627_GUID" w:val="a0b4c80c-2019-41c3-a97b-53d77ca0378b"/>
    <w:docVar w:name="WAFER_20151103142531" w:val="UpdateStyles,ResetPageSize"/>
    <w:docVar w:name="WAFER_20151103142531_GUID" w:val="6c8765a1-ed4e-43e2-bc0e-d25a2e3297b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5"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rPr>
      <w:rFonts w:ascii="Arial" w:hAnsi="Arial"/>
      <w:noProof/>
    </w:rPr>
  </w:style>
  <w:style w:type="paragraph" w:styleId="Header">
    <w:name w:val="header"/>
    <w:rPr>
      <w:rFonts w:ascii="Arial" w:hAnsi="Arial"/>
      <w:noProof/>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styleId="TOC4">
    <w:name w:val="toc 4"/>
    <w:next w:val="Normal"/>
    <w:semiHidden/>
    <w:pPr>
      <w:keepNext/>
      <w:spacing w:before="60" w:after="20"/>
      <w:ind w:left="1985" w:right="1134" w:hanging="567"/>
    </w:pPr>
    <w:rPr>
      <w:rFonts w:ascii="Times New Roman" w:hAnsi="Times New Roman"/>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rPr>
  </w:style>
  <w:style w:type="paragraph" w:customStyle="1" w:styleId="DeleteClose">
    <w:name w:val="DeleteClose"/>
    <w:basedOn w:val="Normal"/>
    <w:pPr>
      <w:keepLines/>
      <w:jc w:val="center"/>
    </w:pPr>
    <w:rPr>
      <w:szCs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4"/>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5"/>
      </w:numPr>
    </w:pPr>
  </w:style>
  <w:style w:type="paragraph" w:styleId="ListBullet2">
    <w:name w:val="List Bullet 2"/>
    <w:basedOn w:val="Normal"/>
    <w:autoRedefine/>
    <w:pPr>
      <w:numPr>
        <w:numId w:val="6"/>
      </w:numPr>
    </w:pPr>
  </w:style>
  <w:style w:type="paragraph" w:styleId="ListBullet3">
    <w:name w:val="List Bullet 3"/>
    <w:basedOn w:val="Normal"/>
    <w:autoRedefine/>
    <w:pPr>
      <w:numPr>
        <w:numId w:val="7"/>
      </w:numPr>
    </w:pPr>
  </w:style>
  <w:style w:type="paragraph" w:styleId="ListBullet4">
    <w:name w:val="List Bullet 4"/>
    <w:basedOn w:val="Normal"/>
    <w:autoRedefine/>
    <w:pPr>
      <w:numPr>
        <w:numId w:val="8"/>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0"/>
      </w:numPr>
    </w:pPr>
  </w:style>
  <w:style w:type="paragraph" w:styleId="ListNumber2">
    <w:name w:val="List Number 2"/>
    <w:basedOn w:val="Normal"/>
    <w:pPr>
      <w:numPr>
        <w:numId w:val="11"/>
      </w:numPr>
    </w:pPr>
  </w:style>
  <w:style w:type="paragraph" w:styleId="ListNumber3">
    <w:name w:val="List Number 3"/>
    <w:basedOn w:val="Normal"/>
    <w:pPr>
      <w:numPr>
        <w:numId w:val="12"/>
      </w:numPr>
    </w:pPr>
  </w:style>
  <w:style w:type="paragraph" w:styleId="ListNumber4">
    <w:name w:val="List Number 4"/>
    <w:basedOn w:val="Normal"/>
    <w:pPr>
      <w:numPr>
        <w:numId w:val="13"/>
      </w:numPr>
    </w:pPr>
  </w:style>
  <w:style w:type="paragraph" w:styleId="ListNumber5">
    <w:name w:val="List Number 5"/>
    <w:basedOn w:val="Normal"/>
    <w:pPr>
      <w:numPr>
        <w:numId w:val="1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9"/>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5"/>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rFonts w:ascii="Times New Roman" w:hAnsi="Times New Roman"/>
      <w:b/>
      <w:noProof/>
      <w:sz w:val="28"/>
    </w:rPr>
  </w:style>
  <w:style w:type="paragraph" w:customStyle="1" w:styleId="yEdnotedefitem">
    <w:name w:val="yEdnote(defitem)"/>
    <w:basedOn w:val="Ednotedefitem"/>
    <w:rPr>
      <w:i w:val="0"/>
      <w:sz w:val="22"/>
    </w:rPr>
  </w:style>
  <w:style w:type="paragraph" w:customStyle="1" w:styleId="yEdnotedefpara">
    <w:name w:val="yEdnote(defpara)"/>
    <w:basedOn w:val="Ednotedefpara"/>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paragraph" w:customStyle="1" w:styleId="THeading">
    <w:name w:val="THeading"/>
    <w:pPr>
      <w:keepNext/>
      <w:spacing w:before="160" w:after="60" w:line="260" w:lineRule="atLeast"/>
      <w:jc w:val="center"/>
    </w:pPr>
    <w:rPr>
      <w:rFonts w:ascii="Times New Roman" w:hAnsi="Times New Roman"/>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PAGE-">
    <w:name w:val="- PAGE -"/>
    <w:rPr>
      <w:rFonts w:ascii="Times New Roman" w:hAnsi="Times New Roman"/>
    </w:rPr>
  </w:style>
  <w:style w:type="paragraph" w:customStyle="1" w:styleId="THeadingNAm">
    <w:name w:val="THeadingNAm"/>
    <w:basedOn w:val="THeading"/>
    <w:pPr>
      <w:ind w:left="879" w:right="142"/>
    </w:pPr>
  </w:style>
  <w:style w:type="paragraph" w:customStyle="1" w:styleId="zTHeadingNAm">
    <w:name w:val="zTHeadingNAm"/>
    <w:basedOn w:val="THeading"/>
    <w:pPr>
      <w:ind w:left="1446" w:right="142"/>
    </w:pPr>
  </w:style>
  <w:style w:type="paragraph" w:customStyle="1" w:styleId="yTHeadingNAm">
    <w:name w:val="yTHeadingNAm"/>
    <w:basedOn w:val="THeading"/>
    <w:pPr>
      <w:ind w:left="142" w:right="142"/>
    </w:pPr>
    <w:rPr>
      <w:sz w:val="22"/>
    </w:rPr>
  </w:style>
  <w:style w:type="paragraph" w:customStyle="1" w:styleId="zyTHeadingNAm">
    <w:name w:val="zyTHeadingNAm"/>
    <w:basedOn w:val="THeading"/>
    <w:pPr>
      <w:ind w:left="709" w:right="142"/>
    </w:pPr>
    <w:rPr>
      <w:sz w:val="22"/>
    </w:rPr>
  </w:style>
  <w:style w:type="paragraph" w:customStyle="1" w:styleId="TableNAm">
    <w:name w:val="TableNAm"/>
    <w:basedOn w:val="TableAm"/>
  </w:style>
  <w:style w:type="paragraph" w:customStyle="1" w:styleId="zTableNAm">
    <w:name w:val="zTableNAm"/>
    <w:basedOn w:val="TableAm"/>
  </w:style>
  <w:style w:type="paragraph" w:customStyle="1" w:styleId="yTableNAm">
    <w:name w:val="yTableNAm"/>
    <w:basedOn w:val="TableAm"/>
    <w:rPr>
      <w:sz w:val="22"/>
    </w:rPr>
  </w:style>
  <w:style w:type="paragraph" w:customStyle="1" w:styleId="zyTableNAm">
    <w:name w:val="zyTableNAm"/>
    <w:basedOn w:val="TableAm"/>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5"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rPr>
      <w:rFonts w:ascii="Arial" w:hAnsi="Arial"/>
      <w:noProof/>
    </w:rPr>
  </w:style>
  <w:style w:type="paragraph" w:styleId="Header">
    <w:name w:val="header"/>
    <w:rPr>
      <w:rFonts w:ascii="Arial" w:hAnsi="Arial"/>
      <w:noProof/>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styleId="TOC4">
    <w:name w:val="toc 4"/>
    <w:next w:val="Normal"/>
    <w:semiHidden/>
    <w:pPr>
      <w:keepNext/>
      <w:spacing w:before="60" w:after="20"/>
      <w:ind w:left="1985" w:right="1134" w:hanging="567"/>
    </w:pPr>
    <w:rPr>
      <w:rFonts w:ascii="Times New Roman" w:hAnsi="Times New Roman"/>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rPr>
  </w:style>
  <w:style w:type="paragraph" w:customStyle="1" w:styleId="DeleteClose">
    <w:name w:val="DeleteClose"/>
    <w:basedOn w:val="Normal"/>
    <w:pPr>
      <w:keepLines/>
      <w:jc w:val="center"/>
    </w:pPr>
    <w:rPr>
      <w:szCs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4"/>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5"/>
      </w:numPr>
    </w:pPr>
  </w:style>
  <w:style w:type="paragraph" w:styleId="ListBullet2">
    <w:name w:val="List Bullet 2"/>
    <w:basedOn w:val="Normal"/>
    <w:autoRedefine/>
    <w:pPr>
      <w:numPr>
        <w:numId w:val="6"/>
      </w:numPr>
    </w:pPr>
  </w:style>
  <w:style w:type="paragraph" w:styleId="ListBullet3">
    <w:name w:val="List Bullet 3"/>
    <w:basedOn w:val="Normal"/>
    <w:autoRedefine/>
    <w:pPr>
      <w:numPr>
        <w:numId w:val="7"/>
      </w:numPr>
    </w:pPr>
  </w:style>
  <w:style w:type="paragraph" w:styleId="ListBullet4">
    <w:name w:val="List Bullet 4"/>
    <w:basedOn w:val="Normal"/>
    <w:autoRedefine/>
    <w:pPr>
      <w:numPr>
        <w:numId w:val="8"/>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0"/>
      </w:numPr>
    </w:pPr>
  </w:style>
  <w:style w:type="paragraph" w:styleId="ListNumber2">
    <w:name w:val="List Number 2"/>
    <w:basedOn w:val="Normal"/>
    <w:pPr>
      <w:numPr>
        <w:numId w:val="11"/>
      </w:numPr>
    </w:pPr>
  </w:style>
  <w:style w:type="paragraph" w:styleId="ListNumber3">
    <w:name w:val="List Number 3"/>
    <w:basedOn w:val="Normal"/>
    <w:pPr>
      <w:numPr>
        <w:numId w:val="12"/>
      </w:numPr>
    </w:pPr>
  </w:style>
  <w:style w:type="paragraph" w:styleId="ListNumber4">
    <w:name w:val="List Number 4"/>
    <w:basedOn w:val="Normal"/>
    <w:pPr>
      <w:numPr>
        <w:numId w:val="13"/>
      </w:numPr>
    </w:pPr>
  </w:style>
  <w:style w:type="paragraph" w:styleId="ListNumber5">
    <w:name w:val="List Number 5"/>
    <w:basedOn w:val="Normal"/>
    <w:pPr>
      <w:numPr>
        <w:numId w:val="1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9"/>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5"/>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rFonts w:ascii="Times New Roman" w:hAnsi="Times New Roman"/>
      <w:b/>
      <w:noProof/>
      <w:sz w:val="28"/>
    </w:rPr>
  </w:style>
  <w:style w:type="paragraph" w:customStyle="1" w:styleId="yEdnotedefitem">
    <w:name w:val="yEdnote(defitem)"/>
    <w:basedOn w:val="Ednotedefitem"/>
    <w:rPr>
      <w:i w:val="0"/>
      <w:sz w:val="22"/>
    </w:rPr>
  </w:style>
  <w:style w:type="paragraph" w:customStyle="1" w:styleId="yEdnotedefpara">
    <w:name w:val="yEdnote(defpara)"/>
    <w:basedOn w:val="Ednotedefpara"/>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paragraph" w:customStyle="1" w:styleId="THeading">
    <w:name w:val="THeading"/>
    <w:pPr>
      <w:keepNext/>
      <w:spacing w:before="160" w:after="60" w:line="260" w:lineRule="atLeast"/>
      <w:jc w:val="center"/>
    </w:pPr>
    <w:rPr>
      <w:rFonts w:ascii="Times New Roman" w:hAnsi="Times New Roman"/>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PAGE-">
    <w:name w:val="- PAGE -"/>
    <w:rPr>
      <w:rFonts w:ascii="Times New Roman" w:hAnsi="Times New Roman"/>
    </w:rPr>
  </w:style>
  <w:style w:type="paragraph" w:customStyle="1" w:styleId="THeadingNAm">
    <w:name w:val="THeadingNAm"/>
    <w:basedOn w:val="THeading"/>
    <w:pPr>
      <w:ind w:left="879" w:right="142"/>
    </w:pPr>
  </w:style>
  <w:style w:type="paragraph" w:customStyle="1" w:styleId="zTHeadingNAm">
    <w:name w:val="zTHeadingNAm"/>
    <w:basedOn w:val="THeading"/>
    <w:pPr>
      <w:ind w:left="1446" w:right="142"/>
    </w:pPr>
  </w:style>
  <w:style w:type="paragraph" w:customStyle="1" w:styleId="yTHeadingNAm">
    <w:name w:val="yTHeadingNAm"/>
    <w:basedOn w:val="THeading"/>
    <w:pPr>
      <w:ind w:left="142" w:right="142"/>
    </w:pPr>
    <w:rPr>
      <w:sz w:val="22"/>
    </w:rPr>
  </w:style>
  <w:style w:type="paragraph" w:customStyle="1" w:styleId="zyTHeadingNAm">
    <w:name w:val="zyTHeadingNAm"/>
    <w:basedOn w:val="THeading"/>
    <w:pPr>
      <w:ind w:left="709" w:right="142"/>
    </w:pPr>
    <w:rPr>
      <w:sz w:val="22"/>
    </w:rPr>
  </w:style>
  <w:style w:type="paragraph" w:customStyle="1" w:styleId="TableNAm">
    <w:name w:val="TableNAm"/>
    <w:basedOn w:val="TableAm"/>
  </w:style>
  <w:style w:type="paragraph" w:customStyle="1" w:styleId="zTableNAm">
    <w:name w:val="zTableNAm"/>
    <w:basedOn w:val="TableAm"/>
  </w:style>
  <w:style w:type="paragraph" w:customStyle="1" w:styleId="yTableNAm">
    <w:name w:val="yTableNAm"/>
    <w:basedOn w:val="TableAm"/>
    <w:rPr>
      <w:sz w:val="22"/>
    </w:rPr>
  </w:style>
  <w:style w:type="paragraph" w:customStyle="1" w:styleId="zyTableNAm">
    <w:name w:val="zyTableNAm"/>
    <w:basedOn w:val="TableAm"/>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tiff"/><Relationship Id="rId27" Type="http://schemas.openxmlformats.org/officeDocument/2006/relationships/image" Target="media/image3.jpeg"/><Relationship Id="rId30" Type="http://schemas.openxmlformats.org/officeDocument/2006/relationships/header" Target="header10.xml"/><Relationship Id="rId3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27569-48E4-4A31-BD8D-07E2C5BF5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3550</Words>
  <Characters>17967</Characters>
  <Application>Microsoft Office Word</Application>
  <DocSecurity>0</DocSecurity>
  <Lines>665</Lines>
  <Paragraphs>439</Paragraphs>
  <ScaleCrop>false</ScaleCrop>
  <HeadingPairs>
    <vt:vector size="2" baseType="variant">
      <vt:variant>
        <vt:lpstr>Title</vt:lpstr>
      </vt:variant>
      <vt:variant>
        <vt:i4>1</vt:i4>
      </vt:variant>
    </vt:vector>
  </HeadingPairs>
  <TitlesOfParts>
    <vt:vector size="1" baseType="lpstr">
      <vt:lpstr>Drafting Template (Bills)</vt:lpstr>
    </vt:vector>
  </TitlesOfParts>
  <Manager/>
  <Company/>
  <LinksUpToDate>false</LinksUpToDate>
  <CharactersWithSpaces>21078</CharactersWithSpaces>
  <SharedDoc>false</SharedDoc>
  <HyperlinkBase/>
  <HLinks>
    <vt:vector size="12" baseType="variant">
      <vt:variant>
        <vt:i4>3276894</vt:i4>
      </vt:variant>
      <vt:variant>
        <vt:i4>140</vt:i4>
      </vt:variant>
      <vt:variant>
        <vt:i4>0</vt:i4>
      </vt:variant>
      <vt:variant>
        <vt:i4>5</vt:i4>
      </vt:variant>
      <vt:variant>
        <vt:lpwstr>mailto:John.Lightowlers@psc.wa.gov.au</vt:lpwstr>
      </vt:variant>
      <vt:variant>
        <vt:lpwstr/>
      </vt:variant>
      <vt:variant>
        <vt:i4>5898351</vt:i4>
      </vt:variant>
      <vt:variant>
        <vt:i4>135</vt:i4>
      </vt:variant>
      <vt:variant>
        <vt:i4>0</vt:i4>
      </vt:variant>
      <vt:variant>
        <vt:i4>5</vt:i4>
      </vt:variant>
      <vt:variant>
        <vt:lpwstr>mailto:DraftLegislation@treasury.wa.gov.au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Alumina Refinery (Mitchell Plateau) Agreement (Termination) Act 2015 - 00-00-00</dc:title>
  <dc:subject/>
  <dc:creator/>
  <cp:keywords/>
  <dc:description/>
  <cp:lastModifiedBy>svcMRProcess</cp:lastModifiedBy>
  <cp:revision>4</cp:revision>
  <cp:lastPrinted>2015-11-03T02:50:00Z</cp:lastPrinted>
  <dcterms:created xsi:type="dcterms:W3CDTF">2015-11-03T07:26:00Z</dcterms:created>
  <dcterms:modified xsi:type="dcterms:W3CDTF">2015-11-03T07:26:00Z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llID">
    <vt:lpwstr>2352</vt:lpwstr>
  </property>
  <property fmtid="{D5CDD505-2E9C-101B-9397-08002B2CF9AE}" pid="3" name="ActNo">
    <vt:lpwstr>31 of 2015</vt:lpwstr>
  </property>
  <property fmtid="{D5CDD505-2E9C-101B-9397-08002B2CF9AE}" pid="4" name="DocumentType">
    <vt:lpwstr>Act</vt:lpwstr>
  </property>
  <property fmtid="{D5CDD505-2E9C-101B-9397-08002B2CF9AE}" pid="5" name="AsAtDate">
    <vt:lpwstr>02 Nov 2015</vt:lpwstr>
  </property>
  <property fmtid="{D5CDD505-2E9C-101B-9397-08002B2CF9AE}" pid="6" name="Suffix">
    <vt:lpwstr>00-00-00</vt:lpwstr>
  </property>
  <property fmtid="{D5CDD505-2E9C-101B-9397-08002B2CF9AE}" pid="7" name="ActNoFooter">
    <vt:lpwstr>No. 31 of 2015</vt:lpwstr>
  </property>
  <property fmtid="{D5CDD505-2E9C-101B-9397-08002B2CF9AE}" pid="8" name="CommencementDate">
    <vt:lpwstr>20151102</vt:lpwstr>
  </property>
</Properties>
</file>