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Petroleum Products Pricing Regulations 2000</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Petroleum Products Pricing Regulations 2000</w:t>
      </w:r>
      <w:r>
        <w:fldChar w:fldCharType="end"/>
      </w:r>
    </w:p>
    <w:p>
      <w:pPr>
        <w:pStyle w:val="Arrangement"/>
      </w:pPr>
      <w:r>
        <w:t>CONTENTS</w:t>
      </w:r>
    </w:p>
    <w:p>
      <w:pPr>
        <w:pStyle w:val="TOC2"/>
        <w:tabs>
          <w:tab w:val="right" w:leader="dot" w:pos="7078"/>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zCs w:val="24"/>
        </w:rPr>
        <w:tab/>
        <w:t>Citation</w:t>
      </w:r>
      <w:r>
        <w:tab/>
      </w:r>
      <w:r>
        <w:fldChar w:fldCharType="begin"/>
      </w:r>
      <w:r>
        <w:instrText xml:space="preserve"> PAGEREF _Toc147648909 \h </w:instrText>
      </w:r>
      <w:r>
        <w:fldChar w:fldCharType="separate"/>
      </w:r>
      <w:r>
        <w:t>1</w:t>
      </w:r>
      <w:r>
        <w:fldChar w:fldCharType="end"/>
      </w:r>
    </w:p>
    <w:p>
      <w:pPr>
        <w:pStyle w:val="TOC8"/>
        <w:rPr>
          <w:sz w:val="24"/>
          <w:szCs w:val="24"/>
        </w:rPr>
      </w:pPr>
      <w:r>
        <w:rPr>
          <w:szCs w:val="24"/>
        </w:rPr>
        <w:t>2</w:t>
      </w:r>
      <w:r>
        <w:rPr>
          <w:spacing w:val="-2"/>
          <w:szCs w:val="24"/>
        </w:rPr>
        <w:t>.</w:t>
      </w:r>
      <w:r>
        <w:rPr>
          <w:spacing w:val="-2"/>
          <w:szCs w:val="24"/>
        </w:rPr>
        <w:tab/>
        <w:t>Commencement</w:t>
      </w:r>
      <w:r>
        <w:tab/>
      </w:r>
      <w:r>
        <w:fldChar w:fldCharType="begin"/>
      </w:r>
      <w:r>
        <w:instrText xml:space="preserve"> PAGEREF _Toc147648910 \h </w:instrText>
      </w:r>
      <w:r>
        <w:fldChar w:fldCharType="separate"/>
      </w:r>
      <w:r>
        <w:t>1</w:t>
      </w:r>
      <w:r>
        <w:fldChar w:fldCharType="end"/>
      </w:r>
    </w:p>
    <w:p>
      <w:pPr>
        <w:pStyle w:val="TOC2"/>
        <w:tabs>
          <w:tab w:val="right" w:leader="dot" w:pos="7078"/>
        </w:tabs>
        <w:rPr>
          <w:b w:val="0"/>
          <w:sz w:val="24"/>
          <w:szCs w:val="24"/>
        </w:rPr>
      </w:pPr>
      <w:r>
        <w:rPr>
          <w:szCs w:val="30"/>
        </w:rPr>
        <w:t>Part 2 — Special provisions about motor fuel</w:t>
      </w:r>
    </w:p>
    <w:p>
      <w:pPr>
        <w:pStyle w:val="TOC4"/>
        <w:tabs>
          <w:tab w:val="right" w:leader="dot" w:pos="7078"/>
        </w:tabs>
        <w:rPr>
          <w:b w:val="0"/>
          <w:sz w:val="24"/>
          <w:szCs w:val="24"/>
        </w:rPr>
      </w:pPr>
      <w:r>
        <w:rPr>
          <w:szCs w:val="26"/>
        </w:rPr>
        <w:t>Division 1 — Retail sale</w:t>
      </w:r>
    </w:p>
    <w:p>
      <w:pPr>
        <w:pStyle w:val="TOC8"/>
        <w:rPr>
          <w:sz w:val="24"/>
          <w:szCs w:val="24"/>
        </w:rPr>
      </w:pPr>
      <w:r>
        <w:rPr>
          <w:szCs w:val="24"/>
        </w:rPr>
        <w:t>2A.</w:t>
      </w:r>
      <w:r>
        <w:rPr>
          <w:szCs w:val="24"/>
        </w:rPr>
        <w:tab/>
        <w:t>Meaning of terms used in regulations 3 and 3A</w:t>
      </w:r>
      <w:r>
        <w:tab/>
      </w:r>
      <w:r>
        <w:fldChar w:fldCharType="begin"/>
      </w:r>
      <w:r>
        <w:instrText xml:space="preserve"> PAGEREF _Toc147648913 \h </w:instrText>
      </w:r>
      <w:r>
        <w:fldChar w:fldCharType="separate"/>
      </w:r>
      <w:r>
        <w:t>2</w:t>
      </w:r>
      <w:r>
        <w:fldChar w:fldCharType="end"/>
      </w:r>
    </w:p>
    <w:p>
      <w:pPr>
        <w:pStyle w:val="TOC8"/>
        <w:rPr>
          <w:sz w:val="24"/>
          <w:szCs w:val="24"/>
        </w:rPr>
      </w:pPr>
      <w:r>
        <w:rPr>
          <w:szCs w:val="24"/>
        </w:rPr>
        <w:t>3.</w:t>
      </w:r>
      <w:r>
        <w:rPr>
          <w:szCs w:val="24"/>
        </w:rPr>
        <w:tab/>
        <w:t>Standard retail price to be as notified</w:t>
      </w:r>
      <w:r>
        <w:tab/>
      </w:r>
      <w:r>
        <w:fldChar w:fldCharType="begin"/>
      </w:r>
      <w:r>
        <w:instrText xml:space="preserve"> PAGEREF _Toc147648914 \h </w:instrText>
      </w:r>
      <w:r>
        <w:fldChar w:fldCharType="separate"/>
      </w:r>
      <w:r>
        <w:t>2</w:t>
      </w:r>
      <w:r>
        <w:fldChar w:fldCharType="end"/>
      </w:r>
    </w:p>
    <w:p>
      <w:pPr>
        <w:pStyle w:val="TOC8"/>
        <w:rPr>
          <w:sz w:val="24"/>
          <w:szCs w:val="24"/>
        </w:rPr>
      </w:pPr>
      <w:r>
        <w:rPr>
          <w:szCs w:val="24"/>
        </w:rPr>
        <w:t>3A.</w:t>
      </w:r>
      <w:r>
        <w:rPr>
          <w:szCs w:val="24"/>
        </w:rPr>
        <w:tab/>
        <w:t>Requirements for giving notification</w:t>
      </w:r>
      <w:r>
        <w:tab/>
      </w:r>
      <w:r>
        <w:fldChar w:fldCharType="begin"/>
      </w:r>
      <w:r>
        <w:instrText xml:space="preserve"> PAGEREF _Toc147648915 \h </w:instrText>
      </w:r>
      <w:r>
        <w:fldChar w:fldCharType="separate"/>
      </w:r>
      <w:r>
        <w:t>3</w:t>
      </w:r>
      <w:r>
        <w:fldChar w:fldCharType="end"/>
      </w:r>
    </w:p>
    <w:p>
      <w:pPr>
        <w:pStyle w:val="TOC8"/>
        <w:rPr>
          <w:sz w:val="24"/>
          <w:szCs w:val="24"/>
        </w:rPr>
      </w:pPr>
      <w:r>
        <w:rPr>
          <w:szCs w:val="24"/>
        </w:rPr>
        <w:t>4.</w:t>
      </w:r>
      <w:r>
        <w:rPr>
          <w:szCs w:val="24"/>
        </w:rPr>
        <w:tab/>
        <w:t>Price changes in certain places need not be notified</w:t>
      </w:r>
      <w:r>
        <w:tab/>
      </w:r>
      <w:r>
        <w:fldChar w:fldCharType="begin"/>
      </w:r>
      <w:r>
        <w:instrText xml:space="preserve"> PAGEREF _Toc147648916 \h </w:instrText>
      </w:r>
      <w:r>
        <w:fldChar w:fldCharType="separate"/>
      </w:r>
      <w:r>
        <w:t>3</w:t>
      </w:r>
      <w:r>
        <w:fldChar w:fldCharType="end"/>
      </w:r>
    </w:p>
    <w:p>
      <w:pPr>
        <w:pStyle w:val="TOC8"/>
        <w:rPr>
          <w:sz w:val="24"/>
          <w:szCs w:val="24"/>
        </w:rPr>
      </w:pPr>
      <w:r>
        <w:rPr>
          <w:szCs w:val="24"/>
        </w:rPr>
        <w:t>5.</w:t>
      </w:r>
      <w:r>
        <w:rPr>
          <w:szCs w:val="24"/>
        </w:rPr>
        <w:tab/>
        <w:t>Places where regulation 6 applies</w:t>
      </w:r>
      <w:r>
        <w:tab/>
      </w:r>
      <w:r>
        <w:fldChar w:fldCharType="begin"/>
      </w:r>
      <w:r>
        <w:instrText xml:space="preserve"> PAGEREF _Toc147648917 \h </w:instrText>
      </w:r>
      <w:r>
        <w:fldChar w:fldCharType="separate"/>
      </w:r>
      <w:r>
        <w:t>4</w:t>
      </w:r>
      <w:r>
        <w:fldChar w:fldCharType="end"/>
      </w:r>
    </w:p>
    <w:p>
      <w:pPr>
        <w:pStyle w:val="TOC8"/>
        <w:rPr>
          <w:sz w:val="24"/>
          <w:szCs w:val="24"/>
        </w:rPr>
      </w:pPr>
      <w:r>
        <w:rPr>
          <w:szCs w:val="24"/>
        </w:rPr>
        <w:t>6.</w:t>
      </w:r>
      <w:r>
        <w:rPr>
          <w:szCs w:val="24"/>
        </w:rPr>
        <w:tab/>
        <w:t>Retailer to display standard retail prices</w:t>
      </w:r>
      <w:r>
        <w:tab/>
      </w:r>
      <w:r>
        <w:fldChar w:fldCharType="begin"/>
      </w:r>
      <w:r>
        <w:instrText xml:space="preserve"> PAGEREF _Toc147648918 \h </w:instrText>
      </w:r>
      <w:r>
        <w:fldChar w:fldCharType="separate"/>
      </w:r>
      <w:r>
        <w:t>4</w:t>
      </w:r>
      <w:r>
        <w:fldChar w:fldCharType="end"/>
      </w:r>
    </w:p>
    <w:p>
      <w:pPr>
        <w:pStyle w:val="TOC4"/>
        <w:tabs>
          <w:tab w:val="right" w:leader="dot" w:pos="7078"/>
        </w:tabs>
        <w:rPr>
          <w:b w:val="0"/>
          <w:sz w:val="24"/>
          <w:szCs w:val="24"/>
        </w:rPr>
      </w:pPr>
      <w:r>
        <w:rPr>
          <w:szCs w:val="26"/>
        </w:rPr>
        <w:t>Division 2 — Before retail sale</w:t>
      </w:r>
    </w:p>
    <w:p>
      <w:pPr>
        <w:pStyle w:val="TOC8"/>
        <w:rPr>
          <w:sz w:val="24"/>
          <w:szCs w:val="24"/>
        </w:rPr>
      </w:pPr>
      <w:r>
        <w:rPr>
          <w:szCs w:val="24"/>
        </w:rPr>
        <w:t>7.</w:t>
      </w:r>
      <w:r>
        <w:rPr>
          <w:szCs w:val="24"/>
        </w:rPr>
        <w:tab/>
        <w:t>How to notify Commissioner of price changes</w:t>
      </w:r>
      <w:r>
        <w:tab/>
      </w:r>
      <w:r>
        <w:fldChar w:fldCharType="begin"/>
      </w:r>
      <w:r>
        <w:instrText xml:space="preserve"> PAGEREF _Toc147648920 \h </w:instrText>
      </w:r>
      <w:r>
        <w:fldChar w:fldCharType="separate"/>
      </w:r>
      <w:r>
        <w:t>6</w:t>
      </w:r>
      <w:r>
        <w:fldChar w:fldCharType="end"/>
      </w:r>
    </w:p>
    <w:p>
      <w:pPr>
        <w:pStyle w:val="TOC8"/>
        <w:rPr>
          <w:sz w:val="24"/>
          <w:szCs w:val="24"/>
        </w:rPr>
      </w:pPr>
      <w:r>
        <w:rPr>
          <w:szCs w:val="24"/>
        </w:rPr>
        <w:t>8.</w:t>
      </w:r>
      <w:r>
        <w:rPr>
          <w:szCs w:val="24"/>
        </w:rPr>
        <w:tab/>
        <w:t>Previous month’s weighted average price</w:t>
      </w:r>
      <w:r>
        <w:tab/>
      </w:r>
      <w:r>
        <w:fldChar w:fldCharType="begin"/>
      </w:r>
      <w:r>
        <w:instrText xml:space="preserve"> PAGEREF _Toc147648921 \h </w:instrText>
      </w:r>
      <w:r>
        <w:fldChar w:fldCharType="separate"/>
      </w:r>
      <w:r>
        <w:t>6</w:t>
      </w:r>
      <w:r>
        <w:fldChar w:fldCharType="end"/>
      </w:r>
    </w:p>
    <w:p>
      <w:pPr>
        <w:pStyle w:val="TOC8"/>
        <w:rPr>
          <w:sz w:val="24"/>
          <w:szCs w:val="24"/>
        </w:rPr>
      </w:pPr>
      <w:r>
        <w:rPr>
          <w:szCs w:val="24"/>
        </w:rPr>
        <w:t>9.</w:t>
      </w:r>
      <w:r>
        <w:rPr>
          <w:szCs w:val="24"/>
        </w:rPr>
        <w:tab/>
        <w:t>Details of price differences</w:t>
      </w:r>
      <w:r>
        <w:tab/>
      </w:r>
      <w:r>
        <w:fldChar w:fldCharType="begin"/>
      </w:r>
      <w:r>
        <w:instrText xml:space="preserve"> PAGEREF _Toc147648922 \h </w:instrText>
      </w:r>
      <w:r>
        <w:fldChar w:fldCharType="separate"/>
      </w:r>
      <w:r>
        <w:t>7</w:t>
      </w:r>
      <w:r>
        <w:fldChar w:fldCharType="end"/>
      </w:r>
    </w:p>
    <w:p>
      <w:pPr>
        <w:pStyle w:val="TOC8"/>
        <w:rPr>
          <w:sz w:val="24"/>
          <w:szCs w:val="24"/>
        </w:rPr>
      </w:pPr>
      <w:r>
        <w:rPr>
          <w:szCs w:val="24"/>
        </w:rPr>
        <w:t>10.</w:t>
      </w:r>
      <w:r>
        <w:rPr>
          <w:szCs w:val="24"/>
        </w:rPr>
        <w:tab/>
        <w:t>Notifying Commissioner of price differences</w:t>
      </w:r>
      <w:r>
        <w:tab/>
      </w:r>
      <w:r>
        <w:fldChar w:fldCharType="begin"/>
      </w:r>
      <w:r>
        <w:instrText xml:space="preserve"> PAGEREF _Toc147648923 \h </w:instrText>
      </w:r>
      <w:r>
        <w:fldChar w:fldCharType="separate"/>
      </w:r>
      <w:r>
        <w:t>7</w:t>
      </w:r>
      <w:r>
        <w:fldChar w:fldCharType="end"/>
      </w:r>
    </w:p>
    <w:p>
      <w:pPr>
        <w:pStyle w:val="TOC2"/>
        <w:tabs>
          <w:tab w:val="right" w:leader="dot" w:pos="7078"/>
        </w:tabs>
        <w:rPr>
          <w:b w:val="0"/>
          <w:sz w:val="24"/>
          <w:szCs w:val="24"/>
        </w:rPr>
      </w:pPr>
      <w:r>
        <w:rPr>
          <w:szCs w:val="30"/>
        </w:rPr>
        <w:t>Part 3 — Infringement notices and modified penalties</w:t>
      </w:r>
    </w:p>
    <w:p>
      <w:pPr>
        <w:pStyle w:val="TOC8"/>
        <w:rPr>
          <w:sz w:val="24"/>
          <w:szCs w:val="24"/>
        </w:rPr>
      </w:pPr>
      <w:r>
        <w:rPr>
          <w:szCs w:val="24"/>
        </w:rPr>
        <w:t>11.</w:t>
      </w:r>
      <w:r>
        <w:rPr>
          <w:szCs w:val="24"/>
        </w:rPr>
        <w:tab/>
        <w:t>Prescribed offences (s. 31B)</w:t>
      </w:r>
      <w:r>
        <w:tab/>
      </w:r>
      <w:r>
        <w:fldChar w:fldCharType="begin"/>
      </w:r>
      <w:r>
        <w:instrText xml:space="preserve"> PAGEREF _Toc147648925 \h </w:instrText>
      </w:r>
      <w:r>
        <w:fldChar w:fldCharType="separate"/>
      </w:r>
      <w:r>
        <w:t>8</w:t>
      </w:r>
      <w:r>
        <w:fldChar w:fldCharType="end"/>
      </w:r>
    </w:p>
    <w:p>
      <w:pPr>
        <w:pStyle w:val="TOC8"/>
        <w:rPr>
          <w:sz w:val="24"/>
          <w:szCs w:val="24"/>
        </w:rPr>
      </w:pPr>
      <w:r>
        <w:rPr>
          <w:szCs w:val="24"/>
        </w:rPr>
        <w:t>12.</w:t>
      </w:r>
      <w:r>
        <w:rPr>
          <w:szCs w:val="24"/>
        </w:rPr>
        <w:tab/>
        <w:t>Prescribed modified penalties (s. 31C)</w:t>
      </w:r>
      <w:r>
        <w:tab/>
      </w:r>
      <w:r>
        <w:fldChar w:fldCharType="begin"/>
      </w:r>
      <w:r>
        <w:instrText xml:space="preserve"> PAGEREF _Toc147648926 \h </w:instrText>
      </w:r>
      <w:r>
        <w:fldChar w:fldCharType="separate"/>
      </w:r>
      <w:r>
        <w:t>8</w:t>
      </w:r>
      <w:r>
        <w:fldChar w:fldCharType="end"/>
      </w:r>
    </w:p>
    <w:p>
      <w:pPr>
        <w:pStyle w:val="TOC8"/>
        <w:rPr>
          <w:sz w:val="24"/>
          <w:szCs w:val="24"/>
        </w:rPr>
      </w:pPr>
      <w:r>
        <w:rPr>
          <w:szCs w:val="24"/>
        </w:rPr>
        <w:t>13.</w:t>
      </w:r>
      <w:r>
        <w:rPr>
          <w:szCs w:val="24"/>
        </w:rPr>
        <w:tab/>
        <w:t>Prescribed form of infringement notice (s. 31C)</w:t>
      </w:r>
      <w:r>
        <w:tab/>
      </w:r>
      <w:r>
        <w:fldChar w:fldCharType="begin"/>
      </w:r>
      <w:r>
        <w:instrText xml:space="preserve"> PAGEREF _Toc147648927 \h </w:instrText>
      </w:r>
      <w:r>
        <w:fldChar w:fldCharType="separate"/>
      </w:r>
      <w:r>
        <w:t>8</w:t>
      </w:r>
      <w:r>
        <w:fldChar w:fldCharType="end"/>
      </w:r>
    </w:p>
    <w:p>
      <w:pPr>
        <w:pStyle w:val="TOC8"/>
        <w:rPr>
          <w:sz w:val="24"/>
          <w:szCs w:val="24"/>
        </w:rPr>
      </w:pPr>
      <w:r>
        <w:rPr>
          <w:szCs w:val="24"/>
        </w:rPr>
        <w:t>14.</w:t>
      </w:r>
      <w:r>
        <w:rPr>
          <w:szCs w:val="24"/>
        </w:rPr>
        <w:tab/>
        <w:t>Prescribed form of withdrawal of notice (s. 31E)</w:t>
      </w:r>
      <w:r>
        <w:tab/>
      </w:r>
      <w:r>
        <w:fldChar w:fldCharType="begin"/>
      </w:r>
      <w:r>
        <w:instrText xml:space="preserve"> PAGEREF _Toc147648928 \h </w:instrText>
      </w:r>
      <w:r>
        <w:fldChar w:fldCharType="separate"/>
      </w:r>
      <w:r>
        <w:t>8</w:t>
      </w:r>
      <w:r>
        <w:fldChar w:fldCharType="end"/>
      </w:r>
    </w:p>
    <w:p>
      <w:pPr>
        <w:pStyle w:val="TOC2"/>
        <w:tabs>
          <w:tab w:val="right" w:leader="dot" w:pos="7078"/>
        </w:tabs>
        <w:rPr>
          <w:b w:val="0"/>
          <w:sz w:val="24"/>
          <w:szCs w:val="24"/>
        </w:rPr>
      </w:pPr>
      <w:r>
        <w:rPr>
          <w:szCs w:val="28"/>
        </w:rPr>
        <w:t>Schedule 1 — Places where regulations 3(1) and 6 apply</w:t>
      </w:r>
    </w:p>
    <w:p>
      <w:pPr>
        <w:pStyle w:val="TOC2"/>
        <w:tabs>
          <w:tab w:val="right" w:leader="dot" w:pos="7078"/>
        </w:tabs>
        <w:rPr>
          <w:b w:val="0"/>
          <w:sz w:val="24"/>
          <w:szCs w:val="24"/>
        </w:rPr>
      </w:pPr>
      <w:r>
        <w:rPr>
          <w:szCs w:val="28"/>
        </w:rPr>
        <w:t>Schedule 2 — Prescribed offences and modified penalties</w:t>
      </w:r>
    </w:p>
    <w:p>
      <w:pPr>
        <w:pStyle w:val="TOC2"/>
        <w:tabs>
          <w:tab w:val="right" w:leader="dot" w:pos="7078"/>
        </w:tabs>
        <w:rPr>
          <w:b w:val="0"/>
          <w:sz w:val="24"/>
          <w:szCs w:val="24"/>
        </w:rPr>
      </w:pPr>
      <w:r>
        <w:rPr>
          <w:szCs w:val="28"/>
        </w:rPr>
        <w:t>Schedule 3 — Forms</w:t>
      </w:r>
    </w:p>
    <w:p>
      <w:pPr>
        <w:pStyle w:val="TOC2"/>
        <w:tabs>
          <w:tab w:val="right" w:leader="dot" w:pos="7078"/>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_Toc147648933 \h </w:instrText>
      </w:r>
      <w:r>
        <w:fldChar w:fldCharType="separate"/>
      </w:r>
      <w:r>
        <w:t>16</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81" w:right="2409" w:bottom="3543" w:left="2409" w:header="720" w:footer="3380" w:gutter="0"/>
          <w:pgNumType w:fmt="lowerRoman" w:start="1"/>
          <w:cols w:space="720"/>
          <w:noEndnote/>
          <w:titlePg/>
          <w:docGrid w:linePitch="326"/>
        </w:sectPr>
      </w:pPr>
    </w:p>
    <w:p>
      <w:pPr>
        <w:pStyle w:val="WA"/>
      </w:pPr>
      <w:r>
        <w:t>Western Australia</w:t>
      </w:r>
    </w:p>
    <w:p>
      <w:pPr>
        <w:pStyle w:val="PrincipalActReg"/>
        <w:spacing w:before="480"/>
      </w:pPr>
      <w:r>
        <w:t>Petroleum Products Pricing Act 1983</w:t>
      </w:r>
    </w:p>
    <w:p>
      <w:pPr>
        <w:pStyle w:val="NameofActReg"/>
        <w:spacing w:before="600" w:after="360"/>
      </w:pPr>
      <w:r>
        <w:t>Petroleum Products Pricing Regulations 2000</w:t>
      </w:r>
    </w:p>
    <w:p>
      <w:pPr>
        <w:pStyle w:val="Heading2"/>
        <w:pageBreakBefore w:val="0"/>
        <w:spacing w:before="480"/>
      </w:pPr>
      <w:bookmarkStart w:id="1" w:name="_Toc121884948"/>
      <w:bookmarkStart w:id="2" w:name="_Toc121885015"/>
      <w:bookmarkStart w:id="3" w:name="_Toc121887022"/>
      <w:bookmarkStart w:id="4" w:name="_Toc124149180"/>
      <w:bookmarkStart w:id="5" w:name="_Toc146621488"/>
      <w:bookmarkStart w:id="6" w:name="_Toc146698975"/>
      <w:bookmarkStart w:id="7" w:name="_Toc147642099"/>
      <w:bookmarkStart w:id="8" w:name="_Toc147648908"/>
      <w:bookmarkStart w:id="9" w:name="_Toc423332722"/>
      <w:bookmarkStart w:id="10" w:name="_Toc425219441"/>
      <w:bookmarkStart w:id="11" w:name="_Toc426249308"/>
      <w:bookmarkStart w:id="12" w:name="_Toc449924704"/>
      <w:bookmarkStart w:id="13" w:name="_Toc449947722"/>
      <w:bookmarkStart w:id="14" w:name="_Toc454185713"/>
      <w:r>
        <w:rPr>
          <w:rStyle w:val="CharPartNo"/>
        </w:rPr>
        <w:t>Part 1</w:t>
      </w:r>
      <w:r>
        <w:rPr>
          <w:rStyle w:val="CharDivNo"/>
        </w:rPr>
        <w:t xml:space="preserve"> </w:t>
      </w:r>
      <w:r>
        <w:t>—</w:t>
      </w:r>
      <w:r>
        <w:rPr>
          <w:rStyle w:val="CharDivText"/>
        </w:rPr>
        <w:t xml:space="preserve"> </w:t>
      </w:r>
      <w:r>
        <w:rPr>
          <w:rStyle w:val="CharPartText"/>
        </w:rPr>
        <w:t>Preliminary</w:t>
      </w:r>
      <w:bookmarkEnd w:id="1"/>
      <w:bookmarkEnd w:id="2"/>
      <w:bookmarkEnd w:id="3"/>
      <w:bookmarkEnd w:id="4"/>
      <w:bookmarkEnd w:id="5"/>
      <w:bookmarkEnd w:id="6"/>
      <w:bookmarkEnd w:id="7"/>
      <w:bookmarkEnd w:id="8"/>
    </w:p>
    <w:p>
      <w:pPr>
        <w:pStyle w:val="Footnoteheading"/>
      </w:pPr>
      <w:r>
        <w:tab/>
        <w:t>[Heading inserted in Gazette 11 Jul 2001 p. 3459.]</w:t>
      </w:r>
    </w:p>
    <w:p>
      <w:pPr>
        <w:pStyle w:val="Heading5"/>
      </w:pPr>
      <w:bookmarkStart w:id="15" w:name="_Toc534441721"/>
      <w:bookmarkStart w:id="16" w:name="_Toc3361897"/>
      <w:bookmarkStart w:id="17" w:name="_Toc121884949"/>
      <w:bookmarkStart w:id="18" w:name="_Toc147648909"/>
      <w:r>
        <w:rPr>
          <w:rStyle w:val="CharSectno"/>
        </w:rPr>
        <w:t>1</w:t>
      </w:r>
      <w:r>
        <w:t>.</w:t>
      </w:r>
      <w:r>
        <w:tab/>
        <w:t>Citation</w:t>
      </w:r>
      <w:bookmarkEnd w:id="9"/>
      <w:bookmarkEnd w:id="10"/>
      <w:bookmarkEnd w:id="11"/>
      <w:bookmarkEnd w:id="12"/>
      <w:bookmarkEnd w:id="13"/>
      <w:bookmarkEnd w:id="14"/>
      <w:bookmarkEnd w:id="15"/>
      <w:bookmarkEnd w:id="16"/>
      <w:bookmarkEnd w:id="17"/>
      <w:bookmarkEnd w:id="18"/>
    </w:p>
    <w:p>
      <w:pPr>
        <w:pStyle w:val="Subsection"/>
        <w:rPr>
          <w:i/>
        </w:rPr>
      </w:pPr>
      <w:r>
        <w:tab/>
      </w:r>
      <w:r>
        <w:tab/>
      </w:r>
      <w:r>
        <w:rPr>
          <w:spacing w:val="-2"/>
        </w:rPr>
        <w:t>These regulations</w:t>
      </w:r>
      <w:r>
        <w:t xml:space="preserve"> may be cited as the </w:t>
      </w:r>
      <w:r>
        <w:rPr>
          <w:i/>
        </w:rPr>
        <w:t>Petroleum Products Pricing Regulations 2000</w:t>
      </w:r>
      <w:r>
        <w:rPr>
          <w:vertAlign w:val="superscript"/>
        </w:rPr>
        <w:t> 1</w:t>
      </w:r>
      <w:r>
        <w:t>.</w:t>
      </w:r>
    </w:p>
    <w:p>
      <w:pPr>
        <w:pStyle w:val="Heading5"/>
        <w:rPr>
          <w:spacing w:val="-2"/>
        </w:rPr>
      </w:pPr>
      <w:bookmarkStart w:id="19" w:name="_Toc423332723"/>
      <w:bookmarkStart w:id="20" w:name="_Toc425219442"/>
      <w:bookmarkStart w:id="21" w:name="_Toc426249309"/>
      <w:bookmarkStart w:id="22" w:name="_Toc449924705"/>
      <w:bookmarkStart w:id="23" w:name="_Toc449947723"/>
      <w:bookmarkStart w:id="24" w:name="_Toc454185714"/>
      <w:bookmarkStart w:id="25" w:name="_Toc534441722"/>
      <w:bookmarkStart w:id="26" w:name="_Toc3361898"/>
      <w:bookmarkStart w:id="27" w:name="_Toc121884950"/>
      <w:bookmarkStart w:id="28" w:name="_Toc147648910"/>
      <w:r>
        <w:rPr>
          <w:rStyle w:val="CharSectno"/>
        </w:rPr>
        <w:t>2</w:t>
      </w:r>
      <w:r>
        <w:rPr>
          <w:spacing w:val="-2"/>
        </w:rPr>
        <w:t>.</w:t>
      </w:r>
      <w:r>
        <w:rPr>
          <w:spacing w:val="-2"/>
        </w:rPr>
        <w:tab/>
        <w:t>Commencement</w:t>
      </w:r>
      <w:bookmarkEnd w:id="19"/>
      <w:bookmarkEnd w:id="20"/>
      <w:bookmarkEnd w:id="21"/>
      <w:bookmarkEnd w:id="22"/>
      <w:bookmarkEnd w:id="23"/>
      <w:bookmarkEnd w:id="24"/>
      <w:bookmarkEnd w:id="25"/>
      <w:bookmarkEnd w:id="26"/>
      <w:bookmarkEnd w:id="27"/>
      <w:bookmarkEnd w:id="28"/>
    </w:p>
    <w:p>
      <w:pPr>
        <w:pStyle w:val="Subsection"/>
        <w:rPr>
          <w:spacing w:val="-2"/>
        </w:rPr>
      </w:pPr>
      <w:r>
        <w:rPr>
          <w:spacing w:val="-2"/>
        </w:rPr>
        <w:tab/>
      </w:r>
      <w:r>
        <w:rPr>
          <w:spacing w:val="-2"/>
        </w:rPr>
        <w:tab/>
        <w:t>These regulations come into operation on 1 January 2001 unless they are published in the </w:t>
      </w:r>
      <w:r>
        <w:rPr>
          <w:i/>
          <w:spacing w:val="-2"/>
        </w:rPr>
        <w:t>Gazette</w:t>
      </w:r>
      <w:r>
        <w:rPr>
          <w:spacing w:val="-2"/>
        </w:rPr>
        <w:t xml:space="preserve"> after that day, in which case they come into operation on the day on which they are published in the </w:t>
      </w:r>
      <w:r>
        <w:rPr>
          <w:i/>
          <w:spacing w:val="-2"/>
        </w:rPr>
        <w:t>Gazette</w:t>
      </w:r>
      <w:r>
        <w:rPr>
          <w:vertAlign w:val="superscript"/>
        </w:rPr>
        <w:t> 1</w:t>
      </w:r>
      <w:r>
        <w:rPr>
          <w:spacing w:val="-2"/>
        </w:rPr>
        <w:t>.</w:t>
      </w:r>
    </w:p>
    <w:p>
      <w:pPr>
        <w:pStyle w:val="Heading2"/>
      </w:pPr>
      <w:bookmarkStart w:id="29" w:name="_Toc121884951"/>
      <w:bookmarkStart w:id="30" w:name="_Toc121885018"/>
      <w:bookmarkStart w:id="31" w:name="_Toc121887025"/>
      <w:bookmarkStart w:id="32" w:name="_Toc124149183"/>
      <w:bookmarkStart w:id="33" w:name="_Toc146621491"/>
      <w:bookmarkStart w:id="34" w:name="_Toc146698978"/>
      <w:bookmarkStart w:id="35" w:name="_Toc147642102"/>
      <w:bookmarkStart w:id="36" w:name="_Toc147648911"/>
      <w:bookmarkStart w:id="37" w:name="_Toc423332724"/>
      <w:bookmarkStart w:id="38" w:name="_Toc425219443"/>
      <w:bookmarkStart w:id="39" w:name="_Toc426249310"/>
      <w:bookmarkStart w:id="40" w:name="_Toc449924706"/>
      <w:bookmarkStart w:id="41" w:name="_Toc449947724"/>
      <w:bookmarkStart w:id="42" w:name="_Toc454185715"/>
      <w:r>
        <w:rPr>
          <w:rStyle w:val="CharPartNo"/>
        </w:rPr>
        <w:t>Part 2</w:t>
      </w:r>
      <w:r>
        <w:t> — </w:t>
      </w:r>
      <w:r>
        <w:rPr>
          <w:rStyle w:val="CharPartText"/>
        </w:rPr>
        <w:t>Special provisions about motor fuel</w:t>
      </w:r>
      <w:bookmarkEnd w:id="29"/>
      <w:bookmarkEnd w:id="30"/>
      <w:bookmarkEnd w:id="31"/>
      <w:bookmarkEnd w:id="32"/>
      <w:bookmarkEnd w:id="33"/>
      <w:bookmarkEnd w:id="34"/>
      <w:bookmarkEnd w:id="35"/>
      <w:bookmarkEnd w:id="36"/>
    </w:p>
    <w:p>
      <w:pPr>
        <w:pStyle w:val="Footnoteheading"/>
      </w:pPr>
      <w:r>
        <w:tab/>
        <w:t>[Heading inserted in Gazette 11 Jul 2001 p. 3459.]</w:t>
      </w:r>
    </w:p>
    <w:p>
      <w:pPr>
        <w:pStyle w:val="Heading3"/>
      </w:pPr>
      <w:bookmarkStart w:id="43" w:name="_Toc121884952"/>
      <w:bookmarkStart w:id="44" w:name="_Toc121885019"/>
      <w:bookmarkStart w:id="45" w:name="_Toc121887026"/>
      <w:bookmarkStart w:id="46" w:name="_Toc124149184"/>
      <w:bookmarkStart w:id="47" w:name="_Toc146621492"/>
      <w:bookmarkStart w:id="48" w:name="_Toc146698979"/>
      <w:bookmarkStart w:id="49" w:name="_Toc147642103"/>
      <w:bookmarkStart w:id="50" w:name="_Toc147648912"/>
      <w:r>
        <w:rPr>
          <w:rStyle w:val="CharDivNo"/>
        </w:rPr>
        <w:t>Division 1</w:t>
      </w:r>
      <w:r>
        <w:t> — </w:t>
      </w:r>
      <w:r>
        <w:rPr>
          <w:rStyle w:val="CharDivText"/>
        </w:rPr>
        <w:t>Retail sale</w:t>
      </w:r>
      <w:bookmarkEnd w:id="43"/>
      <w:bookmarkEnd w:id="44"/>
      <w:bookmarkEnd w:id="45"/>
      <w:bookmarkEnd w:id="46"/>
      <w:bookmarkEnd w:id="47"/>
      <w:bookmarkEnd w:id="48"/>
      <w:bookmarkEnd w:id="49"/>
      <w:bookmarkEnd w:id="50"/>
    </w:p>
    <w:p>
      <w:pPr>
        <w:pStyle w:val="Footnoteheading"/>
      </w:pPr>
      <w:r>
        <w:tab/>
        <w:t>[Heading inserted in Gazette 11 Jul 2001 p. 3459.]</w:t>
      </w:r>
    </w:p>
    <w:p>
      <w:pPr>
        <w:pStyle w:val="Heading5"/>
      </w:pPr>
      <w:bookmarkStart w:id="51" w:name="_Toc534441723"/>
      <w:bookmarkStart w:id="52" w:name="_Toc3361899"/>
      <w:bookmarkStart w:id="53" w:name="_Toc121884953"/>
      <w:bookmarkStart w:id="54" w:name="_Toc147648913"/>
      <w:bookmarkEnd w:id="37"/>
      <w:bookmarkEnd w:id="38"/>
      <w:bookmarkEnd w:id="39"/>
      <w:bookmarkEnd w:id="40"/>
      <w:bookmarkEnd w:id="41"/>
      <w:bookmarkEnd w:id="42"/>
      <w:r>
        <w:rPr>
          <w:rStyle w:val="CharSectno"/>
        </w:rPr>
        <w:t>2A</w:t>
      </w:r>
      <w:r>
        <w:t>.</w:t>
      </w:r>
      <w:r>
        <w:tab/>
        <w:t>Meaning of terms used in regulations 3 and 3A</w:t>
      </w:r>
      <w:bookmarkEnd w:id="51"/>
      <w:bookmarkEnd w:id="52"/>
      <w:bookmarkEnd w:id="53"/>
      <w:bookmarkEnd w:id="54"/>
    </w:p>
    <w:p>
      <w:pPr>
        <w:pStyle w:val="Subsection"/>
        <w:spacing w:before="120"/>
      </w:pPr>
      <w:r>
        <w:tab/>
      </w:r>
      <w:r>
        <w:tab/>
        <w:t xml:space="preserve">In regulations 3 and 3A — </w:t>
      </w:r>
    </w:p>
    <w:p>
      <w:pPr>
        <w:pStyle w:val="Defstart"/>
      </w:pPr>
      <w:r>
        <w:tab/>
      </w:r>
      <w:r>
        <w:rPr>
          <w:b/>
        </w:rPr>
        <w:t>“</w:t>
      </w:r>
      <w:r>
        <w:rPr>
          <w:rStyle w:val="CharDefText"/>
        </w:rPr>
        <w:t>day</w:t>
      </w:r>
      <w:r>
        <w:rPr>
          <w:b/>
        </w:rPr>
        <w:t>”</w:t>
      </w:r>
      <w:r>
        <w:t xml:space="preserve"> means a period of 24 hours beginning immediately after 6.00 a.m.;</w:t>
      </w:r>
    </w:p>
    <w:p>
      <w:pPr>
        <w:pStyle w:val="Defstart"/>
      </w:pPr>
      <w:r>
        <w:tab/>
      </w:r>
      <w:r>
        <w:rPr>
          <w:b/>
        </w:rPr>
        <w:t>“</w:t>
      </w:r>
      <w:r>
        <w:rPr>
          <w:rStyle w:val="CharDefText"/>
        </w:rPr>
        <w:t>retail sale</w:t>
      </w:r>
      <w:r>
        <w:rPr>
          <w:b/>
        </w:rPr>
        <w:t>”</w:t>
      </w:r>
      <w:r>
        <w:t xml:space="preserve"> does not include a sale in accordance with an existing agreement or arrangement between the customer and the retailer.</w:t>
      </w:r>
    </w:p>
    <w:p>
      <w:pPr>
        <w:pStyle w:val="Footnotesection"/>
      </w:pPr>
      <w:r>
        <w:tab/>
        <w:t>[Regulation 2A inserted in Gazette 23 Aug 2001 p. 4379.]</w:t>
      </w:r>
    </w:p>
    <w:p>
      <w:pPr>
        <w:pStyle w:val="Heading5"/>
      </w:pPr>
      <w:bookmarkStart w:id="55" w:name="_Toc534441724"/>
      <w:bookmarkStart w:id="56" w:name="_Toc3361900"/>
      <w:bookmarkStart w:id="57" w:name="_Toc121884954"/>
      <w:bookmarkStart w:id="58" w:name="_Toc147648914"/>
      <w:r>
        <w:rPr>
          <w:rStyle w:val="CharSectno"/>
        </w:rPr>
        <w:t>3</w:t>
      </w:r>
      <w:r>
        <w:t>.</w:t>
      </w:r>
      <w:r>
        <w:tab/>
        <w:t>Standard retail price to be as notified</w:t>
      </w:r>
      <w:bookmarkEnd w:id="55"/>
      <w:bookmarkEnd w:id="56"/>
      <w:bookmarkEnd w:id="57"/>
      <w:bookmarkEnd w:id="58"/>
    </w:p>
    <w:p>
      <w:pPr>
        <w:pStyle w:val="Subsection"/>
        <w:spacing w:before="120"/>
      </w:pPr>
      <w:r>
        <w:tab/>
        <w:t>(1)</w:t>
      </w:r>
      <w:r>
        <w:tab/>
        <w:t xml:space="preserve">Subject to regulation 4, a person who offers a particular kind of motor fuel for retail sale on a particular day at a particular place commits an offence unless — </w:t>
      </w:r>
    </w:p>
    <w:p>
      <w:pPr>
        <w:pStyle w:val="Indenta"/>
      </w:pPr>
      <w:r>
        <w:tab/>
        <w:t>(a)</w:t>
      </w:r>
      <w:r>
        <w:tab/>
        <w:t>under subregulation (2), the person has established the permitted standard retail price for that sale; and</w:t>
      </w:r>
    </w:p>
    <w:p>
      <w:pPr>
        <w:pStyle w:val="Indenta"/>
      </w:pPr>
      <w:r>
        <w:tab/>
        <w:t>(b)</w:t>
      </w:r>
      <w:r>
        <w:tab/>
        <w:t>the standard retail price at which that kind of motor fuel is offered is that day’s permitted standard retail price.</w:t>
      </w:r>
    </w:p>
    <w:p>
      <w:pPr>
        <w:pStyle w:val="Penstart"/>
      </w:pPr>
      <w:r>
        <w:tab/>
        <w:t>Penalty: in the case of an individual, $20 000 and, in the case of a body corporate, $100 000.</w:t>
      </w:r>
    </w:p>
    <w:p>
      <w:pPr>
        <w:pStyle w:val="Subsection"/>
        <w:spacing w:before="120"/>
        <w:rPr>
          <w:spacing w:val="-4"/>
        </w:rPr>
      </w:pPr>
      <w:r>
        <w:rPr>
          <w:spacing w:val="-4"/>
        </w:rPr>
        <w:tab/>
        <w:t>(2)</w:t>
      </w:r>
      <w:r>
        <w:rPr>
          <w:spacing w:val="-4"/>
        </w:rPr>
        <w:tab/>
        <w:t>A person establishes the permitted standard retail price for the retail sale by that person of a particular kind of motor fuel on a particular day at a particular place by notifying the Commissioner, in accordance with regulation 3A, of the standard retail price at which the motor fuel is to be offered for sale on that day.</w:t>
      </w:r>
    </w:p>
    <w:p>
      <w:pPr>
        <w:pStyle w:val="Footnotesection"/>
      </w:pPr>
      <w:r>
        <w:tab/>
        <w:t>[Regulation 3 inserted in Gazette 23 Aug 2001 p. 4379; amended in Gazette 31 Dec 2001 p. 6764.]</w:t>
      </w:r>
    </w:p>
    <w:p>
      <w:pPr>
        <w:pStyle w:val="Heading5"/>
      </w:pPr>
      <w:bookmarkStart w:id="59" w:name="_Toc534441725"/>
      <w:bookmarkStart w:id="60" w:name="_Toc3361901"/>
      <w:bookmarkStart w:id="61" w:name="_Toc121884955"/>
      <w:bookmarkStart w:id="62" w:name="_Toc147648915"/>
      <w:r>
        <w:rPr>
          <w:rStyle w:val="CharSectno"/>
        </w:rPr>
        <w:t>3A</w:t>
      </w:r>
      <w:r>
        <w:t>.</w:t>
      </w:r>
      <w:r>
        <w:tab/>
        <w:t>Requirements for giving notification</w:t>
      </w:r>
      <w:bookmarkEnd w:id="59"/>
      <w:bookmarkEnd w:id="60"/>
      <w:bookmarkEnd w:id="61"/>
      <w:bookmarkEnd w:id="62"/>
    </w:p>
    <w:p>
      <w:pPr>
        <w:pStyle w:val="Subsection"/>
      </w:pPr>
      <w:r>
        <w:tab/>
        <w:t>(1)</w:t>
      </w:r>
      <w:r>
        <w:tab/>
        <w:t xml:space="preserve">Notification under regulation 3(2) has to be given to the Commissioner — </w:t>
      </w:r>
    </w:p>
    <w:p>
      <w:pPr>
        <w:pStyle w:val="Indenta"/>
      </w:pPr>
      <w:r>
        <w:tab/>
        <w:t>(a)</w:t>
      </w:r>
      <w:r>
        <w:tab/>
        <w:t>during a period fixed under subregulation (3) or, if no period is so fixed, during the period beginning at 8.30 a.m. and ending at 2.00 p.m. on the day before the day for which the price is notified; and</w:t>
      </w:r>
    </w:p>
    <w:p>
      <w:pPr>
        <w:pStyle w:val="Indenta"/>
      </w:pPr>
      <w:r>
        <w:tab/>
        <w:t>(b)</w:t>
      </w:r>
      <w:r>
        <w:tab/>
        <w:t xml:space="preserve">in a manner and form fixed under subregulation (3) or, if no manner and form is so fixed — </w:t>
      </w:r>
    </w:p>
    <w:p>
      <w:pPr>
        <w:pStyle w:val="Indenti"/>
      </w:pPr>
      <w:r>
        <w:tab/>
        <w:t>(i)</w:t>
      </w:r>
      <w:r>
        <w:tab/>
        <w:t>by a message given by a telephone call made to telephone number 1800 445 757; or</w:t>
      </w:r>
    </w:p>
    <w:p>
      <w:pPr>
        <w:pStyle w:val="Indenti"/>
      </w:pPr>
      <w:r>
        <w:tab/>
        <w:t>(ii)</w:t>
      </w:r>
      <w:r>
        <w:tab/>
        <w:t>by a message sent to fuelwatch@mft.wa.gov.au by email.</w:t>
      </w:r>
    </w:p>
    <w:p>
      <w:pPr>
        <w:pStyle w:val="Subsection"/>
      </w:pPr>
      <w:r>
        <w:tab/>
        <w:t>(2)</w:t>
      </w:r>
      <w:r>
        <w:tab/>
        <w:t>The notification under regulation 3(2) of a price for a particular day has effect as notification of the same price for each subsequent day until the beginning of a day for which the Commissioner has been notified under regulation 3(2) of a different price.</w:t>
      </w:r>
    </w:p>
    <w:p>
      <w:pPr>
        <w:pStyle w:val="Subsection"/>
      </w:pPr>
      <w:r>
        <w:tab/>
        <w:t>(3)</w:t>
      </w:r>
      <w:r>
        <w:tab/>
        <w:t xml:space="preserve">The Commissioner may by order published in the </w:t>
      </w:r>
      <w:r>
        <w:rPr>
          <w:i/>
        </w:rPr>
        <w:t xml:space="preserve">Gazette </w:t>
      </w:r>
      <w:r>
        <w:t>fix the period during which, and the manner and form in which, notification under regulation 3(2) can be given.</w:t>
      </w:r>
    </w:p>
    <w:p>
      <w:pPr>
        <w:pStyle w:val="Subsection"/>
      </w:pPr>
      <w:r>
        <w:tab/>
        <w:t>(4)</w:t>
      </w:r>
      <w:r>
        <w:tab/>
        <w:t>A period fixed under subregulation (3) has to end before the beginning of the day for which the price is notified.</w:t>
      </w:r>
    </w:p>
    <w:p>
      <w:pPr>
        <w:pStyle w:val="Subsection"/>
      </w:pPr>
      <w:r>
        <w:tab/>
        <w:t>(5)</w:t>
      </w:r>
      <w:r>
        <w:tab/>
        <w:t xml:space="preserve">The Commissioner may revoke an order under subregulation (3) by a subsequent order published in the </w:t>
      </w:r>
      <w:r>
        <w:rPr>
          <w:i/>
        </w:rPr>
        <w:t>Gazette</w:t>
      </w:r>
      <w:r>
        <w:t>.</w:t>
      </w:r>
    </w:p>
    <w:p>
      <w:pPr>
        <w:pStyle w:val="Footnotesection"/>
      </w:pPr>
      <w:r>
        <w:tab/>
        <w:t>[Regulation 3A inserted in Gazette 23 Aug 2001 p. 4380.]</w:t>
      </w:r>
    </w:p>
    <w:p>
      <w:pPr>
        <w:pStyle w:val="Heading5"/>
        <w:keepNext w:val="0"/>
        <w:keepLines w:val="0"/>
        <w:spacing w:before="160"/>
      </w:pPr>
      <w:bookmarkStart w:id="63" w:name="_Toc534441726"/>
      <w:bookmarkStart w:id="64" w:name="_Toc3361902"/>
      <w:bookmarkStart w:id="65" w:name="_Toc121884956"/>
      <w:bookmarkStart w:id="66" w:name="_Toc147648916"/>
      <w:r>
        <w:rPr>
          <w:rStyle w:val="CharSectno"/>
        </w:rPr>
        <w:t>4</w:t>
      </w:r>
      <w:r>
        <w:t>.</w:t>
      </w:r>
      <w:r>
        <w:tab/>
        <w:t>Price changes in certain places need not be notified</w:t>
      </w:r>
      <w:bookmarkEnd w:id="63"/>
      <w:bookmarkEnd w:id="64"/>
      <w:bookmarkEnd w:id="65"/>
      <w:bookmarkEnd w:id="66"/>
    </w:p>
    <w:p>
      <w:pPr>
        <w:pStyle w:val="Subsection"/>
      </w:pPr>
      <w:r>
        <w:tab/>
        <w:t>(1)</w:t>
      </w:r>
      <w:r>
        <w:tab/>
        <w:t xml:space="preserve">Regulation 3(1) does not apply to a place that — </w:t>
      </w:r>
    </w:p>
    <w:p>
      <w:pPr>
        <w:pStyle w:val="Indenta"/>
      </w:pPr>
      <w:r>
        <w:tab/>
        <w:t>(a)</w:t>
      </w:r>
      <w:r>
        <w:tab/>
        <w:t>is outside the Perth metropolitan region, as defined in subregulation (2); and</w:t>
      </w:r>
    </w:p>
    <w:p>
      <w:pPr>
        <w:pStyle w:val="Indenta"/>
      </w:pPr>
      <w:r>
        <w:tab/>
        <w:t>(b)</w:t>
      </w:r>
      <w:r>
        <w:tab/>
        <w:t>is not in a local government district or townsite listed in Schedule 1.</w:t>
      </w:r>
    </w:p>
    <w:p>
      <w:pPr>
        <w:pStyle w:val="Subsection"/>
      </w:pPr>
      <w:r>
        <w:tab/>
        <w:t>(2)</w:t>
      </w:r>
      <w:r>
        <w:tab/>
        <w:t xml:space="preserve">In this regulation — </w:t>
      </w:r>
    </w:p>
    <w:p>
      <w:pPr>
        <w:pStyle w:val="Defstart"/>
      </w:pPr>
      <w:r>
        <w:tab/>
      </w:r>
      <w:r>
        <w:rPr>
          <w:b/>
        </w:rPr>
        <w:t>“</w:t>
      </w:r>
      <w:r>
        <w:rPr>
          <w:rStyle w:val="CharDefText"/>
        </w:rPr>
        <w:t>Perth metropolitan region</w:t>
      </w:r>
      <w:r>
        <w:rPr>
          <w:b/>
        </w:rPr>
        <w:t>”</w:t>
      </w:r>
      <w:r>
        <w:t xml:space="preserve"> means the region described in the Third Schedule to the </w:t>
      </w:r>
      <w:r>
        <w:rPr>
          <w:i/>
        </w:rPr>
        <w:t>Metropolitan Region Town Planning Scheme Act 1959</w:t>
      </w:r>
      <w:r>
        <w:t>;</w:t>
      </w:r>
    </w:p>
    <w:p>
      <w:pPr>
        <w:pStyle w:val="Defstart"/>
      </w:pPr>
      <w:r>
        <w:tab/>
      </w:r>
      <w:r>
        <w:rPr>
          <w:b/>
        </w:rPr>
        <w:t>“</w:t>
      </w:r>
      <w:r>
        <w:rPr>
          <w:rStyle w:val="CharDefText"/>
        </w:rPr>
        <w:t>townsite</w:t>
      </w:r>
      <w:r>
        <w:rPr>
          <w:b/>
        </w:rPr>
        <w:t>”</w:t>
      </w:r>
      <w:r>
        <w:t xml:space="preserve"> means an area that, under the </w:t>
      </w:r>
      <w:r>
        <w:rPr>
          <w:i/>
        </w:rPr>
        <w:t>Land Administration Act 1997</w:t>
      </w:r>
      <w:r>
        <w:t xml:space="preserve">, has been or is to be treated as having been constituted a townsite. </w:t>
      </w:r>
    </w:p>
    <w:p>
      <w:pPr>
        <w:pStyle w:val="Footnotesection"/>
      </w:pPr>
      <w:r>
        <w:tab/>
        <w:t>[Regulation 4 amended in Gazette 23 Aug 2001 p. 4381.]</w:t>
      </w:r>
    </w:p>
    <w:p>
      <w:pPr>
        <w:pStyle w:val="Heading5"/>
      </w:pPr>
      <w:bookmarkStart w:id="67" w:name="_Toc534441727"/>
      <w:bookmarkStart w:id="68" w:name="_Toc3361903"/>
      <w:bookmarkStart w:id="69" w:name="_Toc121884957"/>
      <w:bookmarkStart w:id="70" w:name="_Toc147648917"/>
      <w:r>
        <w:rPr>
          <w:rStyle w:val="CharSectno"/>
        </w:rPr>
        <w:t>5</w:t>
      </w:r>
      <w:r>
        <w:t>.</w:t>
      </w:r>
      <w:r>
        <w:tab/>
        <w:t>Places where regulation 6 applies</w:t>
      </w:r>
      <w:bookmarkEnd w:id="67"/>
      <w:bookmarkEnd w:id="68"/>
      <w:bookmarkEnd w:id="69"/>
      <w:bookmarkEnd w:id="70"/>
    </w:p>
    <w:p>
      <w:pPr>
        <w:pStyle w:val="Subsection"/>
      </w:pPr>
      <w:r>
        <w:tab/>
      </w:r>
      <w:r>
        <w:tab/>
        <w:t>Regulation 6 applies to a place that is in a local government district or townsite listed in Schedule 1.</w:t>
      </w:r>
    </w:p>
    <w:p>
      <w:pPr>
        <w:pStyle w:val="Footnotesection"/>
      </w:pPr>
      <w:r>
        <w:tab/>
        <w:t>[Regulation 5 inserted in Gazette 16 Nov 2001 p. 5981.]</w:t>
      </w:r>
    </w:p>
    <w:p>
      <w:pPr>
        <w:pStyle w:val="Heading5"/>
      </w:pPr>
      <w:bookmarkStart w:id="71" w:name="_Toc534441728"/>
      <w:bookmarkStart w:id="72" w:name="_Toc3361904"/>
      <w:bookmarkStart w:id="73" w:name="_Toc121884958"/>
      <w:bookmarkStart w:id="74" w:name="_Toc147648918"/>
      <w:r>
        <w:rPr>
          <w:rStyle w:val="CharSectno"/>
        </w:rPr>
        <w:t>6</w:t>
      </w:r>
      <w:r>
        <w:t>.</w:t>
      </w:r>
      <w:r>
        <w:tab/>
        <w:t>Retailer to display standard retail prices</w:t>
      </w:r>
      <w:bookmarkEnd w:id="71"/>
      <w:bookmarkEnd w:id="72"/>
      <w:bookmarkEnd w:id="73"/>
      <w:bookmarkEnd w:id="74"/>
    </w:p>
    <w:p>
      <w:pPr>
        <w:pStyle w:val="Subsection"/>
      </w:pPr>
      <w:r>
        <w:tab/>
        <w:t>(1)</w:t>
      </w:r>
      <w:r>
        <w:tab/>
        <w:t>A person who offers motor fuel for standard retail sale at a place where this regulation applies is required to have, at the place of sale, a price display as described in this regulation.</w:t>
      </w:r>
    </w:p>
    <w:p>
      <w:pPr>
        <w:pStyle w:val="Penstart"/>
      </w:pPr>
      <w:r>
        <w:tab/>
        <w:t>Penalty: in the case of an individual, $20 000 and, in the case of a body corporate, $100 000.</w:t>
      </w:r>
    </w:p>
    <w:p>
      <w:pPr>
        <w:pStyle w:val="Subsection"/>
      </w:pPr>
      <w:r>
        <w:tab/>
        <w:t>(2)</w:t>
      </w:r>
      <w:r>
        <w:tab/>
        <w:t xml:space="preserve">The price display has at least to show — </w:t>
      </w:r>
    </w:p>
    <w:p>
      <w:pPr>
        <w:pStyle w:val="Indenta"/>
        <w:rPr>
          <w:spacing w:val="-4"/>
        </w:rPr>
      </w:pPr>
      <w:r>
        <w:rPr>
          <w:spacing w:val="-4"/>
        </w:rPr>
        <w:tab/>
        <w:t>(a)</w:t>
      </w:r>
      <w:r>
        <w:rPr>
          <w:spacing w:val="-4"/>
        </w:rPr>
        <w:tab/>
        <w:t>whenever not more than 3 kinds of motor fuel are currently offered for standard retail sale at the place, the standard retail price for each of those kinds of motor fuel;</w:t>
      </w:r>
    </w:p>
    <w:p>
      <w:pPr>
        <w:pStyle w:val="Indenta"/>
      </w:pPr>
      <w:r>
        <w:tab/>
        <w:t>(b)</w:t>
      </w:r>
      <w:r>
        <w:tab/>
        <w:t xml:space="preserve">whenever more than 3 kinds of motor fuel (the </w:t>
      </w:r>
      <w:r>
        <w:rPr>
          <w:b/>
        </w:rPr>
        <w:t>“</w:t>
      </w:r>
      <w:r>
        <w:rPr>
          <w:rStyle w:val="CharDefText"/>
        </w:rPr>
        <w:t>kinds offered</w:t>
      </w:r>
      <w:r>
        <w:rPr>
          <w:b/>
        </w:rPr>
        <w:t>”</w:t>
      </w:r>
      <w:r>
        <w:t xml:space="preserve">) are currently offered for standard retail sale at the place, the standard retail prices for 3 of the kinds offered including — </w:t>
      </w:r>
    </w:p>
    <w:p>
      <w:pPr>
        <w:pStyle w:val="Indenti"/>
      </w:pPr>
      <w:r>
        <w:tab/>
        <w:t>(i)</w:t>
      </w:r>
      <w:r>
        <w:tab/>
        <w:t>if one of them is LPG, the standard retail price for LPG;</w:t>
      </w:r>
    </w:p>
    <w:p>
      <w:pPr>
        <w:pStyle w:val="Indenti"/>
      </w:pPr>
      <w:r>
        <w:tab/>
        <w:t>(ii)</w:t>
      </w:r>
      <w:r>
        <w:tab/>
        <w:t>if only one of them is regular unleaded petrol, the standard retail price for that kind of motor fuel; and</w:t>
      </w:r>
    </w:p>
    <w:p>
      <w:pPr>
        <w:pStyle w:val="Indenti"/>
      </w:pPr>
      <w:r>
        <w:tab/>
        <w:t>(iii)</w:t>
      </w:r>
      <w:r>
        <w:tab/>
        <w:t>if 2 or more of them are regular unleaded petrol, the standard retail price for each of 2 of those kinds of motor fuel and for one of the other kinds offered that is not regular unleaded petrol.</w:t>
      </w:r>
    </w:p>
    <w:p>
      <w:pPr>
        <w:pStyle w:val="Subsection"/>
        <w:spacing w:before="120"/>
      </w:pPr>
      <w:r>
        <w:tab/>
        <w:t>(3)</w:t>
      </w:r>
      <w:r>
        <w:tab/>
        <w:t>The price display has to be in a suitable position, and if necessary sufficiently illuminated, to enable each price shown and the description of the kind of motor fuel to which the price applies to be clearly legible to passing motorists whenever the motor fuel is offered for standard retail sale.</w:t>
      </w:r>
    </w:p>
    <w:p>
      <w:pPr>
        <w:pStyle w:val="Subsection"/>
        <w:spacing w:before="120"/>
        <w:rPr>
          <w:spacing w:val="-4"/>
        </w:rPr>
      </w:pPr>
      <w:r>
        <w:rPr>
          <w:spacing w:val="-4"/>
        </w:rPr>
        <w:tab/>
        <w:t>(4)</w:t>
      </w:r>
      <w:r>
        <w:rPr>
          <w:spacing w:val="-4"/>
        </w:rPr>
        <w:tab/>
        <w:t>The price display may consist of more than one sign or other thing.</w:t>
      </w:r>
    </w:p>
    <w:p>
      <w:pPr>
        <w:pStyle w:val="Subsection"/>
        <w:spacing w:before="120"/>
      </w:pPr>
      <w:r>
        <w:tab/>
        <w:t>(5)</w:t>
      </w:r>
      <w:r>
        <w:tab/>
        <w:t>Subregulation (1) does not apply to a place of sale while it is exempt under subregulation (6) from the requirements of this regulation.</w:t>
      </w:r>
    </w:p>
    <w:p>
      <w:pPr>
        <w:pStyle w:val="Subsection"/>
        <w:spacing w:before="120"/>
      </w:pPr>
      <w:r>
        <w:tab/>
        <w:t>(6)</w:t>
      </w:r>
      <w:r>
        <w:tab/>
        <w:t xml:space="preserve">The Commissioner may, by order published in the </w:t>
      </w:r>
      <w:r>
        <w:rPr>
          <w:i/>
        </w:rPr>
        <w:t>Gazette</w:t>
      </w:r>
      <w:r>
        <w:t xml:space="preserve"> — </w:t>
      </w:r>
    </w:p>
    <w:p>
      <w:pPr>
        <w:pStyle w:val="Indenta"/>
      </w:pPr>
      <w:r>
        <w:tab/>
        <w:t>(a)</w:t>
      </w:r>
      <w:r>
        <w:tab/>
        <w:t>if satisfied that there are exceptional circumstances because of which the requirements of this regulation should not apply, exempt a particular place of sale from the requirements of this regulation for a specified period or until the exemption is revoked;</w:t>
      </w:r>
    </w:p>
    <w:p>
      <w:pPr>
        <w:pStyle w:val="Indenta"/>
      </w:pPr>
      <w:r>
        <w:tab/>
        <w:t>(b)</w:t>
      </w:r>
      <w:r>
        <w:tab/>
        <w:t>revoke an exemption under paragraph (a), whether it was given for a specified period or not.</w:t>
      </w:r>
    </w:p>
    <w:p>
      <w:pPr>
        <w:pStyle w:val="Subsection"/>
        <w:spacing w:before="120"/>
      </w:pPr>
      <w:r>
        <w:tab/>
        <w:t>(7)</w:t>
      </w:r>
      <w:r>
        <w:tab/>
        <w:t xml:space="preserve">In this regulation — </w:t>
      </w:r>
    </w:p>
    <w:p>
      <w:pPr>
        <w:pStyle w:val="Defstart"/>
      </w:pPr>
      <w:r>
        <w:tab/>
      </w:r>
      <w:r>
        <w:rPr>
          <w:b/>
        </w:rPr>
        <w:t>“</w:t>
      </w:r>
      <w:r>
        <w:rPr>
          <w:rStyle w:val="CharDefText"/>
        </w:rPr>
        <w:t>regular unleaded petrol</w:t>
      </w:r>
      <w:r>
        <w:rPr>
          <w:b/>
        </w:rPr>
        <w:t>”</w:t>
      </w:r>
      <w:r>
        <w:t xml:space="preserve"> means petrol sold as regular unleaded petrol (91 to 93 RON), however described;</w:t>
      </w:r>
    </w:p>
    <w:p>
      <w:pPr>
        <w:pStyle w:val="Defstart"/>
      </w:pPr>
      <w:r>
        <w:tab/>
      </w:r>
      <w:r>
        <w:rPr>
          <w:b/>
        </w:rPr>
        <w:t>“</w:t>
      </w:r>
      <w:r>
        <w:rPr>
          <w:rStyle w:val="CharDefText"/>
        </w:rPr>
        <w:t>standard retail sale</w:t>
      </w:r>
      <w:r>
        <w:rPr>
          <w:b/>
        </w:rPr>
        <w:t>”</w:t>
      </w:r>
      <w:r>
        <w:t xml:space="preserve"> means retail sale not subject to an existing agreement or arrangement between the customer and the retailer.</w:t>
      </w:r>
    </w:p>
    <w:p>
      <w:pPr>
        <w:pStyle w:val="Footnotesection"/>
      </w:pPr>
      <w:r>
        <w:tab/>
        <w:t>[Regulation 6 inserted in Gazette 11 Jul 2001 p. 3460</w:t>
      </w:r>
      <w:r>
        <w:noBreakHyphen/>
        <w:t>1; amended in Gazette 16 Nov 2001 p. 5981; 31 Dec 2001 p. 6764</w:t>
      </w:r>
      <w:r>
        <w:noBreakHyphen/>
        <w:t>5; 9 Dec 2005 p. 5875-6.]</w:t>
      </w:r>
    </w:p>
    <w:p>
      <w:pPr>
        <w:pStyle w:val="Heading3"/>
      </w:pPr>
      <w:bookmarkStart w:id="75" w:name="_Toc121884959"/>
      <w:bookmarkStart w:id="76" w:name="_Toc121885026"/>
      <w:bookmarkStart w:id="77" w:name="_Toc121887033"/>
      <w:bookmarkStart w:id="78" w:name="_Toc124149191"/>
      <w:bookmarkStart w:id="79" w:name="_Toc146621499"/>
      <w:bookmarkStart w:id="80" w:name="_Toc146698986"/>
      <w:bookmarkStart w:id="81" w:name="_Toc147642110"/>
      <w:bookmarkStart w:id="82" w:name="_Toc147648919"/>
      <w:r>
        <w:rPr>
          <w:rStyle w:val="CharDivNo"/>
        </w:rPr>
        <w:t>Division 2</w:t>
      </w:r>
      <w:r>
        <w:t> — </w:t>
      </w:r>
      <w:r>
        <w:rPr>
          <w:rStyle w:val="CharDivText"/>
        </w:rPr>
        <w:t>Before retail sale</w:t>
      </w:r>
      <w:bookmarkEnd w:id="75"/>
      <w:bookmarkEnd w:id="76"/>
      <w:bookmarkEnd w:id="77"/>
      <w:bookmarkEnd w:id="78"/>
      <w:bookmarkEnd w:id="79"/>
      <w:bookmarkEnd w:id="80"/>
      <w:bookmarkEnd w:id="81"/>
      <w:bookmarkEnd w:id="82"/>
    </w:p>
    <w:p>
      <w:pPr>
        <w:pStyle w:val="Footnoteheading"/>
      </w:pPr>
      <w:r>
        <w:tab/>
        <w:t>[Heading inserted in Gazette 11 Jul 2001 p. 3461.]</w:t>
      </w:r>
    </w:p>
    <w:p>
      <w:pPr>
        <w:pStyle w:val="Heading5"/>
      </w:pPr>
      <w:bookmarkStart w:id="83" w:name="_Toc534441729"/>
      <w:bookmarkStart w:id="84" w:name="_Toc3361905"/>
      <w:bookmarkStart w:id="85" w:name="_Toc121884960"/>
      <w:bookmarkStart w:id="86" w:name="_Toc147648920"/>
      <w:r>
        <w:rPr>
          <w:rStyle w:val="CharSectno"/>
        </w:rPr>
        <w:t>7</w:t>
      </w:r>
      <w:r>
        <w:t>.</w:t>
      </w:r>
      <w:r>
        <w:tab/>
        <w:t>How to notify Commissioner of price changes</w:t>
      </w:r>
      <w:bookmarkEnd w:id="83"/>
      <w:bookmarkEnd w:id="84"/>
      <w:bookmarkEnd w:id="85"/>
      <w:bookmarkEnd w:id="86"/>
    </w:p>
    <w:p>
      <w:pPr>
        <w:pStyle w:val="Subsection"/>
      </w:pPr>
      <w:r>
        <w:tab/>
      </w:r>
      <w:r>
        <w:tab/>
        <w:t>If section 22B(3) of the Act requires a supplier to notify the Commissioner of a price change, the way in which notification is to be given is by directly uploading information about the price change using the Commissioner’s Fuel Watch website at the address www.fuelwatch.wa.gov.au on the internet.</w:t>
      </w:r>
    </w:p>
    <w:p>
      <w:pPr>
        <w:pStyle w:val="Footnotesection"/>
      </w:pPr>
      <w:r>
        <w:tab/>
        <w:t>[Regulation 7 inserted in Gazette 11 Jul 2001 p. 3461.]</w:t>
      </w:r>
    </w:p>
    <w:p>
      <w:pPr>
        <w:pStyle w:val="Heading5"/>
      </w:pPr>
      <w:bookmarkStart w:id="87" w:name="_Toc534441730"/>
      <w:bookmarkStart w:id="88" w:name="_Toc3361906"/>
      <w:bookmarkStart w:id="89" w:name="_Toc121884961"/>
      <w:bookmarkStart w:id="90" w:name="_Toc147648921"/>
      <w:r>
        <w:rPr>
          <w:rStyle w:val="CharSectno"/>
        </w:rPr>
        <w:t>8</w:t>
      </w:r>
      <w:r>
        <w:t>.</w:t>
      </w:r>
      <w:r>
        <w:tab/>
        <w:t>Previous month’s weighted average price</w:t>
      </w:r>
      <w:bookmarkEnd w:id="87"/>
      <w:bookmarkEnd w:id="88"/>
      <w:bookmarkEnd w:id="89"/>
      <w:bookmarkEnd w:id="90"/>
    </w:p>
    <w:p>
      <w:pPr>
        <w:pStyle w:val="Subsection"/>
      </w:pPr>
      <w:r>
        <w:tab/>
      </w:r>
      <w:r>
        <w:tab/>
        <w:t>The weighted average price for a particular kind of motor fuel supplied from a declared terminal during the previous month, which section 22C of the Act requires to be displayed, is calculated (to the nearest 0.1 cent/litre) by using the formula:</w:t>
      </w:r>
    </w:p>
    <w:p>
      <w:pPr>
        <w:pStyle w:val="Equation"/>
      </w:pPr>
      <w:r>
        <w:tab/>
      </w:r>
      <w:r>
        <w:tab/>
      </w:r>
      <w:r>
        <w:rPr>
          <w:position w:val="-24"/>
        </w:rPr>
        <w:object w:dxaOrig="168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48pt" o:ole="" fillcolor="window">
            <v:imagedata r:id="rId19" o:title=""/>
          </v:shape>
          <o:OLEObject Type="Embed" ProgID="Equation.3" ShapeID="_x0000_i1025" DrawAspect="Content" ObjectID="_1644349762" r:id="rId20"/>
        </w:object>
      </w:r>
    </w:p>
    <w:p>
      <w:pPr>
        <w:pStyle w:val="Subsection"/>
      </w:pPr>
      <w:r>
        <w:tab/>
      </w:r>
      <w:r>
        <w:tab/>
        <w:t xml:space="preserve">where — </w:t>
      </w:r>
    </w:p>
    <w:p>
      <w:pPr>
        <w:pStyle w:val="Indenta"/>
      </w:pPr>
      <w:r>
        <w:tab/>
      </w:r>
      <w:r>
        <w:rPr>
          <w:b/>
        </w:rPr>
        <w:t>“</w:t>
      </w:r>
      <w:r>
        <w:rPr>
          <w:rStyle w:val="CharDefText"/>
        </w:rPr>
        <w:t>A</w:t>
      </w:r>
      <w:r>
        <w:rPr>
          <w:b/>
        </w:rPr>
        <w:t>”</w:t>
      </w:r>
      <w:r>
        <w:rPr>
          <w:bCs/>
        </w:rPr>
        <w:tab/>
      </w:r>
      <w:r>
        <w:t>is the weighted average price in cents/litre;</w:t>
      </w:r>
    </w:p>
    <w:p>
      <w:pPr>
        <w:pStyle w:val="Indenta"/>
      </w:pPr>
      <w:r>
        <w:tab/>
      </w:r>
      <w:r>
        <w:rPr>
          <w:b/>
        </w:rPr>
        <w:t>“</w:t>
      </w:r>
      <w:r>
        <w:rPr>
          <w:rStyle w:val="CharDefText"/>
        </w:rPr>
        <w:t>t</w:t>
      </w:r>
      <w:r>
        <w:rPr>
          <w:b/>
        </w:rPr>
        <w:t>”</w:t>
      </w:r>
      <w:r>
        <w:tab/>
        <w:t>is the total number of transactions used to calculate the weighted average price;</w:t>
      </w:r>
    </w:p>
    <w:p>
      <w:pPr>
        <w:pStyle w:val="Indenta"/>
      </w:pPr>
      <w:r>
        <w:tab/>
      </w:r>
      <w:r>
        <w:rPr>
          <w:b/>
        </w:rPr>
        <w:t>“</w:t>
      </w:r>
      <w:r>
        <w:rPr>
          <w:rStyle w:val="CharDefText"/>
        </w:rPr>
        <w:t>P</w:t>
      </w:r>
      <w:r>
        <w:rPr>
          <w:rStyle w:val="CharDefText"/>
          <w:vertAlign w:val="subscript"/>
        </w:rPr>
        <w:t>n</w:t>
      </w:r>
      <w:r>
        <w:rPr>
          <w:b/>
        </w:rPr>
        <w:t>”</w:t>
      </w:r>
      <w:r>
        <w:tab/>
        <w:t>is the price in cents/litre for the n</w:t>
      </w:r>
      <w:r>
        <w:rPr>
          <w:vertAlign w:val="superscript"/>
        </w:rPr>
        <w:t>th</w:t>
      </w:r>
      <w:r>
        <w:t xml:space="preserve"> transaction used to calculate the weighted average price;</w:t>
      </w:r>
    </w:p>
    <w:p>
      <w:pPr>
        <w:pStyle w:val="Indenta"/>
      </w:pPr>
      <w:r>
        <w:tab/>
      </w:r>
      <w:r>
        <w:rPr>
          <w:b/>
        </w:rPr>
        <w:t>“</w:t>
      </w:r>
      <w:r>
        <w:rPr>
          <w:rStyle w:val="CharDefText"/>
        </w:rPr>
        <w:t>V</w:t>
      </w:r>
      <w:r>
        <w:rPr>
          <w:rStyle w:val="CharDefText"/>
          <w:vertAlign w:val="subscript"/>
        </w:rPr>
        <w:t>n</w:t>
      </w:r>
      <w:r>
        <w:rPr>
          <w:b/>
        </w:rPr>
        <w:t>”</w:t>
      </w:r>
      <w:r>
        <w:rPr>
          <w:bCs/>
        </w:rPr>
        <w:tab/>
      </w:r>
      <w:r>
        <w:t>is the volume in litres of the n</w:t>
      </w:r>
      <w:r>
        <w:rPr>
          <w:vertAlign w:val="superscript"/>
        </w:rPr>
        <w:t>th</w:t>
      </w:r>
      <w:r>
        <w:t xml:space="preserve"> transaction used to calculate the weighted average price;</w:t>
      </w:r>
    </w:p>
    <w:p>
      <w:pPr>
        <w:pStyle w:val="Indenta"/>
      </w:pPr>
      <w:r>
        <w:tab/>
      </w:r>
      <w:r>
        <w:rPr>
          <w:b/>
        </w:rPr>
        <w:t>“</w:t>
      </w:r>
      <w:r>
        <w:rPr>
          <w:rStyle w:val="CharDefText"/>
        </w:rPr>
        <w:t>T</w:t>
      </w:r>
      <w:r>
        <w:rPr>
          <w:rStyle w:val="CharDefText"/>
          <w:vertAlign w:val="subscript"/>
        </w:rPr>
        <w:t>v</w:t>
      </w:r>
      <w:r>
        <w:rPr>
          <w:b/>
        </w:rPr>
        <w:t>”</w:t>
      </w:r>
      <w:r>
        <w:tab/>
        <w:t>is the total volume in litres of all the transactions used to calculate the weighted average price.</w:t>
      </w:r>
    </w:p>
    <w:p>
      <w:pPr>
        <w:pStyle w:val="Footnotesection"/>
      </w:pPr>
      <w:r>
        <w:tab/>
        <w:t>[Regulation 8 inserted in Gazette 11 Jul 2001 p. 3461.]</w:t>
      </w:r>
    </w:p>
    <w:p>
      <w:pPr>
        <w:pStyle w:val="Heading5"/>
      </w:pPr>
      <w:bookmarkStart w:id="91" w:name="_Toc534441731"/>
      <w:bookmarkStart w:id="92" w:name="_Toc3361907"/>
      <w:bookmarkStart w:id="93" w:name="_Toc121884962"/>
      <w:bookmarkStart w:id="94" w:name="_Toc147648922"/>
      <w:r>
        <w:rPr>
          <w:rStyle w:val="CharSectno"/>
        </w:rPr>
        <w:t>9</w:t>
      </w:r>
      <w:r>
        <w:t>.</w:t>
      </w:r>
      <w:r>
        <w:tab/>
        <w:t>Details of price differences</w:t>
      </w:r>
      <w:bookmarkEnd w:id="91"/>
      <w:bookmarkEnd w:id="92"/>
      <w:bookmarkEnd w:id="93"/>
      <w:bookmarkEnd w:id="94"/>
    </w:p>
    <w:p>
      <w:pPr>
        <w:pStyle w:val="Subsection"/>
      </w:pPr>
      <w:r>
        <w:tab/>
        <w:t>(1)</w:t>
      </w:r>
      <w:r>
        <w:tab/>
        <w:t>If section 22E(2) of the Act requires that an invoice for a supply of motor fuel from a declared terminal show details as to the difference between the displayed price and the maximum price fixed by an order under section 12 of the Act for another declared terminal, the details to be shown are a description of each component of each of those prices that the supplier considers contributes to the difference, and the amount of each of those components.</w:t>
      </w:r>
    </w:p>
    <w:p>
      <w:pPr>
        <w:pStyle w:val="Subsection"/>
      </w:pPr>
      <w:r>
        <w:tab/>
        <w:t>(2)</w:t>
      </w:r>
      <w:r>
        <w:tab/>
        <w:t>A component needs to be described with sufficient particularity to clearly identify the expense or other item concerned.</w:t>
      </w:r>
    </w:p>
    <w:p>
      <w:pPr>
        <w:pStyle w:val="Subsection"/>
      </w:pPr>
      <w:r>
        <w:tab/>
        <w:t>(3)</w:t>
      </w:r>
      <w:r>
        <w:tab/>
        <w:t>The amounts attributed to the components identified need to be expressed in terms that enable their cumulative effect to be readily quantified.</w:t>
      </w:r>
    </w:p>
    <w:p>
      <w:pPr>
        <w:pStyle w:val="Footnotesection"/>
      </w:pPr>
      <w:r>
        <w:tab/>
        <w:t>[Regulation 9 inserted in Gazette 11 Jul 2001 p. 3461</w:t>
      </w:r>
      <w:r>
        <w:noBreakHyphen/>
        <w:t>2.]</w:t>
      </w:r>
    </w:p>
    <w:p>
      <w:pPr>
        <w:pStyle w:val="Heading5"/>
      </w:pPr>
      <w:bookmarkStart w:id="95" w:name="_Toc534441732"/>
      <w:bookmarkStart w:id="96" w:name="_Toc3361908"/>
      <w:bookmarkStart w:id="97" w:name="_Toc121884963"/>
      <w:bookmarkStart w:id="98" w:name="_Toc147648923"/>
      <w:r>
        <w:rPr>
          <w:rStyle w:val="CharSectno"/>
        </w:rPr>
        <w:t>10</w:t>
      </w:r>
      <w:r>
        <w:t>.</w:t>
      </w:r>
      <w:r>
        <w:tab/>
        <w:t>Notifying Commissioner of price differences</w:t>
      </w:r>
      <w:bookmarkEnd w:id="95"/>
      <w:bookmarkEnd w:id="96"/>
      <w:bookmarkEnd w:id="97"/>
      <w:bookmarkEnd w:id="98"/>
    </w:p>
    <w:p>
      <w:pPr>
        <w:pStyle w:val="Subsection"/>
      </w:pPr>
      <w:r>
        <w:tab/>
        <w:t>(1)</w:t>
      </w:r>
      <w:r>
        <w:tab/>
        <w:t xml:space="preserve">Details that section 22E(4) of the Act requires a supplier to give to the Commissioner are to be given by directly uploading those details using the Commissioner’s Fuel Watch website at the address </w:t>
      </w:r>
      <w:hyperlink r:id="rId21" w:history="1">
        <w:r>
          <w:rPr>
            <w:rStyle w:val="Hyperlink"/>
            <w:color w:val="auto"/>
            <w:u w:val="none"/>
          </w:rPr>
          <w:t>www.fu</w:t>
        </w:r>
        <w:bookmarkStart w:id="99" w:name="_Hlt6729056"/>
        <w:r>
          <w:rPr>
            <w:rStyle w:val="Hyperlink"/>
            <w:color w:val="auto"/>
            <w:u w:val="none"/>
          </w:rPr>
          <w:t>e</w:t>
        </w:r>
        <w:bookmarkEnd w:id="99"/>
        <w:r>
          <w:rPr>
            <w:rStyle w:val="Hyperlink"/>
            <w:color w:val="auto"/>
            <w:u w:val="none"/>
          </w:rPr>
          <w:t>lwatch.wa.gov.au</w:t>
        </w:r>
      </w:hyperlink>
      <w:r>
        <w:t xml:space="preserve"> on the internet.</w:t>
      </w:r>
    </w:p>
    <w:p>
      <w:pPr>
        <w:pStyle w:val="Subsection"/>
      </w:pPr>
      <w:r>
        <w:tab/>
        <w:t>(2)</w:t>
      </w:r>
      <w:r>
        <w:tab/>
        <w:t>Details relating to supplies made during a particular calendar month are to be given within a period of 14 days after the end of that month.</w:t>
      </w:r>
    </w:p>
    <w:p>
      <w:pPr>
        <w:pStyle w:val="Subsection"/>
      </w:pPr>
      <w:r>
        <w:tab/>
        <w:t>(3)</w:t>
      </w:r>
      <w:r>
        <w:tab/>
        <w:t xml:space="preserve">In subregulation (2) — </w:t>
      </w:r>
    </w:p>
    <w:p>
      <w:pPr>
        <w:pStyle w:val="Defstart"/>
      </w:pPr>
      <w:r>
        <w:tab/>
      </w:r>
      <w:r>
        <w:rPr>
          <w:b/>
        </w:rPr>
        <w:t>“</w:t>
      </w:r>
      <w:r>
        <w:rPr>
          <w:rStyle w:val="CharDefText"/>
        </w:rPr>
        <w:t>calendar month</w:t>
      </w:r>
      <w:r>
        <w:rPr>
          <w:b/>
        </w:rPr>
        <w:t>”</w:t>
      </w:r>
      <w:r>
        <w:t xml:space="preserve"> means January, February, or any of the 10 other named months of the calendar year.</w:t>
      </w:r>
    </w:p>
    <w:p>
      <w:pPr>
        <w:pStyle w:val="Footnotesection"/>
      </w:pPr>
      <w:r>
        <w:tab/>
        <w:t>[Regulation 10 inserted in Gazette 11 Jul 2001 p. 3462.]</w:t>
      </w:r>
    </w:p>
    <w:p>
      <w:pPr>
        <w:pStyle w:val="Heading2"/>
      </w:pPr>
      <w:bookmarkStart w:id="100" w:name="_Toc121884964"/>
      <w:bookmarkStart w:id="101" w:name="_Toc121885031"/>
      <w:bookmarkStart w:id="102" w:name="_Toc121887038"/>
      <w:bookmarkStart w:id="103" w:name="_Toc124149196"/>
      <w:bookmarkStart w:id="104" w:name="_Toc146621504"/>
      <w:bookmarkStart w:id="105" w:name="_Toc146698991"/>
      <w:bookmarkStart w:id="106" w:name="_Toc147642115"/>
      <w:bookmarkStart w:id="107" w:name="_Toc147648924"/>
      <w:r>
        <w:rPr>
          <w:rStyle w:val="CharPartNo"/>
        </w:rPr>
        <w:t>Part 3</w:t>
      </w:r>
      <w:r>
        <w:t xml:space="preserve"> — </w:t>
      </w:r>
      <w:r>
        <w:rPr>
          <w:rStyle w:val="CharPartText"/>
        </w:rPr>
        <w:t>Infringement notices and modified penalties</w:t>
      </w:r>
      <w:bookmarkEnd w:id="100"/>
      <w:bookmarkEnd w:id="101"/>
      <w:bookmarkEnd w:id="102"/>
      <w:bookmarkEnd w:id="103"/>
      <w:bookmarkEnd w:id="104"/>
      <w:bookmarkEnd w:id="105"/>
      <w:bookmarkEnd w:id="106"/>
      <w:bookmarkEnd w:id="107"/>
    </w:p>
    <w:p>
      <w:pPr>
        <w:pStyle w:val="Footnoteheading"/>
      </w:pPr>
      <w:r>
        <w:tab/>
        <w:t>[Heading inserted in Gazette 9 Nov 2001 p. 5925.]</w:t>
      </w:r>
    </w:p>
    <w:p>
      <w:pPr>
        <w:pStyle w:val="Heading5"/>
      </w:pPr>
      <w:bookmarkStart w:id="108" w:name="_Toc534441733"/>
      <w:bookmarkStart w:id="109" w:name="_Toc3361909"/>
      <w:bookmarkStart w:id="110" w:name="_Toc121884965"/>
      <w:bookmarkStart w:id="111" w:name="_Toc147648925"/>
      <w:r>
        <w:rPr>
          <w:rStyle w:val="CharSectno"/>
        </w:rPr>
        <w:t>11</w:t>
      </w:r>
      <w:r>
        <w:t>.</w:t>
      </w:r>
      <w:r>
        <w:tab/>
        <w:t>Prescribed offences (s. 31B)</w:t>
      </w:r>
      <w:bookmarkEnd w:id="108"/>
      <w:bookmarkEnd w:id="109"/>
      <w:bookmarkEnd w:id="110"/>
      <w:bookmarkEnd w:id="111"/>
    </w:p>
    <w:p>
      <w:pPr>
        <w:pStyle w:val="Subsection"/>
      </w:pPr>
      <w:r>
        <w:tab/>
      </w:r>
      <w:r>
        <w:tab/>
        <w:t>The offences specified in Schedule 2 are the offences for which an infringement notice may be given under section 31B of the Act.</w:t>
      </w:r>
    </w:p>
    <w:p>
      <w:pPr>
        <w:pStyle w:val="Footnotesection"/>
      </w:pPr>
      <w:r>
        <w:tab/>
        <w:t>[Regulation 11 inserted in Gazette 9 Nov 2001 p. 5925.]</w:t>
      </w:r>
    </w:p>
    <w:p>
      <w:pPr>
        <w:pStyle w:val="Heading5"/>
      </w:pPr>
      <w:bookmarkStart w:id="112" w:name="_Toc534441734"/>
      <w:bookmarkStart w:id="113" w:name="_Toc3361910"/>
      <w:bookmarkStart w:id="114" w:name="_Toc121884966"/>
      <w:bookmarkStart w:id="115" w:name="_Toc147648926"/>
      <w:r>
        <w:rPr>
          <w:rStyle w:val="CharSectno"/>
        </w:rPr>
        <w:t>12</w:t>
      </w:r>
      <w:r>
        <w:t>.</w:t>
      </w:r>
      <w:r>
        <w:tab/>
        <w:t>Prescribed modified penalties (s. 31C)</w:t>
      </w:r>
      <w:bookmarkEnd w:id="112"/>
      <w:bookmarkEnd w:id="113"/>
      <w:bookmarkEnd w:id="114"/>
      <w:bookmarkEnd w:id="115"/>
    </w:p>
    <w:p>
      <w:pPr>
        <w:pStyle w:val="Subsection"/>
      </w:pPr>
      <w:r>
        <w:tab/>
      </w:r>
      <w:r>
        <w:tab/>
        <w:t>The modified penalty specified opposite an offence in Schedule 2 is the modified penalty for that offence for the purposes of section 31C(2) of the Act.</w:t>
      </w:r>
    </w:p>
    <w:p>
      <w:pPr>
        <w:pStyle w:val="Footnotesection"/>
      </w:pPr>
      <w:r>
        <w:tab/>
        <w:t>[Regulation 12 inserted in Gazette 9 Nov 2001 p. 5925.]</w:t>
      </w:r>
    </w:p>
    <w:p>
      <w:pPr>
        <w:pStyle w:val="Heading5"/>
      </w:pPr>
      <w:bookmarkStart w:id="116" w:name="_Toc534441735"/>
      <w:bookmarkStart w:id="117" w:name="_Toc3361911"/>
      <w:bookmarkStart w:id="118" w:name="_Toc121884967"/>
      <w:bookmarkStart w:id="119" w:name="_Toc147648927"/>
      <w:r>
        <w:rPr>
          <w:rStyle w:val="CharSectno"/>
        </w:rPr>
        <w:t>13</w:t>
      </w:r>
      <w:r>
        <w:t>.</w:t>
      </w:r>
      <w:r>
        <w:tab/>
        <w:t>Prescribed form of infringement notice (s. 31C)</w:t>
      </w:r>
      <w:bookmarkEnd w:id="116"/>
      <w:bookmarkEnd w:id="117"/>
      <w:bookmarkEnd w:id="118"/>
      <w:bookmarkEnd w:id="119"/>
    </w:p>
    <w:p>
      <w:pPr>
        <w:pStyle w:val="Subsection"/>
      </w:pPr>
      <w:r>
        <w:tab/>
      </w:r>
      <w:r>
        <w:tab/>
        <w:t>The form of an infringement notice is set out in Schedule 3 Form 1 for the purposes of section 31C(1) of the Act.</w:t>
      </w:r>
    </w:p>
    <w:p>
      <w:pPr>
        <w:pStyle w:val="Footnotesection"/>
      </w:pPr>
      <w:r>
        <w:tab/>
        <w:t>[Regulation 13 inserted in Gazette 9 Nov 2001 p. 5926.]</w:t>
      </w:r>
    </w:p>
    <w:p>
      <w:pPr>
        <w:pStyle w:val="Heading5"/>
      </w:pPr>
      <w:bookmarkStart w:id="120" w:name="_Toc534441736"/>
      <w:bookmarkStart w:id="121" w:name="_Toc3361912"/>
      <w:bookmarkStart w:id="122" w:name="_Toc121884968"/>
      <w:bookmarkStart w:id="123" w:name="_Toc147648928"/>
      <w:r>
        <w:rPr>
          <w:rStyle w:val="CharSectno"/>
        </w:rPr>
        <w:t>14</w:t>
      </w:r>
      <w:r>
        <w:t>.</w:t>
      </w:r>
      <w:r>
        <w:tab/>
        <w:t>Prescribed form of withdrawal of notice (s. 31E)</w:t>
      </w:r>
      <w:bookmarkEnd w:id="120"/>
      <w:bookmarkEnd w:id="121"/>
      <w:bookmarkEnd w:id="122"/>
      <w:bookmarkEnd w:id="123"/>
    </w:p>
    <w:p>
      <w:pPr>
        <w:pStyle w:val="Subsection"/>
      </w:pPr>
      <w:r>
        <w:tab/>
      </w:r>
      <w:r>
        <w:tab/>
        <w:t>The form of a notice to withdraw an infringement notice is set out in Schedule 3 Form 2 for the purposes of section 31E(1) of the Act.</w:t>
      </w:r>
    </w:p>
    <w:p>
      <w:pPr>
        <w:pStyle w:val="Footnotesection"/>
      </w:pPr>
      <w:r>
        <w:tab/>
        <w:t>[Regulation 14 inserted in Gazette 9 Nov 2001 p. 5926.]</w:t>
      </w:r>
    </w:p>
    <w:p>
      <w:pPr>
        <w:sectPr>
          <w:headerReference w:type="even" r:id="rId22"/>
          <w:headerReference w:type="default" r:id="rId23"/>
          <w:footerReference w:type="even" r:id="rId24"/>
          <w:footerReference w:type="default" r:id="rId25"/>
          <w:headerReference w:type="first" r:id="rId26"/>
          <w:footerReference w:type="first" r:id="rId27"/>
          <w:pgSz w:w="11906" w:h="16838" w:code="9"/>
          <w:pgMar w:top="2381" w:right="2409" w:bottom="3543" w:left="2409" w:header="720" w:footer="3380" w:gutter="0"/>
          <w:pgNumType w:start="1"/>
          <w:cols w:space="720"/>
          <w:noEndnote/>
          <w:titlePg/>
          <w:docGrid w:linePitch="326"/>
        </w:sectPr>
      </w:pPr>
    </w:p>
    <w:p>
      <w:pPr>
        <w:pStyle w:val="yScheduleHeading"/>
      </w:pPr>
      <w:bookmarkStart w:id="124" w:name="_Toc121884969"/>
      <w:bookmarkStart w:id="125" w:name="_Toc121885036"/>
      <w:bookmarkStart w:id="126" w:name="_Toc121887043"/>
      <w:bookmarkStart w:id="127" w:name="_Toc124149201"/>
      <w:bookmarkStart w:id="128" w:name="_Toc146621509"/>
      <w:bookmarkStart w:id="129" w:name="_Toc146698996"/>
      <w:bookmarkStart w:id="130" w:name="_Toc147642120"/>
      <w:bookmarkStart w:id="131" w:name="_Toc147648929"/>
      <w:r>
        <w:rPr>
          <w:rStyle w:val="CharSchNo"/>
        </w:rPr>
        <w:t>Schedule 1</w:t>
      </w:r>
      <w:r>
        <w:t> — </w:t>
      </w:r>
      <w:r>
        <w:rPr>
          <w:rStyle w:val="CharSchText"/>
        </w:rPr>
        <w:t>Places where regulations 3(1) and 6 apply</w:t>
      </w:r>
      <w:bookmarkEnd w:id="124"/>
      <w:bookmarkEnd w:id="125"/>
      <w:bookmarkEnd w:id="126"/>
      <w:bookmarkEnd w:id="127"/>
      <w:bookmarkEnd w:id="128"/>
      <w:bookmarkEnd w:id="129"/>
      <w:bookmarkEnd w:id="130"/>
      <w:bookmarkEnd w:id="131"/>
    </w:p>
    <w:p>
      <w:pPr>
        <w:pStyle w:val="yShoulderClause"/>
      </w:pPr>
      <w:r>
        <w:t>[r. 4(1)(b), 5]</w:t>
      </w:r>
    </w:p>
    <w:p>
      <w:pPr>
        <w:pStyle w:val="ySubsection"/>
      </w:pPr>
      <w:r>
        <w:rPr>
          <w:i/>
        </w:rPr>
        <w:t>Local government districts</w:t>
      </w:r>
    </w:p>
    <w:tbl>
      <w:tblPr>
        <w:tblW w:w="0" w:type="auto"/>
        <w:tblInd w:w="1242" w:type="dxa"/>
        <w:tblLayout w:type="fixed"/>
        <w:tblLook w:val="0000" w:firstRow="0" w:lastRow="0" w:firstColumn="0" w:lastColumn="0" w:noHBand="0" w:noVBand="0"/>
      </w:tblPr>
      <w:tblGrid>
        <w:gridCol w:w="2552"/>
        <w:gridCol w:w="2410"/>
      </w:tblGrid>
      <w:tr>
        <w:trPr>
          <w:cantSplit/>
          <w:trHeight w:val="276"/>
        </w:trPr>
        <w:tc>
          <w:tcPr>
            <w:tcW w:w="2552" w:type="dxa"/>
          </w:tcPr>
          <w:p>
            <w:pPr>
              <w:pStyle w:val="yTable"/>
            </w:pPr>
            <w:r>
              <w:t>Albany</w:t>
            </w:r>
          </w:p>
        </w:tc>
        <w:tc>
          <w:tcPr>
            <w:tcW w:w="2410" w:type="dxa"/>
          </w:tcPr>
          <w:p>
            <w:pPr>
              <w:pStyle w:val="yTable"/>
            </w:pPr>
            <w:r>
              <w:t>Geraldton</w:t>
            </w:r>
          </w:p>
        </w:tc>
      </w:tr>
      <w:tr>
        <w:trPr>
          <w:cantSplit/>
          <w:trHeight w:val="276"/>
        </w:trPr>
        <w:tc>
          <w:tcPr>
            <w:tcW w:w="2552" w:type="dxa"/>
          </w:tcPr>
          <w:p>
            <w:pPr>
              <w:pStyle w:val="yTable"/>
            </w:pPr>
            <w:r>
              <w:t>Augusta</w:t>
            </w:r>
            <w:r>
              <w:noBreakHyphen/>
              <w:t>Margaret River</w:t>
            </w:r>
          </w:p>
        </w:tc>
        <w:tc>
          <w:tcPr>
            <w:tcW w:w="2410" w:type="dxa"/>
          </w:tcPr>
          <w:p>
            <w:pPr>
              <w:pStyle w:val="yTable"/>
            </w:pPr>
            <w:r>
              <w:t>Greenough</w:t>
            </w:r>
          </w:p>
        </w:tc>
      </w:tr>
      <w:tr>
        <w:trPr>
          <w:cantSplit/>
          <w:trHeight w:val="276"/>
        </w:trPr>
        <w:tc>
          <w:tcPr>
            <w:tcW w:w="2552" w:type="dxa"/>
          </w:tcPr>
          <w:p>
            <w:pPr>
              <w:pStyle w:val="yTable"/>
            </w:pPr>
            <w:r>
              <w:t>Bridgetown</w:t>
            </w:r>
            <w:r>
              <w:noBreakHyphen/>
              <w:t>Greenbushes</w:t>
            </w:r>
          </w:p>
        </w:tc>
        <w:tc>
          <w:tcPr>
            <w:tcW w:w="2410" w:type="dxa"/>
          </w:tcPr>
          <w:p>
            <w:pPr>
              <w:pStyle w:val="yTable"/>
            </w:pPr>
            <w:r>
              <w:t>Harvey</w:t>
            </w:r>
          </w:p>
        </w:tc>
      </w:tr>
      <w:tr>
        <w:trPr>
          <w:cantSplit/>
          <w:trHeight w:val="276"/>
        </w:trPr>
        <w:tc>
          <w:tcPr>
            <w:tcW w:w="2552" w:type="dxa"/>
          </w:tcPr>
          <w:p>
            <w:pPr>
              <w:pStyle w:val="yTable"/>
            </w:pPr>
            <w:r>
              <w:t>Bunbury</w:t>
            </w:r>
          </w:p>
        </w:tc>
        <w:tc>
          <w:tcPr>
            <w:tcW w:w="2410" w:type="dxa"/>
          </w:tcPr>
          <w:p>
            <w:pPr>
              <w:pStyle w:val="yTable"/>
            </w:pPr>
            <w:r>
              <w:t>Mandurah</w:t>
            </w:r>
          </w:p>
        </w:tc>
      </w:tr>
      <w:tr>
        <w:trPr>
          <w:cantSplit/>
          <w:trHeight w:val="276"/>
        </w:trPr>
        <w:tc>
          <w:tcPr>
            <w:tcW w:w="2552" w:type="dxa"/>
          </w:tcPr>
          <w:p>
            <w:pPr>
              <w:pStyle w:val="yTable"/>
            </w:pPr>
            <w:r>
              <w:t>Busselton</w:t>
            </w:r>
          </w:p>
        </w:tc>
        <w:tc>
          <w:tcPr>
            <w:tcW w:w="2410" w:type="dxa"/>
          </w:tcPr>
          <w:p>
            <w:pPr>
              <w:pStyle w:val="yTable"/>
            </w:pPr>
            <w:r>
              <w:t>Manjimup</w:t>
            </w:r>
          </w:p>
        </w:tc>
      </w:tr>
      <w:tr>
        <w:trPr>
          <w:cantSplit/>
          <w:trHeight w:val="276"/>
        </w:trPr>
        <w:tc>
          <w:tcPr>
            <w:tcW w:w="2552" w:type="dxa"/>
          </w:tcPr>
          <w:p>
            <w:pPr>
              <w:pStyle w:val="yTable"/>
            </w:pPr>
            <w:r>
              <w:t>Capel</w:t>
            </w:r>
          </w:p>
        </w:tc>
        <w:tc>
          <w:tcPr>
            <w:tcW w:w="2410" w:type="dxa"/>
          </w:tcPr>
          <w:p>
            <w:pPr>
              <w:pStyle w:val="yTable"/>
            </w:pPr>
            <w:r>
              <w:t>Murray</w:t>
            </w:r>
          </w:p>
        </w:tc>
      </w:tr>
      <w:tr>
        <w:trPr>
          <w:cantSplit/>
          <w:trHeight w:val="276"/>
        </w:trPr>
        <w:tc>
          <w:tcPr>
            <w:tcW w:w="2552" w:type="dxa"/>
          </w:tcPr>
          <w:p>
            <w:pPr>
              <w:pStyle w:val="yTable"/>
            </w:pPr>
            <w:r>
              <w:t>Dardanup</w:t>
            </w:r>
          </w:p>
        </w:tc>
        <w:tc>
          <w:tcPr>
            <w:tcW w:w="2410" w:type="dxa"/>
          </w:tcPr>
          <w:p>
            <w:pPr>
              <w:pStyle w:val="yTable"/>
            </w:pPr>
            <w:r>
              <w:t>Waroona</w:t>
            </w:r>
          </w:p>
        </w:tc>
      </w:tr>
      <w:tr>
        <w:trPr>
          <w:cantSplit/>
          <w:trHeight w:val="276"/>
        </w:trPr>
        <w:tc>
          <w:tcPr>
            <w:tcW w:w="2552" w:type="dxa"/>
          </w:tcPr>
          <w:p>
            <w:pPr>
              <w:pStyle w:val="yTable"/>
            </w:pPr>
            <w:r>
              <w:t>Donnybrook</w:t>
            </w:r>
            <w:r>
              <w:noBreakHyphen/>
              <w:t>Balingup</w:t>
            </w:r>
          </w:p>
        </w:tc>
        <w:tc>
          <w:tcPr>
            <w:tcW w:w="2410" w:type="dxa"/>
          </w:tcPr>
          <w:p>
            <w:pPr>
              <w:pStyle w:val="yTable"/>
            </w:pPr>
          </w:p>
        </w:tc>
      </w:tr>
    </w:tbl>
    <w:p>
      <w:pPr>
        <w:pStyle w:val="ySubsection"/>
      </w:pPr>
      <w:r>
        <w:rPr>
          <w:i/>
        </w:rPr>
        <w:t>Townsites</w:t>
      </w:r>
    </w:p>
    <w:tbl>
      <w:tblPr>
        <w:tblW w:w="0" w:type="auto"/>
        <w:tblInd w:w="1242" w:type="dxa"/>
        <w:tblLayout w:type="fixed"/>
        <w:tblLook w:val="0000" w:firstRow="0" w:lastRow="0" w:firstColumn="0" w:lastColumn="0" w:noHBand="0" w:noVBand="0"/>
      </w:tblPr>
      <w:tblGrid>
        <w:gridCol w:w="2552"/>
        <w:gridCol w:w="2410"/>
      </w:tblGrid>
      <w:tr>
        <w:trPr>
          <w:cantSplit/>
          <w:trHeight w:val="276"/>
        </w:trPr>
        <w:tc>
          <w:tcPr>
            <w:tcW w:w="2552" w:type="dxa"/>
          </w:tcPr>
          <w:p>
            <w:pPr>
              <w:pStyle w:val="yTable"/>
            </w:pPr>
            <w:r>
              <w:t>Boulder</w:t>
            </w:r>
          </w:p>
        </w:tc>
        <w:tc>
          <w:tcPr>
            <w:tcW w:w="2410" w:type="dxa"/>
          </w:tcPr>
          <w:p>
            <w:pPr>
              <w:pStyle w:val="yTable"/>
            </w:pPr>
            <w:r>
              <w:t>Karratha</w:t>
            </w:r>
          </w:p>
        </w:tc>
      </w:tr>
      <w:tr>
        <w:trPr>
          <w:cantSplit/>
          <w:trHeight w:val="276"/>
        </w:trPr>
        <w:tc>
          <w:tcPr>
            <w:tcW w:w="2552" w:type="dxa"/>
          </w:tcPr>
          <w:p>
            <w:pPr>
              <w:pStyle w:val="yTable"/>
            </w:pPr>
            <w:r>
              <w:t>Broome</w:t>
            </w:r>
          </w:p>
        </w:tc>
        <w:tc>
          <w:tcPr>
            <w:tcW w:w="2410" w:type="dxa"/>
          </w:tcPr>
          <w:p>
            <w:pPr>
              <w:pStyle w:val="yTable"/>
            </w:pPr>
            <w:r>
              <w:t>Kellerberrin</w:t>
            </w:r>
          </w:p>
        </w:tc>
      </w:tr>
      <w:tr>
        <w:trPr>
          <w:cantSplit/>
          <w:trHeight w:val="276"/>
        </w:trPr>
        <w:tc>
          <w:tcPr>
            <w:tcW w:w="2552" w:type="dxa"/>
          </w:tcPr>
          <w:p>
            <w:pPr>
              <w:pStyle w:val="yTable"/>
            </w:pPr>
            <w:r>
              <w:t>Busselton</w:t>
            </w:r>
          </w:p>
        </w:tc>
        <w:tc>
          <w:tcPr>
            <w:tcW w:w="2410" w:type="dxa"/>
          </w:tcPr>
          <w:p>
            <w:pPr>
              <w:pStyle w:val="yTable"/>
            </w:pPr>
            <w:r>
              <w:t>Kojonup</w:t>
            </w:r>
          </w:p>
        </w:tc>
      </w:tr>
      <w:tr>
        <w:trPr>
          <w:cantSplit/>
          <w:trHeight w:val="276"/>
        </w:trPr>
        <w:tc>
          <w:tcPr>
            <w:tcW w:w="2552" w:type="dxa"/>
          </w:tcPr>
          <w:p>
            <w:pPr>
              <w:pStyle w:val="yTable"/>
            </w:pPr>
            <w:r>
              <w:t>Carnarvon</w:t>
            </w:r>
          </w:p>
        </w:tc>
        <w:tc>
          <w:tcPr>
            <w:tcW w:w="2410" w:type="dxa"/>
          </w:tcPr>
          <w:p>
            <w:pPr>
              <w:pStyle w:val="yTable"/>
            </w:pPr>
            <w:r>
              <w:t>Kununurra</w:t>
            </w:r>
          </w:p>
        </w:tc>
      </w:tr>
      <w:tr>
        <w:trPr>
          <w:cantSplit/>
          <w:trHeight w:val="276"/>
        </w:trPr>
        <w:tc>
          <w:tcPr>
            <w:tcW w:w="2552" w:type="dxa"/>
          </w:tcPr>
          <w:p>
            <w:pPr>
              <w:pStyle w:val="yTable"/>
            </w:pPr>
            <w:r>
              <w:t>Cataby</w:t>
            </w:r>
          </w:p>
        </w:tc>
        <w:tc>
          <w:tcPr>
            <w:tcW w:w="2410" w:type="dxa"/>
          </w:tcPr>
          <w:p>
            <w:pPr>
              <w:pStyle w:val="yTable"/>
            </w:pPr>
            <w:r>
              <w:t>Meekatharra</w:t>
            </w:r>
          </w:p>
        </w:tc>
      </w:tr>
      <w:tr>
        <w:trPr>
          <w:cantSplit/>
          <w:trHeight w:val="276"/>
        </w:trPr>
        <w:tc>
          <w:tcPr>
            <w:tcW w:w="2552" w:type="dxa"/>
          </w:tcPr>
          <w:p>
            <w:pPr>
              <w:pStyle w:val="yTable"/>
            </w:pPr>
            <w:r>
              <w:t>Collie</w:t>
            </w:r>
          </w:p>
        </w:tc>
        <w:tc>
          <w:tcPr>
            <w:tcW w:w="2410" w:type="dxa"/>
          </w:tcPr>
          <w:p>
            <w:pPr>
              <w:pStyle w:val="yTable"/>
            </w:pPr>
            <w:r>
              <w:t>Moora</w:t>
            </w:r>
          </w:p>
        </w:tc>
      </w:tr>
      <w:tr>
        <w:trPr>
          <w:cantSplit/>
          <w:trHeight w:val="276"/>
        </w:trPr>
        <w:tc>
          <w:tcPr>
            <w:tcW w:w="2552" w:type="dxa"/>
          </w:tcPr>
          <w:p>
            <w:pPr>
              <w:pStyle w:val="yTable"/>
            </w:pPr>
            <w:r>
              <w:t>Coolgardie</w:t>
            </w:r>
          </w:p>
        </w:tc>
        <w:tc>
          <w:tcPr>
            <w:tcW w:w="2410" w:type="dxa"/>
          </w:tcPr>
          <w:p>
            <w:pPr>
              <w:pStyle w:val="yTable"/>
            </w:pPr>
            <w:r>
              <w:t>Mt Barker</w:t>
            </w:r>
          </w:p>
        </w:tc>
      </w:tr>
      <w:tr>
        <w:trPr>
          <w:cantSplit/>
          <w:trHeight w:val="276"/>
        </w:trPr>
        <w:tc>
          <w:tcPr>
            <w:tcW w:w="2552" w:type="dxa"/>
          </w:tcPr>
          <w:p>
            <w:pPr>
              <w:pStyle w:val="yTable"/>
            </w:pPr>
            <w:r>
              <w:t>Cunderdin</w:t>
            </w:r>
          </w:p>
        </w:tc>
        <w:tc>
          <w:tcPr>
            <w:tcW w:w="2410" w:type="dxa"/>
          </w:tcPr>
          <w:p>
            <w:pPr>
              <w:pStyle w:val="yTable"/>
            </w:pPr>
            <w:r>
              <w:t>Narrogin</w:t>
            </w:r>
          </w:p>
        </w:tc>
      </w:tr>
      <w:tr>
        <w:trPr>
          <w:cantSplit/>
          <w:trHeight w:val="276"/>
        </w:trPr>
        <w:tc>
          <w:tcPr>
            <w:tcW w:w="2552" w:type="dxa"/>
          </w:tcPr>
          <w:p>
            <w:pPr>
              <w:pStyle w:val="yTable"/>
            </w:pPr>
            <w:r>
              <w:t>Dalwallinu</w:t>
            </w:r>
          </w:p>
        </w:tc>
        <w:tc>
          <w:tcPr>
            <w:tcW w:w="2410" w:type="dxa"/>
          </w:tcPr>
          <w:p>
            <w:pPr>
              <w:pStyle w:val="yTable"/>
            </w:pPr>
            <w:r>
              <w:t>Newman</w:t>
            </w:r>
          </w:p>
        </w:tc>
      </w:tr>
      <w:tr>
        <w:trPr>
          <w:cantSplit/>
          <w:trHeight w:val="276"/>
        </w:trPr>
        <w:tc>
          <w:tcPr>
            <w:tcW w:w="2552" w:type="dxa"/>
          </w:tcPr>
          <w:p>
            <w:pPr>
              <w:pStyle w:val="yTable"/>
            </w:pPr>
            <w:r>
              <w:t>Dampier</w:t>
            </w:r>
          </w:p>
        </w:tc>
        <w:tc>
          <w:tcPr>
            <w:tcW w:w="2410" w:type="dxa"/>
          </w:tcPr>
          <w:p>
            <w:pPr>
              <w:pStyle w:val="yTable"/>
            </w:pPr>
            <w:r>
              <w:t>Norseman</w:t>
            </w:r>
          </w:p>
        </w:tc>
      </w:tr>
      <w:tr>
        <w:trPr>
          <w:cantSplit/>
          <w:trHeight w:val="276"/>
        </w:trPr>
        <w:tc>
          <w:tcPr>
            <w:tcW w:w="2552" w:type="dxa"/>
          </w:tcPr>
          <w:p>
            <w:pPr>
              <w:pStyle w:val="yTable"/>
            </w:pPr>
            <w:r>
              <w:t>Denmark</w:t>
            </w:r>
          </w:p>
        </w:tc>
        <w:tc>
          <w:tcPr>
            <w:tcW w:w="2410" w:type="dxa"/>
          </w:tcPr>
          <w:p>
            <w:pPr>
              <w:pStyle w:val="yTable"/>
            </w:pPr>
            <w:r>
              <w:t>Northam</w:t>
            </w:r>
          </w:p>
        </w:tc>
      </w:tr>
      <w:tr>
        <w:trPr>
          <w:cantSplit/>
          <w:trHeight w:val="276"/>
        </w:trPr>
        <w:tc>
          <w:tcPr>
            <w:tcW w:w="2552" w:type="dxa"/>
          </w:tcPr>
          <w:p>
            <w:pPr>
              <w:pStyle w:val="yTable"/>
            </w:pPr>
            <w:r>
              <w:t>Derby</w:t>
            </w:r>
          </w:p>
        </w:tc>
        <w:tc>
          <w:tcPr>
            <w:tcW w:w="2410" w:type="dxa"/>
          </w:tcPr>
          <w:p>
            <w:pPr>
              <w:pStyle w:val="yTable"/>
            </w:pPr>
            <w:r>
              <w:t>Port Hedland</w:t>
            </w:r>
          </w:p>
        </w:tc>
      </w:tr>
      <w:tr>
        <w:trPr>
          <w:cantSplit/>
          <w:trHeight w:val="276"/>
        </w:trPr>
        <w:tc>
          <w:tcPr>
            <w:tcW w:w="2552" w:type="dxa"/>
          </w:tcPr>
          <w:p>
            <w:pPr>
              <w:pStyle w:val="yTable"/>
            </w:pPr>
            <w:r>
              <w:t>Dongara</w:t>
            </w:r>
          </w:p>
        </w:tc>
        <w:tc>
          <w:tcPr>
            <w:tcW w:w="2410" w:type="dxa"/>
          </w:tcPr>
          <w:p>
            <w:pPr>
              <w:pStyle w:val="yTable"/>
            </w:pPr>
            <w:r>
              <w:t>Ravensthorpe</w:t>
            </w:r>
          </w:p>
        </w:tc>
      </w:tr>
      <w:tr>
        <w:trPr>
          <w:cantSplit/>
          <w:trHeight w:val="276"/>
        </w:trPr>
        <w:tc>
          <w:tcPr>
            <w:tcW w:w="2552" w:type="dxa"/>
          </w:tcPr>
          <w:p>
            <w:pPr>
              <w:pStyle w:val="yTable"/>
            </w:pPr>
            <w:r>
              <w:t>Esperance</w:t>
            </w:r>
          </w:p>
        </w:tc>
        <w:tc>
          <w:tcPr>
            <w:tcW w:w="2410" w:type="dxa"/>
          </w:tcPr>
          <w:p>
            <w:pPr>
              <w:pStyle w:val="yTable"/>
            </w:pPr>
            <w:r>
              <w:t>South Hedland</w:t>
            </w:r>
          </w:p>
        </w:tc>
      </w:tr>
      <w:tr>
        <w:trPr>
          <w:cantSplit/>
          <w:trHeight w:val="276"/>
        </w:trPr>
        <w:tc>
          <w:tcPr>
            <w:tcW w:w="2552" w:type="dxa"/>
          </w:tcPr>
          <w:p>
            <w:pPr>
              <w:pStyle w:val="yTable"/>
            </w:pPr>
            <w:r>
              <w:t>Exmouth</w:t>
            </w:r>
          </w:p>
        </w:tc>
        <w:tc>
          <w:tcPr>
            <w:tcW w:w="2410" w:type="dxa"/>
          </w:tcPr>
          <w:p>
            <w:pPr>
              <w:pStyle w:val="yTable"/>
            </w:pPr>
            <w:r>
              <w:t>Tammin</w:t>
            </w:r>
          </w:p>
        </w:tc>
      </w:tr>
      <w:tr>
        <w:trPr>
          <w:cantSplit/>
          <w:trHeight w:val="276"/>
        </w:trPr>
        <w:tc>
          <w:tcPr>
            <w:tcW w:w="2552" w:type="dxa"/>
          </w:tcPr>
          <w:p>
            <w:pPr>
              <w:pStyle w:val="yTable"/>
            </w:pPr>
            <w:r>
              <w:t>Fitzroy Crossing</w:t>
            </w:r>
          </w:p>
        </w:tc>
        <w:tc>
          <w:tcPr>
            <w:tcW w:w="2410" w:type="dxa"/>
          </w:tcPr>
          <w:p>
            <w:pPr>
              <w:pStyle w:val="yTable"/>
            </w:pPr>
            <w:r>
              <w:t>Williams</w:t>
            </w:r>
          </w:p>
        </w:tc>
      </w:tr>
      <w:tr>
        <w:trPr>
          <w:cantSplit/>
          <w:trHeight w:val="276"/>
        </w:trPr>
        <w:tc>
          <w:tcPr>
            <w:tcW w:w="2552" w:type="dxa"/>
          </w:tcPr>
          <w:p>
            <w:pPr>
              <w:pStyle w:val="yTable"/>
            </w:pPr>
            <w:r>
              <w:t>Jurien</w:t>
            </w:r>
          </w:p>
        </w:tc>
        <w:tc>
          <w:tcPr>
            <w:tcW w:w="2410" w:type="dxa"/>
          </w:tcPr>
          <w:p>
            <w:pPr>
              <w:pStyle w:val="yTable"/>
              <w:keepNext/>
            </w:pPr>
            <w:r>
              <w:t>Wubin</w:t>
            </w:r>
          </w:p>
        </w:tc>
      </w:tr>
      <w:tr>
        <w:trPr>
          <w:cantSplit/>
          <w:trHeight w:val="276"/>
        </w:trPr>
        <w:tc>
          <w:tcPr>
            <w:tcW w:w="2552" w:type="dxa"/>
          </w:tcPr>
          <w:p>
            <w:pPr>
              <w:pStyle w:val="yTable"/>
              <w:keepNext/>
            </w:pPr>
            <w:r>
              <w:t>Kalgoorlie</w:t>
            </w:r>
          </w:p>
        </w:tc>
        <w:tc>
          <w:tcPr>
            <w:tcW w:w="2410" w:type="dxa"/>
          </w:tcPr>
          <w:p>
            <w:pPr>
              <w:pStyle w:val="yTable"/>
              <w:keepNext/>
            </w:pPr>
            <w:r>
              <w:t>York</w:t>
            </w:r>
          </w:p>
        </w:tc>
      </w:tr>
      <w:tr>
        <w:trPr>
          <w:cantSplit/>
          <w:trHeight w:val="276"/>
        </w:trPr>
        <w:tc>
          <w:tcPr>
            <w:tcW w:w="2552" w:type="dxa"/>
          </w:tcPr>
          <w:p>
            <w:pPr>
              <w:pStyle w:val="yTable"/>
              <w:keepNext/>
            </w:pPr>
            <w:r>
              <w:t>Kambalda (East)</w:t>
            </w:r>
          </w:p>
        </w:tc>
        <w:tc>
          <w:tcPr>
            <w:tcW w:w="2410" w:type="dxa"/>
          </w:tcPr>
          <w:p>
            <w:pPr>
              <w:pStyle w:val="yTable"/>
              <w:keepNext/>
            </w:pPr>
          </w:p>
        </w:tc>
      </w:tr>
      <w:tr>
        <w:trPr>
          <w:cantSplit/>
          <w:trHeight w:val="276"/>
        </w:trPr>
        <w:tc>
          <w:tcPr>
            <w:tcW w:w="2552" w:type="dxa"/>
          </w:tcPr>
          <w:p>
            <w:pPr>
              <w:pStyle w:val="yTable"/>
              <w:keepNext/>
            </w:pPr>
            <w:r>
              <w:t>Kambalda (West)</w:t>
            </w:r>
          </w:p>
        </w:tc>
        <w:tc>
          <w:tcPr>
            <w:tcW w:w="2410" w:type="dxa"/>
          </w:tcPr>
          <w:p>
            <w:pPr>
              <w:pStyle w:val="yTable"/>
              <w:keepNext/>
            </w:pPr>
          </w:p>
        </w:tc>
      </w:tr>
    </w:tbl>
    <w:p>
      <w:pPr>
        <w:pStyle w:val="yFootnotesection"/>
      </w:pPr>
      <w:r>
        <w:tab/>
        <w:t>[Schedule 1 inserted in Gazette 13 May 2003 p. 1665-6; amended in Gazette 3 Oct 2006 p. 4337.]</w:t>
      </w:r>
    </w:p>
    <w:p>
      <w:pPr>
        <w:pStyle w:val="yScheduleHeading"/>
      </w:pPr>
      <w:bookmarkStart w:id="132" w:name="_Toc146621511"/>
      <w:bookmarkStart w:id="133" w:name="_Toc146698997"/>
      <w:bookmarkStart w:id="134" w:name="_Toc147642121"/>
      <w:bookmarkStart w:id="135" w:name="_Toc147648930"/>
      <w:bookmarkStart w:id="136" w:name="_Toc121884971"/>
      <w:bookmarkStart w:id="137" w:name="_Toc121885038"/>
      <w:bookmarkStart w:id="138" w:name="_Toc121887045"/>
      <w:bookmarkStart w:id="139" w:name="_Toc124149203"/>
      <w:r>
        <w:rPr>
          <w:rStyle w:val="CharSchNo"/>
        </w:rPr>
        <w:t>Schedule 2</w:t>
      </w:r>
      <w:r>
        <w:t> — </w:t>
      </w:r>
      <w:r>
        <w:rPr>
          <w:rStyle w:val="CharSchText"/>
        </w:rPr>
        <w:t>Prescribed offences and modified penalties</w:t>
      </w:r>
      <w:bookmarkEnd w:id="132"/>
      <w:bookmarkEnd w:id="133"/>
      <w:bookmarkEnd w:id="134"/>
      <w:bookmarkEnd w:id="135"/>
    </w:p>
    <w:p>
      <w:pPr>
        <w:pStyle w:val="yShoulderClause"/>
      </w:pPr>
      <w:r>
        <w:t>[r. 11, 12]</w:t>
      </w:r>
    </w:p>
    <w:p>
      <w:pPr>
        <w:pStyle w:val="yFootnoteheading"/>
      </w:pPr>
      <w:r>
        <w:tab/>
        <w:t>[Heading inserted in Gazette 22 Sep 2006 p. 4125.]</w:t>
      </w:r>
    </w:p>
    <w:tbl>
      <w:tblPr>
        <w:tblW w:w="0" w:type="auto"/>
        <w:tblInd w:w="199" w:type="dxa"/>
        <w:tblLayout w:type="fixed"/>
        <w:tblCellMar>
          <w:top w:w="57" w:type="dxa"/>
          <w:left w:w="57" w:type="dxa"/>
          <w:right w:w="57" w:type="dxa"/>
        </w:tblCellMar>
        <w:tblLook w:val="0000" w:firstRow="0" w:lastRow="0" w:firstColumn="0" w:lastColumn="0" w:noHBand="0" w:noVBand="0"/>
      </w:tblPr>
      <w:tblGrid>
        <w:gridCol w:w="1134"/>
        <w:gridCol w:w="142"/>
        <w:gridCol w:w="4536"/>
        <w:gridCol w:w="992"/>
      </w:tblGrid>
      <w:tr>
        <w:trPr>
          <w:cantSplit/>
          <w:trHeight w:val="28"/>
          <w:tblHeader/>
        </w:trPr>
        <w:tc>
          <w:tcPr>
            <w:tcW w:w="5812" w:type="dxa"/>
            <w:gridSpan w:val="3"/>
            <w:tcBorders>
              <w:top w:val="single" w:sz="4" w:space="0" w:color="auto"/>
              <w:bottom w:val="single" w:sz="4" w:space="0" w:color="auto"/>
            </w:tcBorders>
          </w:tcPr>
          <w:p>
            <w:pPr>
              <w:pStyle w:val="yTable"/>
            </w:pPr>
            <w:r>
              <w:rPr>
                <w:b/>
              </w:rPr>
              <w:br/>
              <w:t xml:space="preserve">Offences under </w:t>
            </w:r>
            <w:r>
              <w:rPr>
                <w:b/>
                <w:i/>
              </w:rPr>
              <w:t>Petroleum Products Pricing Act 1983</w:t>
            </w:r>
          </w:p>
        </w:tc>
        <w:tc>
          <w:tcPr>
            <w:tcW w:w="992" w:type="dxa"/>
            <w:tcBorders>
              <w:top w:val="single" w:sz="4" w:space="0" w:color="auto"/>
              <w:bottom w:val="single" w:sz="4" w:space="0" w:color="auto"/>
            </w:tcBorders>
          </w:tcPr>
          <w:p>
            <w:pPr>
              <w:pStyle w:val="yTable"/>
            </w:pPr>
            <w:r>
              <w:rPr>
                <w:b/>
              </w:rPr>
              <w:t>Modified penalty</w:t>
            </w:r>
          </w:p>
        </w:tc>
      </w:tr>
      <w:tr>
        <w:trPr>
          <w:cantSplit/>
          <w:trHeight w:val="21"/>
        </w:trPr>
        <w:tc>
          <w:tcPr>
            <w:tcW w:w="1276" w:type="dxa"/>
            <w:gridSpan w:val="2"/>
          </w:tcPr>
          <w:p>
            <w:pPr>
              <w:pStyle w:val="yTable"/>
            </w:pPr>
            <w:r>
              <w:t>s. 11(1)</w:t>
            </w:r>
          </w:p>
        </w:tc>
        <w:tc>
          <w:tcPr>
            <w:tcW w:w="4536" w:type="dxa"/>
          </w:tcPr>
          <w:p>
            <w:pPr>
              <w:pStyle w:val="yTable"/>
            </w:pPr>
            <w:r>
              <w:t>Failing to notify Commissioner of proposed increase in price or rate of declared petroleum products or service ................................................</w:t>
            </w:r>
          </w:p>
        </w:tc>
        <w:tc>
          <w:tcPr>
            <w:tcW w:w="992" w:type="dxa"/>
          </w:tcPr>
          <w:p>
            <w:pPr>
              <w:pStyle w:val="yTable"/>
            </w:pPr>
            <w:r>
              <w:br/>
            </w:r>
            <w:r>
              <w:br/>
              <w:t>$4 000</w:t>
            </w:r>
          </w:p>
        </w:tc>
      </w:tr>
      <w:tr>
        <w:trPr>
          <w:cantSplit/>
          <w:trHeight w:val="21"/>
        </w:trPr>
        <w:tc>
          <w:tcPr>
            <w:tcW w:w="1276" w:type="dxa"/>
            <w:gridSpan w:val="2"/>
          </w:tcPr>
          <w:p>
            <w:pPr>
              <w:pStyle w:val="yTable"/>
            </w:pPr>
            <w:r>
              <w:t>s. 14(1)</w:t>
            </w:r>
          </w:p>
        </w:tc>
        <w:tc>
          <w:tcPr>
            <w:tcW w:w="4536" w:type="dxa"/>
          </w:tcPr>
          <w:p>
            <w:pPr>
              <w:pStyle w:val="yTable"/>
            </w:pPr>
            <w:r>
              <w:t xml:space="preserve">Selling or supplying controlled petroleum products or service above maximum price or rate </w:t>
            </w:r>
          </w:p>
        </w:tc>
        <w:tc>
          <w:tcPr>
            <w:tcW w:w="992" w:type="dxa"/>
          </w:tcPr>
          <w:p>
            <w:pPr>
              <w:pStyle w:val="yTable"/>
            </w:pPr>
            <w:r>
              <w:br/>
              <w:t>$4 000</w:t>
            </w:r>
          </w:p>
        </w:tc>
      </w:tr>
      <w:tr>
        <w:trPr>
          <w:cantSplit/>
          <w:trHeight w:val="21"/>
        </w:trPr>
        <w:tc>
          <w:tcPr>
            <w:tcW w:w="1276" w:type="dxa"/>
            <w:gridSpan w:val="2"/>
          </w:tcPr>
          <w:p>
            <w:pPr>
              <w:pStyle w:val="yTable"/>
            </w:pPr>
            <w:r>
              <w:t>s. 14(2)</w:t>
            </w:r>
          </w:p>
        </w:tc>
        <w:tc>
          <w:tcPr>
            <w:tcW w:w="4536" w:type="dxa"/>
          </w:tcPr>
          <w:p>
            <w:pPr>
              <w:pStyle w:val="yTable"/>
            </w:pPr>
            <w:r>
              <w:t>Selling or supplying controlled goods or service on different terms than before maximum price or rate order ...........................................................</w:t>
            </w:r>
          </w:p>
        </w:tc>
        <w:tc>
          <w:tcPr>
            <w:tcW w:w="992" w:type="dxa"/>
          </w:tcPr>
          <w:p>
            <w:pPr>
              <w:pStyle w:val="yTable"/>
            </w:pPr>
            <w:r>
              <w:br/>
            </w:r>
            <w:r>
              <w:br/>
              <w:t>$4 000</w:t>
            </w:r>
          </w:p>
        </w:tc>
      </w:tr>
      <w:tr>
        <w:trPr>
          <w:cantSplit/>
          <w:trHeight w:val="21"/>
        </w:trPr>
        <w:tc>
          <w:tcPr>
            <w:tcW w:w="1276" w:type="dxa"/>
            <w:gridSpan w:val="2"/>
          </w:tcPr>
          <w:p>
            <w:pPr>
              <w:pStyle w:val="yTable"/>
            </w:pPr>
            <w:r>
              <w:t>s. 17</w:t>
            </w:r>
          </w:p>
        </w:tc>
        <w:tc>
          <w:tcPr>
            <w:tcW w:w="4536" w:type="dxa"/>
          </w:tcPr>
          <w:p>
            <w:pPr>
              <w:pStyle w:val="yTable"/>
            </w:pPr>
            <w:r>
              <w:t>Selling or supplying controlled petroleum products or service without separately specifying price or rate .........................................</w:t>
            </w:r>
          </w:p>
        </w:tc>
        <w:tc>
          <w:tcPr>
            <w:tcW w:w="992" w:type="dxa"/>
          </w:tcPr>
          <w:p>
            <w:pPr>
              <w:pStyle w:val="yTable"/>
            </w:pPr>
            <w:r>
              <w:br/>
            </w:r>
            <w:r>
              <w:br/>
              <w:t>$4 000</w:t>
            </w:r>
          </w:p>
        </w:tc>
      </w:tr>
      <w:tr>
        <w:trPr>
          <w:cantSplit/>
          <w:trHeight w:val="21"/>
        </w:trPr>
        <w:tc>
          <w:tcPr>
            <w:tcW w:w="1276" w:type="dxa"/>
            <w:gridSpan w:val="2"/>
          </w:tcPr>
          <w:p>
            <w:pPr>
              <w:pStyle w:val="yTable"/>
            </w:pPr>
            <w:r>
              <w:t>s. 21</w:t>
            </w:r>
          </w:p>
        </w:tc>
        <w:tc>
          <w:tcPr>
            <w:tcW w:w="4536" w:type="dxa"/>
          </w:tcPr>
          <w:p>
            <w:pPr>
              <w:pStyle w:val="yTable"/>
            </w:pPr>
            <w:r>
              <w:t xml:space="preserve">Selling or supplying controlled petroleum products or service subject to purchase condition </w:t>
            </w:r>
          </w:p>
        </w:tc>
        <w:tc>
          <w:tcPr>
            <w:tcW w:w="992" w:type="dxa"/>
          </w:tcPr>
          <w:p>
            <w:pPr>
              <w:pStyle w:val="yTable"/>
            </w:pPr>
            <w:r>
              <w:br/>
              <w:t>$4 000</w:t>
            </w:r>
          </w:p>
        </w:tc>
      </w:tr>
      <w:tr>
        <w:trPr>
          <w:cantSplit/>
          <w:trHeight w:val="21"/>
        </w:trPr>
        <w:tc>
          <w:tcPr>
            <w:tcW w:w="1276" w:type="dxa"/>
            <w:gridSpan w:val="2"/>
          </w:tcPr>
          <w:p>
            <w:pPr>
              <w:pStyle w:val="yTable"/>
            </w:pPr>
            <w:r>
              <w:t>s. 22B(1)</w:t>
            </w:r>
          </w:p>
        </w:tc>
        <w:tc>
          <w:tcPr>
            <w:tcW w:w="4536" w:type="dxa"/>
          </w:tcPr>
          <w:p>
            <w:pPr>
              <w:pStyle w:val="yTable"/>
            </w:pPr>
            <w:r>
              <w:t>Failing to display at declared terminal wholesale price of motor fuel ................................................</w:t>
            </w:r>
          </w:p>
        </w:tc>
        <w:tc>
          <w:tcPr>
            <w:tcW w:w="992" w:type="dxa"/>
          </w:tcPr>
          <w:p>
            <w:pPr>
              <w:pStyle w:val="yTable"/>
            </w:pPr>
            <w:r>
              <w:br/>
              <w:t>$4 000</w:t>
            </w:r>
          </w:p>
        </w:tc>
      </w:tr>
      <w:tr>
        <w:trPr>
          <w:cantSplit/>
          <w:trHeight w:val="21"/>
        </w:trPr>
        <w:tc>
          <w:tcPr>
            <w:tcW w:w="1276" w:type="dxa"/>
            <w:gridSpan w:val="2"/>
          </w:tcPr>
          <w:p>
            <w:pPr>
              <w:pStyle w:val="yTable"/>
            </w:pPr>
            <w:r>
              <w:t>s. 22B(3)</w:t>
            </w:r>
          </w:p>
        </w:tc>
        <w:tc>
          <w:tcPr>
            <w:tcW w:w="4536" w:type="dxa"/>
          </w:tcPr>
          <w:p>
            <w:pPr>
              <w:pStyle w:val="yTable"/>
            </w:pPr>
            <w:r>
              <w:t>Failing to notify Commissioner of change to wholesale price at declared terminal .....................</w:t>
            </w:r>
          </w:p>
        </w:tc>
        <w:tc>
          <w:tcPr>
            <w:tcW w:w="992" w:type="dxa"/>
          </w:tcPr>
          <w:p>
            <w:pPr>
              <w:pStyle w:val="yTable"/>
            </w:pPr>
            <w:r>
              <w:br/>
              <w:t>$4 000</w:t>
            </w:r>
          </w:p>
        </w:tc>
      </w:tr>
      <w:tr>
        <w:trPr>
          <w:cantSplit/>
          <w:trHeight w:val="21"/>
        </w:trPr>
        <w:tc>
          <w:tcPr>
            <w:tcW w:w="1276" w:type="dxa"/>
            <w:gridSpan w:val="2"/>
          </w:tcPr>
          <w:p>
            <w:pPr>
              <w:pStyle w:val="yTable"/>
            </w:pPr>
            <w:r>
              <w:t>s. 22C(1)</w:t>
            </w:r>
          </w:p>
        </w:tc>
        <w:tc>
          <w:tcPr>
            <w:tcW w:w="4536" w:type="dxa"/>
          </w:tcPr>
          <w:p>
            <w:pPr>
              <w:pStyle w:val="yTable"/>
            </w:pPr>
            <w:r>
              <w:t>Failing to display at declared terminal weighted average price of motor fuel ...................................</w:t>
            </w:r>
          </w:p>
        </w:tc>
        <w:tc>
          <w:tcPr>
            <w:tcW w:w="992" w:type="dxa"/>
          </w:tcPr>
          <w:p>
            <w:pPr>
              <w:pStyle w:val="yTable"/>
            </w:pPr>
            <w:r>
              <w:br/>
              <w:t>$4 000</w:t>
            </w:r>
          </w:p>
        </w:tc>
      </w:tr>
      <w:tr>
        <w:trPr>
          <w:cantSplit/>
          <w:trHeight w:val="21"/>
        </w:trPr>
        <w:tc>
          <w:tcPr>
            <w:tcW w:w="1276" w:type="dxa"/>
            <w:gridSpan w:val="2"/>
          </w:tcPr>
          <w:p>
            <w:pPr>
              <w:pStyle w:val="yTable"/>
            </w:pPr>
            <w:r>
              <w:t>s. 22D</w:t>
            </w:r>
          </w:p>
        </w:tc>
        <w:tc>
          <w:tcPr>
            <w:tcW w:w="4536" w:type="dxa"/>
          </w:tcPr>
          <w:p>
            <w:pPr>
              <w:pStyle w:val="yTable"/>
            </w:pPr>
            <w:r>
              <w:t>Failing to display maximum price of motor fuel fixed by order ..…..................................................</w:t>
            </w:r>
          </w:p>
        </w:tc>
        <w:tc>
          <w:tcPr>
            <w:tcW w:w="992" w:type="dxa"/>
          </w:tcPr>
          <w:p>
            <w:pPr>
              <w:pStyle w:val="yTable"/>
            </w:pPr>
            <w:r>
              <w:br/>
              <w:t>$4 000</w:t>
            </w:r>
          </w:p>
        </w:tc>
      </w:tr>
      <w:tr>
        <w:trPr>
          <w:cantSplit/>
          <w:trHeight w:val="21"/>
        </w:trPr>
        <w:tc>
          <w:tcPr>
            <w:tcW w:w="1276" w:type="dxa"/>
            <w:gridSpan w:val="2"/>
          </w:tcPr>
          <w:p>
            <w:pPr>
              <w:pStyle w:val="yTable"/>
            </w:pPr>
            <w:r>
              <w:t>s. 22E(1)</w:t>
            </w:r>
          </w:p>
        </w:tc>
        <w:tc>
          <w:tcPr>
            <w:tcW w:w="4536" w:type="dxa"/>
          </w:tcPr>
          <w:p>
            <w:pPr>
              <w:pStyle w:val="yTable"/>
            </w:pPr>
            <w:r>
              <w:t>Failing to show in invoice displayed and maximum prices ....................................................</w:t>
            </w:r>
          </w:p>
        </w:tc>
        <w:tc>
          <w:tcPr>
            <w:tcW w:w="992" w:type="dxa"/>
          </w:tcPr>
          <w:p>
            <w:pPr>
              <w:pStyle w:val="yTable"/>
            </w:pPr>
            <w:r>
              <w:br/>
              <w:t>$4 000</w:t>
            </w:r>
          </w:p>
        </w:tc>
      </w:tr>
      <w:tr>
        <w:trPr>
          <w:cantSplit/>
          <w:trHeight w:val="21"/>
        </w:trPr>
        <w:tc>
          <w:tcPr>
            <w:tcW w:w="1276" w:type="dxa"/>
            <w:gridSpan w:val="2"/>
          </w:tcPr>
          <w:p>
            <w:pPr>
              <w:pStyle w:val="yTable"/>
            </w:pPr>
            <w:r>
              <w:t>s. 22E(2)</w:t>
            </w:r>
          </w:p>
        </w:tc>
        <w:tc>
          <w:tcPr>
            <w:tcW w:w="4536" w:type="dxa"/>
          </w:tcPr>
          <w:p>
            <w:pPr>
              <w:pStyle w:val="yTable"/>
            </w:pPr>
            <w:r>
              <w:t>Failing to show in invoice displayed and maximum prices and details of any difference in prices ......………………………………………...</w:t>
            </w:r>
          </w:p>
        </w:tc>
        <w:tc>
          <w:tcPr>
            <w:tcW w:w="992" w:type="dxa"/>
          </w:tcPr>
          <w:p>
            <w:pPr>
              <w:pStyle w:val="yTable"/>
            </w:pPr>
            <w:r>
              <w:br/>
            </w:r>
            <w:r>
              <w:br/>
              <w:t>$4 000</w:t>
            </w:r>
          </w:p>
        </w:tc>
      </w:tr>
      <w:tr>
        <w:trPr>
          <w:cantSplit/>
          <w:trHeight w:val="21"/>
        </w:trPr>
        <w:tc>
          <w:tcPr>
            <w:tcW w:w="1276" w:type="dxa"/>
            <w:gridSpan w:val="2"/>
          </w:tcPr>
          <w:p>
            <w:pPr>
              <w:pStyle w:val="yTable"/>
            </w:pPr>
            <w:r>
              <w:t>s. 22E(4)</w:t>
            </w:r>
          </w:p>
        </w:tc>
        <w:tc>
          <w:tcPr>
            <w:tcW w:w="4536" w:type="dxa"/>
          </w:tcPr>
          <w:p>
            <w:pPr>
              <w:pStyle w:val="yTable"/>
            </w:pPr>
            <w:r>
              <w:t>Failing to give Commissioner details of any difference in prices ................................................</w:t>
            </w:r>
          </w:p>
        </w:tc>
        <w:tc>
          <w:tcPr>
            <w:tcW w:w="992" w:type="dxa"/>
          </w:tcPr>
          <w:p>
            <w:pPr>
              <w:pStyle w:val="yTable"/>
            </w:pPr>
            <w:r>
              <w:br/>
              <w:t>$4 000</w:t>
            </w:r>
          </w:p>
        </w:tc>
      </w:tr>
      <w:tr>
        <w:trPr>
          <w:cantSplit/>
          <w:trHeight w:val="21"/>
        </w:trPr>
        <w:tc>
          <w:tcPr>
            <w:tcW w:w="1276" w:type="dxa"/>
            <w:gridSpan w:val="2"/>
          </w:tcPr>
          <w:p>
            <w:pPr>
              <w:pStyle w:val="yTable"/>
            </w:pPr>
            <w:r>
              <w:t>s. 22F(2)</w:t>
            </w:r>
          </w:p>
        </w:tc>
        <w:tc>
          <w:tcPr>
            <w:tcW w:w="4536" w:type="dxa"/>
          </w:tcPr>
          <w:p>
            <w:pPr>
              <w:pStyle w:val="yTable"/>
            </w:pPr>
            <w:r>
              <w:t>Failing to include required details in invoice for sale of motor fuel ...................................................</w:t>
            </w:r>
          </w:p>
        </w:tc>
        <w:tc>
          <w:tcPr>
            <w:tcW w:w="992" w:type="dxa"/>
          </w:tcPr>
          <w:p>
            <w:pPr>
              <w:pStyle w:val="yTable"/>
            </w:pPr>
            <w:r>
              <w:br/>
              <w:t>$4 000</w:t>
            </w:r>
          </w:p>
        </w:tc>
      </w:tr>
      <w:tr>
        <w:trPr>
          <w:cantSplit/>
          <w:trHeight w:val="21"/>
        </w:trPr>
        <w:tc>
          <w:tcPr>
            <w:tcW w:w="1276" w:type="dxa"/>
            <w:gridSpan w:val="2"/>
          </w:tcPr>
          <w:p>
            <w:pPr>
              <w:pStyle w:val="yTable"/>
            </w:pPr>
            <w:r>
              <w:t>s. 27(5)(a)</w:t>
            </w:r>
          </w:p>
        </w:tc>
        <w:tc>
          <w:tcPr>
            <w:tcW w:w="4536" w:type="dxa"/>
          </w:tcPr>
          <w:p>
            <w:pPr>
              <w:pStyle w:val="yTable"/>
            </w:pPr>
            <w:r>
              <w:t>Failing or refusing to comply with requirements of notice (inquiry or investigation) ........................</w:t>
            </w:r>
          </w:p>
        </w:tc>
        <w:tc>
          <w:tcPr>
            <w:tcW w:w="992" w:type="dxa"/>
          </w:tcPr>
          <w:p>
            <w:pPr>
              <w:pStyle w:val="yTable"/>
            </w:pPr>
            <w:r>
              <w:br/>
              <w:t>$4 000</w:t>
            </w:r>
          </w:p>
        </w:tc>
      </w:tr>
      <w:tr>
        <w:trPr>
          <w:cantSplit/>
          <w:trHeight w:val="21"/>
        </w:trPr>
        <w:tc>
          <w:tcPr>
            <w:tcW w:w="1276" w:type="dxa"/>
            <w:gridSpan w:val="2"/>
          </w:tcPr>
          <w:p>
            <w:pPr>
              <w:pStyle w:val="yTable"/>
            </w:pPr>
            <w:r>
              <w:t>s. 27A(5)(a)</w:t>
            </w:r>
          </w:p>
        </w:tc>
        <w:tc>
          <w:tcPr>
            <w:tcW w:w="4536" w:type="dxa"/>
          </w:tcPr>
          <w:p>
            <w:pPr>
              <w:pStyle w:val="yTable"/>
            </w:pPr>
            <w:r>
              <w:t>Failing or refusing to comply with requirements of notice .................................................................</w:t>
            </w:r>
          </w:p>
        </w:tc>
        <w:tc>
          <w:tcPr>
            <w:tcW w:w="992" w:type="dxa"/>
          </w:tcPr>
          <w:p>
            <w:pPr>
              <w:pStyle w:val="yTable"/>
            </w:pPr>
            <w:r>
              <w:br/>
              <w:t>$4 000</w:t>
            </w:r>
          </w:p>
        </w:tc>
      </w:tr>
      <w:tr>
        <w:trPr>
          <w:cantSplit/>
          <w:trHeight w:val="28"/>
          <w:tblHeader/>
        </w:trPr>
        <w:tc>
          <w:tcPr>
            <w:tcW w:w="5812" w:type="dxa"/>
            <w:gridSpan w:val="3"/>
            <w:tcBorders>
              <w:top w:val="single" w:sz="4" w:space="0" w:color="auto"/>
              <w:bottom w:val="single" w:sz="4" w:space="0" w:color="auto"/>
            </w:tcBorders>
          </w:tcPr>
          <w:p>
            <w:pPr>
              <w:pStyle w:val="yTable"/>
            </w:pPr>
            <w:r>
              <w:rPr>
                <w:b/>
              </w:rPr>
              <w:br/>
              <w:t xml:space="preserve">Offences under </w:t>
            </w:r>
            <w:r>
              <w:rPr>
                <w:b/>
                <w:i/>
              </w:rPr>
              <w:t>Petroleum Products Pricing Regulations 2000</w:t>
            </w:r>
          </w:p>
        </w:tc>
        <w:tc>
          <w:tcPr>
            <w:tcW w:w="992" w:type="dxa"/>
            <w:tcBorders>
              <w:top w:val="single" w:sz="4" w:space="0" w:color="auto"/>
              <w:bottom w:val="single" w:sz="4" w:space="0" w:color="auto"/>
            </w:tcBorders>
          </w:tcPr>
          <w:p>
            <w:pPr>
              <w:pStyle w:val="yTable"/>
            </w:pPr>
          </w:p>
        </w:tc>
      </w:tr>
      <w:tr>
        <w:trPr>
          <w:cantSplit/>
          <w:trHeight w:val="21"/>
        </w:trPr>
        <w:tc>
          <w:tcPr>
            <w:tcW w:w="1134" w:type="dxa"/>
          </w:tcPr>
          <w:p>
            <w:pPr>
              <w:pStyle w:val="yTable"/>
            </w:pPr>
            <w:r>
              <w:t>r. 3(1)</w:t>
            </w:r>
          </w:p>
        </w:tc>
        <w:tc>
          <w:tcPr>
            <w:tcW w:w="4678" w:type="dxa"/>
            <w:gridSpan w:val="2"/>
          </w:tcPr>
          <w:p>
            <w:pPr>
              <w:pStyle w:val="yTable"/>
            </w:pPr>
            <w:r>
              <w:t>Offering motor fuel for sale at other than standard retail price notified to Commissioner ........</w:t>
            </w:r>
          </w:p>
        </w:tc>
        <w:tc>
          <w:tcPr>
            <w:tcW w:w="992" w:type="dxa"/>
          </w:tcPr>
          <w:p>
            <w:pPr>
              <w:pStyle w:val="yTable"/>
            </w:pPr>
            <w:r>
              <w:br/>
              <w:t>$1 000</w:t>
            </w:r>
          </w:p>
        </w:tc>
      </w:tr>
      <w:tr>
        <w:trPr>
          <w:cantSplit/>
          <w:trHeight w:val="21"/>
        </w:trPr>
        <w:tc>
          <w:tcPr>
            <w:tcW w:w="1134" w:type="dxa"/>
            <w:tcBorders>
              <w:bottom w:val="single" w:sz="4" w:space="0" w:color="auto"/>
            </w:tcBorders>
          </w:tcPr>
          <w:p>
            <w:pPr>
              <w:pStyle w:val="yTable"/>
            </w:pPr>
            <w:r>
              <w:t>r. 6(1)</w:t>
            </w:r>
          </w:p>
        </w:tc>
        <w:tc>
          <w:tcPr>
            <w:tcW w:w="4678" w:type="dxa"/>
            <w:gridSpan w:val="2"/>
            <w:tcBorders>
              <w:bottom w:val="single" w:sz="4" w:space="0" w:color="auto"/>
            </w:tcBorders>
          </w:tcPr>
          <w:p>
            <w:pPr>
              <w:pStyle w:val="yTable"/>
            </w:pPr>
            <w:r>
              <w:t>Offering motor fuel for sale without having required price display ...............................................</w:t>
            </w:r>
          </w:p>
        </w:tc>
        <w:tc>
          <w:tcPr>
            <w:tcW w:w="992" w:type="dxa"/>
            <w:tcBorders>
              <w:bottom w:val="single" w:sz="4" w:space="0" w:color="auto"/>
            </w:tcBorders>
          </w:tcPr>
          <w:p>
            <w:pPr>
              <w:pStyle w:val="yTable"/>
            </w:pPr>
            <w:r>
              <w:br/>
              <w:t>$1 000</w:t>
            </w:r>
          </w:p>
        </w:tc>
      </w:tr>
    </w:tbl>
    <w:p>
      <w:pPr>
        <w:pStyle w:val="yFootnotesection"/>
      </w:pPr>
      <w:r>
        <w:tab/>
        <w:t>[Schedule 2 inserted in Gazette 22 Sep 2006 p. 4125</w:t>
      </w:r>
      <w:r>
        <w:noBreakHyphen/>
        <w:t>6.]</w:t>
      </w:r>
    </w:p>
    <w:p>
      <w:pPr>
        <w:pStyle w:val="yScheduleHeading"/>
      </w:pPr>
      <w:bookmarkStart w:id="140" w:name="_Toc146621512"/>
      <w:bookmarkStart w:id="141" w:name="_Toc146698998"/>
      <w:bookmarkStart w:id="142" w:name="_Toc147642122"/>
      <w:bookmarkStart w:id="143" w:name="_Toc147648931"/>
      <w:r>
        <w:rPr>
          <w:rStyle w:val="CharSchNo"/>
        </w:rPr>
        <w:t>Schedule 3</w:t>
      </w:r>
      <w:r>
        <w:t xml:space="preserve"> — </w:t>
      </w:r>
      <w:r>
        <w:rPr>
          <w:rStyle w:val="CharSchText"/>
        </w:rPr>
        <w:t>Forms</w:t>
      </w:r>
      <w:bookmarkEnd w:id="136"/>
      <w:bookmarkEnd w:id="137"/>
      <w:bookmarkEnd w:id="138"/>
      <w:bookmarkEnd w:id="139"/>
      <w:bookmarkEnd w:id="140"/>
      <w:bookmarkEnd w:id="141"/>
      <w:bookmarkEnd w:id="142"/>
      <w:bookmarkEnd w:id="143"/>
    </w:p>
    <w:p>
      <w:pPr>
        <w:pStyle w:val="yShoulderClause"/>
      </w:pPr>
      <w:r>
        <w:t>[r. 13, 14]</w:t>
      </w:r>
    </w:p>
    <w:p>
      <w:pPr>
        <w:pStyle w:val="ySubsection"/>
        <w:jc w:val="center"/>
      </w:pPr>
      <w:r>
        <w:t>Form 1</w:t>
      </w:r>
    </w:p>
    <w:p>
      <w:pPr>
        <w:pStyle w:val="ySubsection"/>
        <w:jc w:val="center"/>
        <w:rPr>
          <w:i/>
        </w:rPr>
      </w:pPr>
      <w:r>
        <w:rPr>
          <w:i/>
        </w:rPr>
        <w:t>Petroleum Products Pricing Act 1983</w:t>
      </w:r>
    </w:p>
    <w:p>
      <w:pPr>
        <w:pStyle w:val="ySubsection"/>
        <w:jc w:val="center"/>
        <w:rPr>
          <w:b/>
        </w:rPr>
      </w:pPr>
      <w:r>
        <w:rPr>
          <w:b/>
        </w:rPr>
        <w:t>Infringement notice</w:t>
      </w:r>
    </w:p>
    <w:p>
      <w:pPr>
        <w:pStyle w:val="ySubsection"/>
        <w:jc w:val="right"/>
      </w:pPr>
      <w:r>
        <w:t>Serial No ..............</w:t>
      </w:r>
      <w:r>
        <w:tab/>
      </w:r>
      <w:r>
        <w:tab/>
      </w:r>
    </w:p>
    <w:p>
      <w:pPr>
        <w:pStyle w:val="ySubsection"/>
        <w:jc w:val="right"/>
      </w:pPr>
      <w:r>
        <w:t>Date ......./......./.......</w:t>
      </w:r>
    </w:p>
    <w:p>
      <w:pPr>
        <w:pStyle w:val="ySubsection"/>
      </w:pPr>
      <w:r>
        <w:t xml:space="preserve">To: </w:t>
      </w:r>
      <w:r>
        <w:rPr>
          <w:sz w:val="18"/>
          <w:vertAlign w:val="superscript"/>
        </w:rPr>
        <w:t>(1)</w:t>
      </w:r>
      <w:r>
        <w:t xml:space="preserve"> ......................................................................................................................</w:t>
      </w:r>
    </w:p>
    <w:p>
      <w:pPr>
        <w:pStyle w:val="ySubsection"/>
        <w:rPr>
          <w:noProof/>
        </w:rPr>
      </w:pPr>
      <w:r>
        <w:t>of</w:t>
      </w:r>
      <w:r>
        <w:rPr>
          <w:noProof/>
        </w:rPr>
        <w:t xml:space="preserve">: </w:t>
      </w:r>
      <w:r>
        <w:rPr>
          <w:noProof/>
          <w:sz w:val="18"/>
          <w:vertAlign w:val="superscript"/>
        </w:rPr>
        <w:t>(2)</w:t>
      </w:r>
      <w:r>
        <w:rPr>
          <w:noProof/>
        </w:rPr>
        <w:t xml:space="preserve"> .......................................................................................................................</w:t>
      </w:r>
    </w:p>
    <w:p>
      <w:pPr>
        <w:pStyle w:val="ySubsection"/>
        <w:rPr>
          <w:noProof/>
        </w:rPr>
      </w:pPr>
      <w:r>
        <w:rPr>
          <w:noProof/>
        </w:rPr>
        <w:t xml:space="preserve">It is alleged that on ....../....../...... at </w:t>
      </w:r>
      <w:r>
        <w:rPr>
          <w:noProof/>
          <w:sz w:val="18"/>
          <w:vertAlign w:val="superscript"/>
        </w:rPr>
        <w:t>(3)</w:t>
      </w:r>
      <w:r>
        <w:rPr>
          <w:noProof/>
        </w:rPr>
        <w:t xml:space="preserve"> ....................................................................</w:t>
      </w:r>
    </w:p>
    <w:p>
      <w:pPr>
        <w:pStyle w:val="ySubsection"/>
        <w:rPr>
          <w:noProof/>
        </w:rPr>
      </w:pPr>
      <w:r>
        <w:rPr>
          <w:noProof/>
        </w:rPr>
        <w:t xml:space="preserve">at </w:t>
      </w:r>
      <w:r>
        <w:rPr>
          <w:noProof/>
          <w:sz w:val="18"/>
          <w:vertAlign w:val="superscript"/>
        </w:rPr>
        <w:t>(4)</w:t>
      </w:r>
      <w:r>
        <w:rPr>
          <w:noProof/>
        </w:rPr>
        <w:t xml:space="preserve"> .........................................................................................................................</w:t>
      </w:r>
    </w:p>
    <w:p>
      <w:pPr>
        <w:pStyle w:val="ySubsection"/>
        <w:rPr>
          <w:noProof/>
        </w:rPr>
      </w:pPr>
      <w:r>
        <w:rPr>
          <w:noProof/>
        </w:rPr>
        <w:t xml:space="preserve">you committed the following offence — </w:t>
      </w:r>
    </w:p>
    <w:p>
      <w:pPr>
        <w:pStyle w:val="ySubsection"/>
        <w:rPr>
          <w:noProof/>
        </w:rPr>
      </w:pPr>
      <w:r>
        <w:rPr>
          <w:noProof/>
        </w:rPr>
        <w:t>................................................................................................................................</w:t>
      </w:r>
    </w:p>
    <w:p>
      <w:pPr>
        <w:pStyle w:val="ySubsection"/>
        <w:rPr>
          <w:noProof/>
        </w:rPr>
      </w:pPr>
      <w:r>
        <w:rPr>
          <w:noProof/>
        </w:rPr>
        <w:t>................................................................................................................................</w:t>
      </w:r>
    </w:p>
    <w:p>
      <w:pPr>
        <w:pStyle w:val="ySubsection"/>
      </w:pPr>
      <w:r>
        <w:rPr>
          <w:noProof/>
        </w:rPr>
        <w:t>................................................................................................................................</w:t>
      </w:r>
    </w:p>
    <w:p>
      <w:pPr>
        <w:pStyle w:val="ySubsection"/>
        <w:tabs>
          <w:tab w:val="clear" w:pos="879"/>
          <w:tab w:val="left" w:pos="0"/>
        </w:tabs>
        <w:ind w:left="0" w:hanging="28"/>
      </w:pPr>
      <w:r>
        <w:t xml:space="preserve">contrary to section/regulation* </w:t>
      </w:r>
      <w:r>
        <w:rPr>
          <w:sz w:val="18"/>
          <w:vertAlign w:val="superscript"/>
        </w:rPr>
        <w:t>(5)</w:t>
      </w:r>
      <w:r>
        <w:t xml:space="preserve"> ............ of the </w:t>
      </w:r>
      <w:r>
        <w:rPr>
          <w:i/>
        </w:rPr>
        <w:t>Petroleum Products Pricing Act 1983/Petroleum Products Pricing Regulations 2000</w:t>
      </w:r>
      <w:r>
        <w:t>*.</w:t>
      </w:r>
    </w:p>
    <w:p>
      <w:pPr>
        <w:pStyle w:val="ySubsection"/>
        <w:tabs>
          <w:tab w:val="clear" w:pos="879"/>
          <w:tab w:val="left" w:pos="0"/>
        </w:tabs>
        <w:ind w:left="0" w:hanging="28"/>
        <w:jc w:val="both"/>
        <w:rPr>
          <w:sz w:val="20"/>
        </w:rPr>
      </w:pPr>
      <w:r>
        <w:rPr>
          <w:sz w:val="20"/>
        </w:rPr>
        <w:tab/>
      </w:r>
      <w:r>
        <w:rPr>
          <w:sz w:val="20"/>
        </w:rPr>
        <w:tab/>
      </w:r>
      <w:r>
        <w:rPr>
          <w:sz w:val="16"/>
        </w:rPr>
        <w:t>*</w:t>
      </w:r>
      <w:r>
        <w:rPr>
          <w:sz w:val="20"/>
        </w:rPr>
        <w:tab/>
      </w:r>
      <w:r>
        <w:rPr>
          <w:sz w:val="16"/>
        </w:rPr>
        <w:t>Delete as appropriate</w:t>
      </w:r>
      <w:r>
        <w:rPr>
          <w:sz w:val="20"/>
        </w:rPr>
        <w:t>.</w:t>
      </w:r>
    </w:p>
    <w:p>
      <w:pPr>
        <w:pStyle w:val="ySubsection"/>
        <w:tabs>
          <w:tab w:val="clear" w:pos="879"/>
          <w:tab w:val="left" w:pos="0"/>
        </w:tabs>
        <w:ind w:left="0" w:hanging="28"/>
      </w:pPr>
      <w:r>
        <w:t>The modified penalty for the offence is $ ...................</w:t>
      </w:r>
    </w:p>
    <w:p>
      <w:pPr>
        <w:pStyle w:val="ySubsection"/>
        <w:tabs>
          <w:tab w:val="clear" w:pos="879"/>
          <w:tab w:val="left" w:pos="0"/>
        </w:tabs>
        <w:ind w:left="0" w:hanging="28"/>
      </w:pPr>
      <w:r>
        <w:t xml:space="preserve">If you do not wish to have a complaint of the alleged offence heard and determined by a court, the amount of money specified in this notice as the modified penalty may be paid within a period of 28 days after the giving of this notice. Payment may be made by either — </w:t>
      </w:r>
    </w:p>
    <w:p>
      <w:pPr>
        <w:pStyle w:val="yIndenta"/>
      </w:pPr>
      <w:r>
        <w:tab/>
        <w:t>(a)</w:t>
      </w:r>
      <w:r>
        <w:tab/>
        <w:t>posting this form with a cheque, money order or postal note for the specified amount of money, payable to the Prices Commissioner, to the Department of Consumer and Employment Protection, Locked Bag 14, Cloisters Square, Perth WA 6850; or</w:t>
      </w:r>
    </w:p>
    <w:p>
      <w:pPr>
        <w:pStyle w:val="yIndenta"/>
      </w:pPr>
      <w:r>
        <w:tab/>
        <w:t>(b)</w:t>
      </w:r>
      <w:r>
        <w:tab/>
        <w:t xml:space="preserve">presenting this form and paying the specified amount to an authorised person </w:t>
      </w:r>
      <w:r>
        <w:rPr>
          <w:sz w:val="18"/>
          <w:vertAlign w:val="superscript"/>
        </w:rPr>
        <w:t>(6)</w:t>
      </w:r>
      <w:r>
        <w:t xml:space="preserve"> at the Department of Consumer and Employment Protection, Ground Floor, 219 St George’s Terrace, Perth WA 6000.</w:t>
      </w:r>
    </w:p>
    <w:p>
      <w:pPr>
        <w:pStyle w:val="ySubsection"/>
        <w:tabs>
          <w:tab w:val="clear" w:pos="879"/>
          <w:tab w:val="left" w:pos="0"/>
        </w:tabs>
        <w:ind w:left="0" w:hanging="28"/>
        <w:jc w:val="both"/>
      </w:pPr>
      <w:r>
        <w:t>Name and title of authorised person giving this notice ......................................</w:t>
      </w:r>
    </w:p>
    <w:p>
      <w:pPr>
        <w:pStyle w:val="ySubsection"/>
        <w:tabs>
          <w:tab w:val="clear" w:pos="879"/>
          <w:tab w:val="left" w:pos="0"/>
        </w:tabs>
        <w:ind w:left="0" w:hanging="28"/>
        <w:jc w:val="both"/>
      </w:pPr>
      <w:r>
        <w:t>Signature ........................................................</w:t>
      </w:r>
    </w:p>
    <w:p>
      <w:pPr>
        <w:pStyle w:val="ySubsection"/>
        <w:tabs>
          <w:tab w:val="clear" w:pos="879"/>
          <w:tab w:val="left" w:pos="567"/>
        </w:tabs>
        <w:ind w:left="0" w:hanging="28"/>
        <w:rPr>
          <w:sz w:val="16"/>
        </w:rPr>
      </w:pPr>
      <w:r>
        <w:rPr>
          <w:sz w:val="16"/>
        </w:rPr>
        <w:t>(1)</w:t>
      </w:r>
      <w:r>
        <w:rPr>
          <w:sz w:val="16"/>
        </w:rPr>
        <w:tab/>
        <w:t>Name of alleged offender</w:t>
      </w:r>
    </w:p>
    <w:p>
      <w:pPr>
        <w:pStyle w:val="ySubsection"/>
        <w:tabs>
          <w:tab w:val="clear" w:pos="879"/>
          <w:tab w:val="left" w:pos="567"/>
        </w:tabs>
        <w:ind w:left="0" w:hanging="28"/>
        <w:rPr>
          <w:sz w:val="16"/>
        </w:rPr>
      </w:pPr>
      <w:r>
        <w:rPr>
          <w:sz w:val="16"/>
        </w:rPr>
        <w:t>(2)</w:t>
      </w:r>
      <w:r>
        <w:rPr>
          <w:sz w:val="16"/>
        </w:rPr>
        <w:tab/>
        <w:t>Address of alleged offender</w:t>
      </w:r>
    </w:p>
    <w:p>
      <w:pPr>
        <w:pStyle w:val="ySubsection"/>
        <w:tabs>
          <w:tab w:val="clear" w:pos="879"/>
          <w:tab w:val="left" w:pos="567"/>
        </w:tabs>
        <w:ind w:left="0" w:hanging="28"/>
        <w:rPr>
          <w:sz w:val="16"/>
        </w:rPr>
      </w:pPr>
      <w:r>
        <w:rPr>
          <w:sz w:val="16"/>
        </w:rPr>
        <w:t>(3)</w:t>
      </w:r>
      <w:r>
        <w:rPr>
          <w:sz w:val="16"/>
        </w:rPr>
        <w:tab/>
        <w:t>Time at which offence allegedly committed</w:t>
      </w:r>
    </w:p>
    <w:p>
      <w:pPr>
        <w:pStyle w:val="ySubsection"/>
        <w:tabs>
          <w:tab w:val="clear" w:pos="879"/>
          <w:tab w:val="left" w:pos="567"/>
        </w:tabs>
        <w:ind w:left="0" w:hanging="28"/>
        <w:rPr>
          <w:sz w:val="16"/>
        </w:rPr>
      </w:pPr>
      <w:r>
        <w:rPr>
          <w:sz w:val="16"/>
        </w:rPr>
        <w:t>(4)</w:t>
      </w:r>
      <w:r>
        <w:rPr>
          <w:sz w:val="16"/>
        </w:rPr>
        <w:tab/>
        <w:t>Place at which offence allegedly committed</w:t>
      </w:r>
    </w:p>
    <w:p>
      <w:pPr>
        <w:pStyle w:val="ySubsection"/>
        <w:tabs>
          <w:tab w:val="clear" w:pos="879"/>
          <w:tab w:val="left" w:pos="567"/>
        </w:tabs>
        <w:ind w:left="0" w:hanging="28"/>
        <w:rPr>
          <w:sz w:val="16"/>
        </w:rPr>
      </w:pPr>
      <w:r>
        <w:rPr>
          <w:sz w:val="16"/>
        </w:rPr>
        <w:t>(5)</w:t>
      </w:r>
      <w:r>
        <w:rPr>
          <w:sz w:val="16"/>
        </w:rPr>
        <w:tab/>
        <w:t>Section or regulation designation</w:t>
      </w:r>
    </w:p>
    <w:p>
      <w:pPr>
        <w:pStyle w:val="ySubsection"/>
        <w:tabs>
          <w:tab w:val="clear" w:pos="879"/>
          <w:tab w:val="left" w:pos="567"/>
        </w:tabs>
        <w:ind w:left="0" w:hanging="28"/>
        <w:rPr>
          <w:sz w:val="16"/>
        </w:rPr>
      </w:pPr>
      <w:r>
        <w:rPr>
          <w:sz w:val="16"/>
        </w:rPr>
        <w:t>(6)</w:t>
      </w:r>
      <w:r>
        <w:rPr>
          <w:sz w:val="16"/>
        </w:rPr>
        <w:tab/>
        <w:t>Description of authorised persons</w:t>
      </w:r>
    </w:p>
    <w:p>
      <w:pPr>
        <w:pStyle w:val="ySubsection"/>
        <w:pageBreakBefore/>
        <w:tabs>
          <w:tab w:val="clear" w:pos="879"/>
          <w:tab w:val="left" w:pos="567"/>
        </w:tabs>
        <w:spacing w:before="360"/>
        <w:ind w:left="0" w:hanging="28"/>
        <w:jc w:val="center"/>
      </w:pPr>
      <w:r>
        <w:t>Form 2</w:t>
      </w:r>
    </w:p>
    <w:p>
      <w:pPr>
        <w:pStyle w:val="ySubsection"/>
        <w:tabs>
          <w:tab w:val="clear" w:pos="879"/>
          <w:tab w:val="left" w:pos="0"/>
        </w:tabs>
        <w:ind w:left="0" w:hanging="28"/>
        <w:jc w:val="center"/>
        <w:rPr>
          <w:i/>
        </w:rPr>
      </w:pPr>
      <w:r>
        <w:rPr>
          <w:i/>
        </w:rPr>
        <w:t>Petroleum Products Pricing Act 1983</w:t>
      </w:r>
    </w:p>
    <w:p>
      <w:pPr>
        <w:pStyle w:val="ySubsection"/>
        <w:tabs>
          <w:tab w:val="clear" w:pos="879"/>
          <w:tab w:val="left" w:pos="0"/>
        </w:tabs>
        <w:ind w:left="0" w:hanging="28"/>
        <w:jc w:val="center"/>
        <w:rPr>
          <w:b/>
        </w:rPr>
      </w:pPr>
      <w:r>
        <w:rPr>
          <w:b/>
        </w:rPr>
        <w:t>Withdrawal of infringement notice</w:t>
      </w:r>
    </w:p>
    <w:p>
      <w:pPr>
        <w:pStyle w:val="ySubsection"/>
        <w:tabs>
          <w:tab w:val="clear" w:pos="879"/>
          <w:tab w:val="left" w:pos="0"/>
        </w:tabs>
        <w:ind w:left="0" w:hanging="28"/>
        <w:jc w:val="right"/>
      </w:pPr>
      <w:r>
        <w:t>Serial No ...................</w:t>
      </w:r>
      <w:r>
        <w:tab/>
      </w:r>
    </w:p>
    <w:p>
      <w:pPr>
        <w:pStyle w:val="ySubsection"/>
        <w:tabs>
          <w:tab w:val="clear" w:pos="879"/>
          <w:tab w:val="left" w:pos="0"/>
        </w:tabs>
        <w:ind w:left="0" w:hanging="28"/>
        <w:jc w:val="right"/>
      </w:pPr>
      <w:r>
        <w:t>Date ....../......./.......</w:t>
      </w:r>
    </w:p>
    <w:p>
      <w:pPr>
        <w:pStyle w:val="ySubsection"/>
        <w:tabs>
          <w:tab w:val="clear" w:pos="879"/>
          <w:tab w:val="left" w:pos="0"/>
        </w:tabs>
        <w:ind w:left="0" w:hanging="28"/>
      </w:pPr>
      <w:r>
        <w:t xml:space="preserve">To: </w:t>
      </w:r>
      <w:r>
        <w:rPr>
          <w:sz w:val="18"/>
          <w:vertAlign w:val="superscript"/>
        </w:rPr>
        <w:t>(1)</w:t>
      </w:r>
      <w:r>
        <w:t xml:space="preserve"> .......................................................................................................................</w:t>
      </w:r>
    </w:p>
    <w:p>
      <w:pPr>
        <w:pStyle w:val="ySubsection"/>
        <w:tabs>
          <w:tab w:val="clear" w:pos="879"/>
          <w:tab w:val="left" w:pos="0"/>
        </w:tabs>
        <w:ind w:left="0" w:hanging="28"/>
      </w:pPr>
      <w:r>
        <w:t xml:space="preserve">of: </w:t>
      </w:r>
      <w:r>
        <w:rPr>
          <w:sz w:val="18"/>
          <w:vertAlign w:val="superscript"/>
        </w:rPr>
        <w:t>(2)</w:t>
      </w:r>
      <w:r>
        <w:t xml:space="preserve"> ........................................................................................................................</w:t>
      </w:r>
    </w:p>
    <w:p>
      <w:pPr>
        <w:pStyle w:val="ySubsection"/>
        <w:tabs>
          <w:tab w:val="clear" w:pos="879"/>
          <w:tab w:val="left" w:pos="0"/>
        </w:tabs>
        <w:ind w:left="0" w:hanging="28"/>
      </w:pPr>
      <w:r>
        <w:t>Infringement notice No. ........................ dated ......./......./....... for the alleged</w:t>
      </w:r>
    </w:p>
    <w:p>
      <w:pPr>
        <w:pStyle w:val="ySubsection"/>
        <w:tabs>
          <w:tab w:val="clear" w:pos="879"/>
          <w:tab w:val="left" w:pos="0"/>
        </w:tabs>
        <w:ind w:left="0" w:hanging="28"/>
      </w:pPr>
      <w:r>
        <w:t>offence of.................................................................................................................</w:t>
      </w:r>
    </w:p>
    <w:p>
      <w:pPr>
        <w:pStyle w:val="ySubsection"/>
        <w:tabs>
          <w:tab w:val="clear" w:pos="879"/>
          <w:tab w:val="left" w:pos="0"/>
        </w:tabs>
        <w:ind w:left="0" w:hanging="28"/>
      </w:pPr>
      <w:r>
        <w:t>.................................................................................................................................</w:t>
      </w:r>
    </w:p>
    <w:p>
      <w:pPr>
        <w:pStyle w:val="ySubsection"/>
        <w:tabs>
          <w:tab w:val="clear" w:pos="879"/>
          <w:tab w:val="left" w:pos="0"/>
        </w:tabs>
        <w:ind w:left="0" w:hanging="28"/>
      </w:pPr>
      <w:r>
        <w:t>.................................................................................................................................</w:t>
      </w:r>
    </w:p>
    <w:p>
      <w:pPr>
        <w:pStyle w:val="ySubsection"/>
        <w:tabs>
          <w:tab w:val="clear" w:pos="879"/>
          <w:tab w:val="left" w:pos="0"/>
        </w:tabs>
        <w:ind w:left="0" w:hanging="28"/>
      </w:pPr>
      <w:r>
        <w:t>has been withdrawn.</w:t>
      </w:r>
    </w:p>
    <w:p>
      <w:pPr>
        <w:pStyle w:val="ySubsection"/>
        <w:tabs>
          <w:tab w:val="clear" w:pos="879"/>
          <w:tab w:val="left" w:pos="0"/>
        </w:tabs>
        <w:ind w:left="0" w:hanging="28"/>
      </w:pPr>
      <w:r>
        <w:t>The modified penalty of $ ........................</w:t>
      </w:r>
    </w:p>
    <w:p>
      <w:pPr>
        <w:pStyle w:val="ySubsection"/>
        <w:tabs>
          <w:tab w:val="clear" w:pos="879"/>
          <w:tab w:val="left" w:pos="0"/>
        </w:tabs>
        <w:ind w:left="0" w:hanging="28"/>
      </w:pPr>
      <w:r>
        <w:tab/>
      </w:r>
      <w:r>
        <w:tab/>
        <w:t>*</w:t>
      </w:r>
      <w:r>
        <w:tab/>
        <w:t>has been paid and a refund is enclosed.</w:t>
      </w:r>
    </w:p>
    <w:p>
      <w:pPr>
        <w:pStyle w:val="ySubsection"/>
        <w:tabs>
          <w:tab w:val="clear" w:pos="879"/>
          <w:tab w:val="left" w:pos="0"/>
        </w:tabs>
        <w:ind w:left="0" w:hanging="28"/>
      </w:pPr>
      <w:r>
        <w:tab/>
      </w:r>
      <w:r>
        <w:tab/>
        <w:t>*</w:t>
      </w:r>
      <w:r>
        <w:tab/>
        <w:t>has not been paid and should not be paid.</w:t>
      </w:r>
    </w:p>
    <w:p>
      <w:pPr>
        <w:pStyle w:val="ySubsection"/>
        <w:tabs>
          <w:tab w:val="clear" w:pos="879"/>
          <w:tab w:val="left" w:pos="0"/>
        </w:tabs>
        <w:ind w:left="0" w:hanging="28"/>
        <w:rPr>
          <w:sz w:val="16"/>
        </w:rPr>
      </w:pPr>
      <w:r>
        <w:rPr>
          <w:sz w:val="16"/>
        </w:rPr>
        <w:tab/>
      </w:r>
      <w:r>
        <w:rPr>
          <w:sz w:val="16"/>
        </w:rPr>
        <w:tab/>
        <w:t>*</w:t>
      </w:r>
      <w:r>
        <w:rPr>
          <w:sz w:val="16"/>
        </w:rPr>
        <w:tab/>
        <w:t>Delete as appropriate</w:t>
      </w:r>
    </w:p>
    <w:p>
      <w:pPr>
        <w:pStyle w:val="ySubsection"/>
        <w:tabs>
          <w:tab w:val="clear" w:pos="879"/>
          <w:tab w:val="left" w:pos="0"/>
        </w:tabs>
        <w:ind w:left="0" w:hanging="28"/>
      </w:pPr>
      <w:r>
        <w:t>Name and title of authorised person giving this notice .........................................</w:t>
      </w:r>
    </w:p>
    <w:p>
      <w:pPr>
        <w:pStyle w:val="ySubsection"/>
        <w:tabs>
          <w:tab w:val="clear" w:pos="879"/>
          <w:tab w:val="left" w:pos="0"/>
        </w:tabs>
        <w:ind w:left="0" w:hanging="28"/>
      </w:pPr>
      <w:r>
        <w:t>Signature .....................................</w:t>
      </w:r>
    </w:p>
    <w:p>
      <w:pPr>
        <w:pStyle w:val="ySubsection"/>
        <w:tabs>
          <w:tab w:val="clear" w:pos="879"/>
          <w:tab w:val="left" w:pos="567"/>
        </w:tabs>
        <w:ind w:left="0" w:hanging="28"/>
        <w:rPr>
          <w:sz w:val="16"/>
        </w:rPr>
      </w:pPr>
      <w:r>
        <w:rPr>
          <w:sz w:val="16"/>
        </w:rPr>
        <w:t>(1)</w:t>
      </w:r>
      <w:r>
        <w:rPr>
          <w:sz w:val="16"/>
        </w:rPr>
        <w:tab/>
        <w:t>Name of alleged offender given the infringement notice</w:t>
      </w:r>
    </w:p>
    <w:p>
      <w:pPr>
        <w:pStyle w:val="ySubsection"/>
        <w:tabs>
          <w:tab w:val="clear" w:pos="879"/>
          <w:tab w:val="left" w:pos="567"/>
        </w:tabs>
        <w:ind w:left="0" w:hanging="28"/>
        <w:rPr>
          <w:sz w:val="16"/>
        </w:rPr>
      </w:pPr>
      <w:r>
        <w:rPr>
          <w:sz w:val="16"/>
        </w:rPr>
        <w:t>(2)</w:t>
      </w:r>
      <w:r>
        <w:rPr>
          <w:sz w:val="16"/>
        </w:rPr>
        <w:tab/>
        <w:t>Address of alleged offender</w:t>
      </w:r>
    </w:p>
    <w:p>
      <w:pPr>
        <w:pStyle w:val="yFootnotesection"/>
      </w:pPr>
      <w:r>
        <w:tab/>
        <w:t>[Schedule 3 inserted in Gazette 9 Nov 2001 p. 5927</w:t>
      </w:r>
      <w:r>
        <w:noBreakHyphen/>
        <w:t>9.]</w:t>
      </w:r>
    </w:p>
    <w:p>
      <w:pPr>
        <w:sectPr>
          <w:headerReference w:type="even" r:id="rId28"/>
          <w:headerReference w:type="default" r:id="rId29"/>
          <w:headerReference w:type="first" r:id="rId30"/>
          <w:pgSz w:w="11906" w:h="16838" w:code="9"/>
          <w:pgMar w:top="2381" w:right="2409" w:bottom="3543" w:left="2409" w:header="720" w:footer="3380" w:gutter="0"/>
          <w:cols w:space="720"/>
          <w:noEndnote/>
          <w:docGrid w:linePitch="326"/>
        </w:sectPr>
      </w:pPr>
    </w:p>
    <w:p>
      <w:pPr>
        <w:pStyle w:val="nHeading2"/>
      </w:pPr>
      <w:bookmarkStart w:id="144" w:name="_Toc121884972"/>
      <w:bookmarkStart w:id="145" w:name="_Toc121885039"/>
      <w:bookmarkStart w:id="146" w:name="_Toc121887046"/>
      <w:bookmarkStart w:id="147" w:name="_Toc124149204"/>
      <w:bookmarkStart w:id="148" w:name="_Toc146621513"/>
      <w:bookmarkStart w:id="149" w:name="_Toc146698999"/>
      <w:bookmarkStart w:id="150" w:name="_Toc147642123"/>
      <w:bookmarkStart w:id="151" w:name="_Toc147648932"/>
      <w:r>
        <w:t>Notes</w:t>
      </w:r>
      <w:bookmarkEnd w:id="144"/>
      <w:bookmarkEnd w:id="145"/>
      <w:bookmarkEnd w:id="146"/>
      <w:bookmarkEnd w:id="147"/>
      <w:bookmarkEnd w:id="148"/>
      <w:bookmarkEnd w:id="149"/>
      <w:bookmarkEnd w:id="150"/>
      <w:bookmarkEnd w:id="151"/>
    </w:p>
    <w:p>
      <w:pPr>
        <w:pStyle w:val="nSubsection"/>
        <w:rPr>
          <w:snapToGrid w:val="0"/>
        </w:rPr>
      </w:pPr>
      <w:r>
        <w:rPr>
          <w:snapToGrid w:val="0"/>
          <w:vertAlign w:val="superscript"/>
        </w:rPr>
        <w:t>1</w:t>
      </w:r>
      <w:r>
        <w:rPr>
          <w:snapToGrid w:val="0"/>
        </w:rPr>
        <w:tab/>
        <w:t xml:space="preserve">This is a compilation of the </w:t>
      </w:r>
      <w:r>
        <w:rPr>
          <w:i/>
        </w:rPr>
        <w:t>Petroleum Products Pricing Regulations 2000</w:t>
      </w:r>
      <w:r>
        <w:rPr>
          <w:snapToGrid w:val="0"/>
        </w:rPr>
        <w:t xml:space="preserve"> and includes the amendments made by the other written laws referred to in the following table.  </w:t>
      </w:r>
      <w:r>
        <w:t>The table also contains information about any reprint.</w:t>
      </w:r>
    </w:p>
    <w:p>
      <w:pPr>
        <w:pStyle w:val="nHeading3"/>
      </w:pPr>
      <w:bookmarkStart w:id="152" w:name="_Toc121884973"/>
      <w:bookmarkStart w:id="153" w:name="_Toc147648933"/>
      <w:r>
        <w:t>Compilation table</w:t>
      </w:r>
      <w:bookmarkEnd w:id="152"/>
      <w:bookmarkEnd w:id="153"/>
    </w:p>
    <w:tbl>
      <w:tblPr>
        <w:tblW w:w="0" w:type="auto"/>
        <w:tblInd w:w="28" w:type="dxa"/>
        <w:tblLayout w:type="fixed"/>
        <w:tblCellMar>
          <w:left w:w="28" w:type="dxa"/>
          <w:right w:w="28"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12" w:space="0" w:color="auto"/>
              <w:bottom w:val="single" w:sz="12" w:space="0" w:color="auto"/>
            </w:tcBorders>
          </w:tcPr>
          <w:p>
            <w:pPr>
              <w:pStyle w:val="nTable"/>
              <w:spacing w:before="60" w:after="60"/>
              <w:ind w:right="113"/>
              <w:rPr>
                <w:b/>
                <w:sz w:val="19"/>
              </w:rPr>
            </w:pPr>
            <w:r>
              <w:rPr>
                <w:b/>
                <w:sz w:val="19"/>
              </w:rPr>
              <w:t>Citation</w:t>
            </w:r>
          </w:p>
        </w:tc>
        <w:tc>
          <w:tcPr>
            <w:tcW w:w="1276" w:type="dxa"/>
            <w:tcBorders>
              <w:top w:val="single" w:sz="12" w:space="0" w:color="auto"/>
              <w:bottom w:val="single" w:sz="12" w:space="0" w:color="auto"/>
            </w:tcBorders>
          </w:tcPr>
          <w:p>
            <w:pPr>
              <w:pStyle w:val="nTable"/>
              <w:spacing w:before="60" w:after="60"/>
              <w:rPr>
                <w:b/>
                <w:sz w:val="19"/>
              </w:rPr>
            </w:pPr>
            <w:r>
              <w:rPr>
                <w:b/>
                <w:sz w:val="19"/>
              </w:rPr>
              <w:t>Gazettal</w:t>
            </w:r>
          </w:p>
        </w:tc>
        <w:tc>
          <w:tcPr>
            <w:tcW w:w="2693"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3119" w:type="dxa"/>
          </w:tcPr>
          <w:p>
            <w:pPr>
              <w:pStyle w:val="nTable"/>
              <w:spacing w:before="120"/>
              <w:ind w:right="113"/>
              <w:rPr>
                <w:sz w:val="19"/>
              </w:rPr>
            </w:pPr>
            <w:r>
              <w:rPr>
                <w:i/>
                <w:sz w:val="19"/>
              </w:rPr>
              <w:t>Petroleum Products Pricing Regulations 2000</w:t>
            </w:r>
          </w:p>
        </w:tc>
        <w:tc>
          <w:tcPr>
            <w:tcW w:w="1276" w:type="dxa"/>
          </w:tcPr>
          <w:p>
            <w:pPr>
              <w:pStyle w:val="nTable"/>
              <w:spacing w:before="120"/>
              <w:rPr>
                <w:sz w:val="19"/>
              </w:rPr>
            </w:pPr>
            <w:r>
              <w:rPr>
                <w:sz w:val="19"/>
              </w:rPr>
              <w:t>29 Dec 2000 p. 7981</w:t>
            </w:r>
            <w:r>
              <w:rPr>
                <w:sz w:val="19"/>
              </w:rPr>
              <w:noBreakHyphen/>
              <w:t>5</w:t>
            </w:r>
          </w:p>
        </w:tc>
        <w:tc>
          <w:tcPr>
            <w:tcW w:w="2693" w:type="dxa"/>
          </w:tcPr>
          <w:p>
            <w:pPr>
              <w:pStyle w:val="nTable"/>
              <w:spacing w:before="120"/>
              <w:rPr>
                <w:sz w:val="19"/>
              </w:rPr>
            </w:pPr>
            <w:r>
              <w:rPr>
                <w:sz w:val="19"/>
              </w:rPr>
              <w:t>1 Jan 2001 (see r. 2)</w:t>
            </w:r>
          </w:p>
        </w:tc>
      </w:tr>
      <w:tr>
        <w:trPr>
          <w:cantSplit/>
        </w:trPr>
        <w:tc>
          <w:tcPr>
            <w:tcW w:w="3119" w:type="dxa"/>
          </w:tcPr>
          <w:p>
            <w:pPr>
              <w:pStyle w:val="nTable"/>
              <w:spacing w:before="120"/>
              <w:ind w:right="113"/>
              <w:rPr>
                <w:i/>
                <w:sz w:val="19"/>
              </w:rPr>
            </w:pPr>
            <w:r>
              <w:rPr>
                <w:i/>
                <w:sz w:val="19"/>
              </w:rPr>
              <w:t>Petroleum Products Pricing Amendment Regulations 2001</w:t>
            </w:r>
            <w:r>
              <w:rPr>
                <w:vertAlign w:val="superscript"/>
              </w:rPr>
              <w:t> 2</w:t>
            </w:r>
          </w:p>
        </w:tc>
        <w:tc>
          <w:tcPr>
            <w:tcW w:w="1276" w:type="dxa"/>
          </w:tcPr>
          <w:p>
            <w:pPr>
              <w:pStyle w:val="nTable"/>
              <w:spacing w:before="120"/>
              <w:rPr>
                <w:sz w:val="19"/>
              </w:rPr>
            </w:pPr>
            <w:r>
              <w:rPr>
                <w:sz w:val="19"/>
              </w:rPr>
              <w:t>11 Jul 2001 p. 3457</w:t>
            </w:r>
            <w:r>
              <w:rPr>
                <w:sz w:val="19"/>
              </w:rPr>
              <w:noBreakHyphen/>
              <w:t>62</w:t>
            </w:r>
          </w:p>
        </w:tc>
        <w:tc>
          <w:tcPr>
            <w:tcW w:w="2693" w:type="dxa"/>
          </w:tcPr>
          <w:p>
            <w:pPr>
              <w:pStyle w:val="nTable"/>
              <w:spacing w:before="120"/>
              <w:rPr>
                <w:sz w:val="19"/>
              </w:rPr>
            </w:pPr>
            <w:r>
              <w:rPr>
                <w:sz w:val="19"/>
              </w:rPr>
              <w:t>12 Jul 2001 (see r. 2)</w:t>
            </w:r>
          </w:p>
        </w:tc>
      </w:tr>
      <w:tr>
        <w:trPr>
          <w:cantSplit/>
        </w:trPr>
        <w:tc>
          <w:tcPr>
            <w:tcW w:w="3119" w:type="dxa"/>
          </w:tcPr>
          <w:p>
            <w:pPr>
              <w:pStyle w:val="nTable"/>
              <w:spacing w:before="120"/>
              <w:ind w:right="113"/>
              <w:rPr>
                <w:i/>
                <w:sz w:val="19"/>
              </w:rPr>
            </w:pPr>
            <w:r>
              <w:rPr>
                <w:i/>
                <w:sz w:val="19"/>
              </w:rPr>
              <w:t>Petroleum Products Pricing Amendment Regulations (No. 2) 2001</w:t>
            </w:r>
          </w:p>
        </w:tc>
        <w:tc>
          <w:tcPr>
            <w:tcW w:w="1276" w:type="dxa"/>
          </w:tcPr>
          <w:p>
            <w:pPr>
              <w:pStyle w:val="nTable"/>
              <w:spacing w:before="120"/>
              <w:rPr>
                <w:sz w:val="19"/>
              </w:rPr>
            </w:pPr>
            <w:r>
              <w:rPr>
                <w:sz w:val="19"/>
              </w:rPr>
              <w:t>23 Aug 2001 p. 4378</w:t>
            </w:r>
            <w:r>
              <w:rPr>
                <w:sz w:val="19"/>
              </w:rPr>
              <w:noBreakHyphen/>
              <w:t>81</w:t>
            </w:r>
          </w:p>
        </w:tc>
        <w:tc>
          <w:tcPr>
            <w:tcW w:w="2693" w:type="dxa"/>
          </w:tcPr>
          <w:p>
            <w:pPr>
              <w:pStyle w:val="nTable"/>
              <w:spacing w:before="120"/>
              <w:rPr>
                <w:sz w:val="19"/>
              </w:rPr>
            </w:pPr>
            <w:r>
              <w:rPr>
                <w:sz w:val="19"/>
              </w:rPr>
              <w:t xml:space="preserve">24 Aug 2001 (see r. 2 and </w:t>
            </w:r>
            <w:r>
              <w:rPr>
                <w:i/>
                <w:sz w:val="19"/>
              </w:rPr>
              <w:t>Gazette</w:t>
            </w:r>
            <w:r>
              <w:rPr>
                <w:sz w:val="19"/>
              </w:rPr>
              <w:t xml:space="preserve"> 23 Aug 2001 p. 4377)</w:t>
            </w:r>
          </w:p>
        </w:tc>
      </w:tr>
      <w:tr>
        <w:trPr>
          <w:cantSplit/>
        </w:trPr>
        <w:tc>
          <w:tcPr>
            <w:tcW w:w="3119" w:type="dxa"/>
          </w:tcPr>
          <w:p>
            <w:pPr>
              <w:pStyle w:val="nTable"/>
              <w:spacing w:before="120"/>
              <w:ind w:right="113"/>
              <w:rPr>
                <w:i/>
                <w:sz w:val="19"/>
              </w:rPr>
            </w:pPr>
            <w:r>
              <w:rPr>
                <w:i/>
                <w:sz w:val="19"/>
              </w:rPr>
              <w:t>Petroleum Products Pricing Amendment Regulations (No. 3) 2001</w:t>
            </w:r>
          </w:p>
        </w:tc>
        <w:tc>
          <w:tcPr>
            <w:tcW w:w="1276" w:type="dxa"/>
          </w:tcPr>
          <w:p>
            <w:pPr>
              <w:pStyle w:val="nTable"/>
              <w:spacing w:before="120"/>
              <w:rPr>
                <w:sz w:val="19"/>
              </w:rPr>
            </w:pPr>
            <w:r>
              <w:rPr>
                <w:sz w:val="19"/>
              </w:rPr>
              <w:t>9 Nov 2001 p. 5925</w:t>
            </w:r>
            <w:r>
              <w:rPr>
                <w:sz w:val="19"/>
              </w:rPr>
              <w:noBreakHyphen/>
              <w:t>9</w:t>
            </w:r>
          </w:p>
        </w:tc>
        <w:tc>
          <w:tcPr>
            <w:tcW w:w="2693" w:type="dxa"/>
          </w:tcPr>
          <w:p>
            <w:pPr>
              <w:pStyle w:val="nTable"/>
              <w:spacing w:before="120"/>
              <w:rPr>
                <w:sz w:val="19"/>
              </w:rPr>
            </w:pPr>
            <w:r>
              <w:rPr>
                <w:sz w:val="19"/>
              </w:rPr>
              <w:t>9 Nov 2001</w:t>
            </w:r>
          </w:p>
        </w:tc>
      </w:tr>
      <w:tr>
        <w:trPr>
          <w:cantSplit/>
        </w:trPr>
        <w:tc>
          <w:tcPr>
            <w:tcW w:w="3119" w:type="dxa"/>
          </w:tcPr>
          <w:p>
            <w:pPr>
              <w:pStyle w:val="nTable"/>
              <w:spacing w:before="120"/>
              <w:ind w:right="113"/>
              <w:rPr>
                <w:i/>
                <w:sz w:val="19"/>
              </w:rPr>
            </w:pPr>
            <w:r>
              <w:rPr>
                <w:i/>
                <w:sz w:val="19"/>
              </w:rPr>
              <w:t>Petroleum Products Pricing Amendment Regulations (No. 4) 2001</w:t>
            </w:r>
            <w:r>
              <w:rPr>
                <w:vertAlign w:val="superscript"/>
              </w:rPr>
              <w:t> 3</w:t>
            </w:r>
          </w:p>
        </w:tc>
        <w:tc>
          <w:tcPr>
            <w:tcW w:w="1276" w:type="dxa"/>
          </w:tcPr>
          <w:p>
            <w:pPr>
              <w:pStyle w:val="nTable"/>
              <w:spacing w:before="120"/>
              <w:rPr>
                <w:sz w:val="19"/>
              </w:rPr>
            </w:pPr>
            <w:r>
              <w:rPr>
                <w:sz w:val="19"/>
              </w:rPr>
              <w:t>16 Nov 2001 p. 5981</w:t>
            </w:r>
            <w:r>
              <w:rPr>
                <w:sz w:val="19"/>
              </w:rPr>
              <w:noBreakHyphen/>
              <w:t>2</w:t>
            </w:r>
          </w:p>
        </w:tc>
        <w:tc>
          <w:tcPr>
            <w:tcW w:w="2693" w:type="dxa"/>
          </w:tcPr>
          <w:p>
            <w:pPr>
              <w:pStyle w:val="nTable"/>
              <w:spacing w:before="120"/>
              <w:rPr>
                <w:sz w:val="19"/>
              </w:rPr>
            </w:pPr>
            <w:r>
              <w:rPr>
                <w:sz w:val="19"/>
              </w:rPr>
              <w:t>23 Nov 2001 (see r. 2)</w:t>
            </w:r>
          </w:p>
        </w:tc>
      </w:tr>
      <w:tr>
        <w:trPr>
          <w:cantSplit/>
        </w:trPr>
        <w:tc>
          <w:tcPr>
            <w:tcW w:w="3119" w:type="dxa"/>
          </w:tcPr>
          <w:p>
            <w:pPr>
              <w:pStyle w:val="nTable"/>
              <w:spacing w:before="120"/>
              <w:ind w:right="113"/>
              <w:rPr>
                <w:i/>
                <w:sz w:val="19"/>
              </w:rPr>
            </w:pPr>
            <w:r>
              <w:rPr>
                <w:i/>
                <w:sz w:val="19"/>
              </w:rPr>
              <w:t>Petroleum Products Pricing Amendment Regulations (No. 5) 2001</w:t>
            </w:r>
          </w:p>
        </w:tc>
        <w:tc>
          <w:tcPr>
            <w:tcW w:w="1276" w:type="dxa"/>
          </w:tcPr>
          <w:p>
            <w:pPr>
              <w:pStyle w:val="nTable"/>
              <w:spacing w:before="120"/>
              <w:rPr>
                <w:sz w:val="19"/>
              </w:rPr>
            </w:pPr>
            <w:r>
              <w:rPr>
                <w:sz w:val="19"/>
              </w:rPr>
              <w:t>31 Dec 2001 p. 6764</w:t>
            </w:r>
            <w:r>
              <w:rPr>
                <w:sz w:val="19"/>
              </w:rPr>
              <w:noBreakHyphen/>
              <w:t>5</w:t>
            </w:r>
          </w:p>
        </w:tc>
        <w:tc>
          <w:tcPr>
            <w:tcW w:w="2693" w:type="dxa"/>
          </w:tcPr>
          <w:p>
            <w:pPr>
              <w:pStyle w:val="nTable"/>
              <w:spacing w:before="120"/>
              <w:rPr>
                <w:sz w:val="19"/>
              </w:rPr>
            </w:pPr>
            <w:r>
              <w:rPr>
                <w:sz w:val="19"/>
              </w:rPr>
              <w:t xml:space="preserve">1 Jan 2002 (see r. 2 and </w:t>
            </w:r>
            <w:r>
              <w:rPr>
                <w:i/>
                <w:sz w:val="19"/>
              </w:rPr>
              <w:t xml:space="preserve">Gazette </w:t>
            </w:r>
            <w:r>
              <w:rPr>
                <w:sz w:val="19"/>
              </w:rPr>
              <w:t>31 Dec 2001 p. 6761)</w:t>
            </w:r>
          </w:p>
        </w:tc>
      </w:tr>
      <w:tr>
        <w:trPr>
          <w:cantSplit/>
        </w:trPr>
        <w:tc>
          <w:tcPr>
            <w:tcW w:w="7088" w:type="dxa"/>
            <w:gridSpan w:val="3"/>
          </w:tcPr>
          <w:p>
            <w:pPr>
              <w:pStyle w:val="nTable"/>
              <w:spacing w:before="120"/>
              <w:rPr>
                <w:sz w:val="19"/>
              </w:rPr>
            </w:pPr>
            <w:r>
              <w:rPr>
                <w:b/>
                <w:sz w:val="19"/>
              </w:rPr>
              <w:t xml:space="preserve">Reprint of the </w:t>
            </w:r>
            <w:r>
              <w:rPr>
                <w:b/>
                <w:i/>
                <w:sz w:val="19"/>
              </w:rPr>
              <w:t>Petroleum Products Pricing Regulations 2000</w:t>
            </w:r>
            <w:r>
              <w:rPr>
                <w:b/>
                <w:sz w:val="19"/>
              </w:rPr>
              <w:t xml:space="preserve"> as at 19 Apr 2002</w:t>
            </w:r>
            <w:r>
              <w:rPr>
                <w:sz w:val="19"/>
              </w:rPr>
              <w:br/>
              <w:t>(includes amendments listed above)</w:t>
            </w:r>
          </w:p>
        </w:tc>
      </w:tr>
      <w:tr>
        <w:trPr>
          <w:cantSplit/>
        </w:trPr>
        <w:tc>
          <w:tcPr>
            <w:tcW w:w="3119" w:type="dxa"/>
          </w:tcPr>
          <w:p>
            <w:pPr>
              <w:pStyle w:val="nTable"/>
              <w:spacing w:before="120"/>
              <w:ind w:right="113"/>
              <w:rPr>
                <w:sz w:val="19"/>
              </w:rPr>
            </w:pPr>
            <w:r>
              <w:rPr>
                <w:i/>
                <w:sz w:val="19"/>
              </w:rPr>
              <w:t>Petroleum Products Pricing Amendment Regulations 2003</w:t>
            </w:r>
            <w:r>
              <w:rPr>
                <w:sz w:val="19"/>
              </w:rPr>
              <w:t xml:space="preserve"> </w:t>
            </w:r>
            <w:r>
              <w:rPr>
                <w:sz w:val="19"/>
                <w:vertAlign w:val="superscript"/>
              </w:rPr>
              <w:t>4</w:t>
            </w:r>
          </w:p>
        </w:tc>
        <w:tc>
          <w:tcPr>
            <w:tcW w:w="1276" w:type="dxa"/>
          </w:tcPr>
          <w:p>
            <w:pPr>
              <w:pStyle w:val="nTable"/>
              <w:spacing w:before="120"/>
              <w:rPr>
                <w:sz w:val="19"/>
              </w:rPr>
            </w:pPr>
            <w:r>
              <w:rPr>
                <w:sz w:val="19"/>
              </w:rPr>
              <w:t>13 May 2003 p. 1665-6</w:t>
            </w:r>
          </w:p>
        </w:tc>
        <w:tc>
          <w:tcPr>
            <w:tcW w:w="2693" w:type="dxa"/>
          </w:tcPr>
          <w:p>
            <w:pPr>
              <w:pStyle w:val="nTable"/>
              <w:spacing w:before="120"/>
              <w:rPr>
                <w:sz w:val="19"/>
              </w:rPr>
            </w:pPr>
            <w:r>
              <w:rPr>
                <w:sz w:val="19"/>
              </w:rPr>
              <w:t>20 May 2003 (see r. 2)</w:t>
            </w:r>
          </w:p>
        </w:tc>
      </w:tr>
      <w:tr>
        <w:trPr>
          <w:cantSplit/>
        </w:trPr>
        <w:tc>
          <w:tcPr>
            <w:tcW w:w="3119" w:type="dxa"/>
          </w:tcPr>
          <w:p>
            <w:pPr>
              <w:pStyle w:val="nTable"/>
              <w:spacing w:before="120"/>
              <w:ind w:right="113"/>
              <w:rPr>
                <w:i/>
                <w:sz w:val="19"/>
              </w:rPr>
            </w:pPr>
            <w:r>
              <w:rPr>
                <w:i/>
                <w:sz w:val="19"/>
              </w:rPr>
              <w:t>Petroleum Products Pricing Amendment Regulations 2005</w:t>
            </w:r>
          </w:p>
        </w:tc>
        <w:tc>
          <w:tcPr>
            <w:tcW w:w="1276" w:type="dxa"/>
          </w:tcPr>
          <w:p>
            <w:pPr>
              <w:pStyle w:val="nTable"/>
              <w:spacing w:before="120"/>
              <w:rPr>
                <w:sz w:val="19"/>
              </w:rPr>
            </w:pPr>
            <w:r>
              <w:rPr>
                <w:sz w:val="19"/>
              </w:rPr>
              <w:t>9 Dec 2005 p. 5875-6</w:t>
            </w:r>
          </w:p>
        </w:tc>
        <w:tc>
          <w:tcPr>
            <w:tcW w:w="2693" w:type="dxa"/>
          </w:tcPr>
          <w:p>
            <w:pPr>
              <w:pStyle w:val="nTable"/>
              <w:spacing w:before="120"/>
              <w:rPr>
                <w:sz w:val="19"/>
              </w:rPr>
            </w:pPr>
            <w:r>
              <w:rPr>
                <w:sz w:val="19"/>
              </w:rPr>
              <w:t>1 Jan 2006 (see r. 2)</w:t>
            </w:r>
          </w:p>
        </w:tc>
      </w:tr>
      <w:tr>
        <w:trPr>
          <w:cantSplit/>
        </w:trPr>
        <w:tc>
          <w:tcPr>
            <w:tcW w:w="3119" w:type="dxa"/>
          </w:tcPr>
          <w:p>
            <w:pPr>
              <w:pStyle w:val="nTable"/>
              <w:spacing w:before="120"/>
              <w:ind w:right="113"/>
              <w:rPr>
                <w:i/>
                <w:sz w:val="19"/>
              </w:rPr>
            </w:pPr>
            <w:r>
              <w:rPr>
                <w:i/>
                <w:sz w:val="19"/>
              </w:rPr>
              <w:t>Petroleum Products Pricing Amendment Regulations 2006</w:t>
            </w:r>
          </w:p>
        </w:tc>
        <w:tc>
          <w:tcPr>
            <w:tcW w:w="1276" w:type="dxa"/>
          </w:tcPr>
          <w:p>
            <w:pPr>
              <w:pStyle w:val="nTable"/>
              <w:spacing w:before="120"/>
              <w:rPr>
                <w:sz w:val="19"/>
              </w:rPr>
            </w:pPr>
            <w:r>
              <w:rPr>
                <w:sz w:val="19"/>
              </w:rPr>
              <w:t>22 Sep 2006 p. 4125</w:t>
            </w:r>
            <w:r>
              <w:rPr>
                <w:sz w:val="19"/>
              </w:rPr>
              <w:noBreakHyphen/>
              <w:t>6</w:t>
            </w:r>
          </w:p>
        </w:tc>
        <w:tc>
          <w:tcPr>
            <w:tcW w:w="2693" w:type="dxa"/>
          </w:tcPr>
          <w:p>
            <w:pPr>
              <w:pStyle w:val="nTable"/>
              <w:spacing w:before="120"/>
              <w:rPr>
                <w:sz w:val="19"/>
              </w:rPr>
            </w:pPr>
            <w:r>
              <w:rPr>
                <w:sz w:val="19"/>
              </w:rPr>
              <w:t xml:space="preserve">22 Sep 2006 </w:t>
            </w:r>
          </w:p>
        </w:tc>
      </w:tr>
      <w:tr>
        <w:trPr>
          <w:cantSplit/>
        </w:trPr>
        <w:tc>
          <w:tcPr>
            <w:tcW w:w="3119" w:type="dxa"/>
            <w:tcBorders>
              <w:bottom w:val="single" w:sz="4" w:space="0" w:color="auto"/>
            </w:tcBorders>
          </w:tcPr>
          <w:p>
            <w:pPr>
              <w:pStyle w:val="nTable"/>
              <w:spacing w:before="120"/>
              <w:ind w:right="113"/>
              <w:rPr>
                <w:i/>
                <w:sz w:val="19"/>
              </w:rPr>
            </w:pPr>
            <w:r>
              <w:rPr>
                <w:i/>
                <w:sz w:val="19"/>
              </w:rPr>
              <w:t>Petroleum Products Pricing Amendment Regulations (No. 2) 2006</w:t>
            </w:r>
          </w:p>
        </w:tc>
        <w:tc>
          <w:tcPr>
            <w:tcW w:w="1276" w:type="dxa"/>
            <w:tcBorders>
              <w:bottom w:val="single" w:sz="4" w:space="0" w:color="auto"/>
            </w:tcBorders>
          </w:tcPr>
          <w:p>
            <w:pPr>
              <w:pStyle w:val="nTable"/>
              <w:spacing w:before="120"/>
              <w:rPr>
                <w:sz w:val="19"/>
              </w:rPr>
            </w:pPr>
            <w:r>
              <w:rPr>
                <w:sz w:val="19"/>
              </w:rPr>
              <w:t>3 Oct 2006 p. 4337</w:t>
            </w:r>
          </w:p>
        </w:tc>
        <w:tc>
          <w:tcPr>
            <w:tcW w:w="2693" w:type="dxa"/>
            <w:tcBorders>
              <w:bottom w:val="single" w:sz="4" w:space="0" w:color="auto"/>
            </w:tcBorders>
          </w:tcPr>
          <w:p>
            <w:pPr>
              <w:pStyle w:val="nTable"/>
              <w:spacing w:before="120"/>
              <w:rPr>
                <w:sz w:val="19"/>
              </w:rPr>
            </w:pPr>
            <w:r>
              <w:rPr>
                <w:sz w:val="19"/>
              </w:rPr>
              <w:t>3 Oct 2006</w:t>
            </w:r>
          </w:p>
        </w:tc>
      </w:tr>
    </w:tbl>
    <w:p>
      <w:pPr>
        <w:pStyle w:val="nSubsection"/>
      </w:pPr>
      <w:bookmarkStart w:id="154" w:name="UpToHere"/>
      <w:bookmarkEnd w:id="154"/>
      <w:r>
        <w:rPr>
          <w:vertAlign w:val="superscript"/>
        </w:rPr>
        <w:t>2</w:t>
      </w:r>
      <w:r>
        <w:tab/>
        <w:t xml:space="preserve">The </w:t>
      </w:r>
      <w:r>
        <w:rPr>
          <w:i/>
        </w:rPr>
        <w:t>Petroleum Products Pricing Amendment Regulations 2001</w:t>
      </w:r>
      <w:r>
        <w:t xml:space="preserve"> r. 8 reads as follows: </w:t>
      </w:r>
    </w:p>
    <w:p>
      <w:pPr>
        <w:pStyle w:val="MiscOpen"/>
      </w:pPr>
      <w:r>
        <w:t>“</w:t>
      </w:r>
    </w:p>
    <w:p>
      <w:pPr>
        <w:pStyle w:val="nzHeading5"/>
      </w:pPr>
      <w:r>
        <w:t>8.</w:t>
      </w:r>
      <w:r>
        <w:tab/>
        <w:t>Defence during transitional period</w:t>
      </w:r>
    </w:p>
    <w:p>
      <w:pPr>
        <w:pStyle w:val="nzSubsection"/>
      </w:pPr>
      <w:r>
        <w:tab/>
        <w:t>(1)</w:t>
      </w:r>
      <w:r>
        <w:tab/>
        <w:t>It is a defence to a charge of an offence against regulation 6(1) of the Petroleum Products Pricing Regulations 2000 that was alleged to have been committed during the transitional period to prove that the person charged did not have any sign or other thing that the person would have needed to be able to comply with regulation 6 of those regulations despite the person having taken all reasonable steps to ensure that everything needed was available.</w:t>
      </w:r>
    </w:p>
    <w:p>
      <w:pPr>
        <w:pStyle w:val="nzSubsection"/>
      </w:pPr>
      <w:r>
        <w:tab/>
        <w:t>(2)</w:t>
      </w:r>
      <w:r>
        <w:tab/>
        <w:t xml:space="preserve">In subregulation (1) — </w:t>
      </w:r>
    </w:p>
    <w:p>
      <w:pPr>
        <w:pStyle w:val="nzDefstart"/>
      </w:pPr>
      <w:r>
        <w:tab/>
      </w:r>
      <w:r>
        <w:rPr>
          <w:b/>
        </w:rPr>
        <w:t>“</w:t>
      </w:r>
      <w:r>
        <w:rPr>
          <w:rStyle w:val="CharDefText"/>
        </w:rPr>
        <w:t>transitional period</w:t>
      </w:r>
      <w:r>
        <w:rPr>
          <w:b/>
        </w:rPr>
        <w:t>”</w:t>
      </w:r>
      <w:r>
        <w:t xml:space="preserve"> means the period of 30 days beginning on 19 July 2001.</w:t>
      </w:r>
    </w:p>
    <w:p>
      <w:pPr>
        <w:pStyle w:val="MiscClose"/>
      </w:pPr>
      <w:r>
        <w:t>”.</w:t>
      </w:r>
    </w:p>
    <w:p>
      <w:pPr>
        <w:pStyle w:val="nSubsection"/>
      </w:pPr>
      <w:r>
        <w:rPr>
          <w:vertAlign w:val="superscript"/>
        </w:rPr>
        <w:t>3</w:t>
      </w:r>
      <w:r>
        <w:tab/>
        <w:t xml:space="preserve">The </w:t>
      </w:r>
      <w:r>
        <w:rPr>
          <w:i/>
        </w:rPr>
        <w:t>Petroleum Products Pricing Amendment Regulations (No. 4) 2001</w:t>
      </w:r>
      <w:r>
        <w:t xml:space="preserve"> r. 7 reads as follows:</w:t>
      </w:r>
    </w:p>
    <w:p>
      <w:pPr>
        <w:pStyle w:val="MiscOpen"/>
      </w:pPr>
      <w:r>
        <w:t>“</w:t>
      </w:r>
    </w:p>
    <w:p>
      <w:pPr>
        <w:pStyle w:val="nzHeading5"/>
      </w:pPr>
      <w:r>
        <w:rPr>
          <w:rStyle w:val="CharSectno"/>
        </w:rPr>
        <w:t>7</w:t>
      </w:r>
      <w:r>
        <w:t>.</w:t>
      </w:r>
      <w:r>
        <w:tab/>
        <w:t>Defence during transitional period</w:t>
      </w:r>
    </w:p>
    <w:p>
      <w:pPr>
        <w:pStyle w:val="nzSubsection"/>
      </w:pPr>
      <w:r>
        <w:tab/>
        <w:t>(1)</w:t>
      </w:r>
      <w:r>
        <w:tab/>
        <w:t xml:space="preserve">It is a defence to a charge of an offence against regulation 6(1) of the </w:t>
      </w:r>
      <w:r>
        <w:rPr>
          <w:i/>
        </w:rPr>
        <w:t xml:space="preserve">Petroleum Products Pricing Regulations 2000 </w:t>
      </w:r>
      <w:r>
        <w:t>that is alleged to have been committed during the transitional period to prove that the person charged did not have any sign or other thing that the person would have needed to be able to comply with regulation 6 of those regulations despite the person having taken all reasonable steps to ensure that everything needed was available.</w:t>
      </w:r>
    </w:p>
    <w:p>
      <w:pPr>
        <w:pStyle w:val="nzSubsection"/>
      </w:pPr>
      <w:r>
        <w:tab/>
        <w:t>(2)</w:t>
      </w:r>
      <w:r>
        <w:tab/>
        <w:t xml:space="preserve">Subregulation (1) does not apply to a charge of an offence against regulation 6(1) of the </w:t>
      </w:r>
      <w:r>
        <w:rPr>
          <w:i/>
        </w:rPr>
        <w:t xml:space="preserve">Petroleum Products Pricing Regulations 2000 </w:t>
      </w:r>
      <w:r>
        <w:t>that is alleged to have been committed during the transitional period at a place in the local government district of Albany.</w:t>
      </w:r>
    </w:p>
    <w:p>
      <w:pPr>
        <w:pStyle w:val="nzSubsection"/>
      </w:pPr>
      <w:r>
        <w:tab/>
        <w:t>(3)</w:t>
      </w:r>
      <w:r>
        <w:tab/>
        <w:t xml:space="preserve">In this regulation — </w:t>
      </w:r>
    </w:p>
    <w:p>
      <w:pPr>
        <w:pStyle w:val="nzDefstart"/>
      </w:pPr>
      <w:r>
        <w:fldChar w:fldCharType="begin"/>
      </w:r>
      <w:r>
        <w:instrText xml:space="preserve"> LISTNUM DefinitionNumbers \l1 </w:instrText>
      </w:r>
      <w:r>
        <w:fldChar w:fldCharType="end">
          <w:numberingChange w:id="155" w:author="Isobel Bond" w:date="2003-05-12T11:18:00Z" w:original=""/>
        </w:fldChar>
      </w:r>
      <w:r>
        <w:tab/>
      </w:r>
      <w:r>
        <w:rPr>
          <w:b/>
        </w:rPr>
        <w:t>“</w:t>
      </w:r>
      <w:r>
        <w:rPr>
          <w:rStyle w:val="CharDefText"/>
        </w:rPr>
        <w:t>transitional period</w:t>
      </w:r>
      <w:r>
        <w:rPr>
          <w:b/>
        </w:rPr>
        <w:t>”</w:t>
      </w:r>
      <w:r>
        <w:t xml:space="preserve"> means the period of 30 days beginning on 23 November 2001.</w:t>
      </w:r>
    </w:p>
    <w:p>
      <w:pPr>
        <w:pStyle w:val="MiscClose"/>
      </w:pPr>
      <w:r>
        <w:t>”.</w:t>
      </w:r>
    </w:p>
    <w:p>
      <w:pPr>
        <w:pStyle w:val="nSubsection"/>
      </w:pPr>
      <w:r>
        <w:rPr>
          <w:vertAlign w:val="superscript"/>
        </w:rPr>
        <w:t>4</w:t>
      </w:r>
      <w:r>
        <w:tab/>
        <w:t xml:space="preserve">The </w:t>
      </w:r>
      <w:r>
        <w:rPr>
          <w:i/>
        </w:rPr>
        <w:t>Petroleum Products Pricing Amendment Regulations 2003</w:t>
      </w:r>
      <w:r>
        <w:t xml:space="preserve"> r. 5 reads as follows:</w:t>
      </w:r>
    </w:p>
    <w:p>
      <w:pPr>
        <w:pStyle w:val="MiscOpen"/>
      </w:pPr>
      <w:r>
        <w:t>“</w:t>
      </w:r>
    </w:p>
    <w:p>
      <w:pPr>
        <w:pStyle w:val="nzHeading5"/>
      </w:pPr>
      <w:r>
        <w:t>5.</w:t>
      </w:r>
      <w:r>
        <w:tab/>
        <w:t>Defence during transitional period (regulation 6(1))</w:t>
      </w:r>
    </w:p>
    <w:p>
      <w:pPr>
        <w:pStyle w:val="nzSubsection"/>
      </w:pPr>
      <w:r>
        <w:tab/>
        <w:t>(1)</w:t>
      </w:r>
      <w:r>
        <w:tab/>
        <w:t xml:space="preserve">It is a defence to a charge of an offence against regulation 6(1) of the </w:t>
      </w:r>
      <w:r>
        <w:rPr>
          <w:i/>
        </w:rPr>
        <w:t xml:space="preserve">Petroleum Products Pricing Regulations 2000 </w:t>
      </w:r>
      <w:r>
        <w:t>that is alleged to have been committed during the transitional period to prove that the person charged did not have any sign or other thing that the person would have needed to be able to comply with regulation 6 of those regulations despite the person having taken all reasonable steps to ensure that everything needed was available.</w:t>
      </w:r>
    </w:p>
    <w:p>
      <w:pPr>
        <w:pStyle w:val="nzSubsection"/>
      </w:pPr>
      <w:r>
        <w:tab/>
        <w:t>(2)</w:t>
      </w:r>
      <w:r>
        <w:tab/>
        <w:t xml:space="preserve">Subregulation (1) does not apply to a charge of an offence against regulation 6(1) of the </w:t>
      </w:r>
      <w:r>
        <w:rPr>
          <w:i/>
        </w:rPr>
        <w:t xml:space="preserve">Petroleum Products Pricing Regulations 2000 </w:t>
      </w:r>
      <w:r>
        <w:t>that is alleged to have been committed during the transitional period at a place in a local government district or townsite listed in Schedule 1 to those regulations, as in force immediately before the transitional period.</w:t>
      </w:r>
    </w:p>
    <w:p>
      <w:pPr>
        <w:pStyle w:val="nzSubsection"/>
      </w:pPr>
      <w:r>
        <w:tab/>
        <w:t>(3)</w:t>
      </w:r>
      <w:r>
        <w:tab/>
        <w:t xml:space="preserve">In this regulation — </w:t>
      </w:r>
    </w:p>
    <w:p>
      <w:pPr>
        <w:pStyle w:val="nzDefstart"/>
      </w:pPr>
      <w:r>
        <w:fldChar w:fldCharType="begin"/>
      </w:r>
      <w:r>
        <w:instrText xml:space="preserve"> LISTNUM DefinitionNumbers \l1 </w:instrText>
      </w:r>
      <w:r>
        <w:fldChar w:fldCharType="end">
          <w:numberingChange w:id="156" w:author="Clare Dias" w:date="2005-12-09T09:30:00Z" w:original=""/>
        </w:fldChar>
      </w:r>
      <w:r>
        <w:tab/>
      </w:r>
      <w:r>
        <w:rPr>
          <w:b/>
        </w:rPr>
        <w:t>“</w:t>
      </w:r>
      <w:r>
        <w:rPr>
          <w:rStyle w:val="CharDefText"/>
        </w:rPr>
        <w:t>transitional period</w:t>
      </w:r>
      <w:r>
        <w:rPr>
          <w:b/>
        </w:rPr>
        <w:t>”</w:t>
      </w:r>
      <w:r>
        <w:t xml:space="preserve"> means the period of 21 days beginning on the day on which these regulations come into operation.</w:t>
      </w:r>
    </w:p>
    <w:p>
      <w:pPr>
        <w:pStyle w:val="MiscClose"/>
      </w:pPr>
      <w:r>
        <w:t>”.</w:t>
      </w:r>
    </w:p>
    <w:p/>
    <w:p>
      <w:pPr>
        <w:sectPr>
          <w:headerReference w:type="even" r:id="rId31"/>
          <w:headerReference w:type="default" r:id="rId32"/>
          <w:headerReference w:type="first" r:id="rId33"/>
          <w:pgSz w:w="11906" w:h="16838" w:code="9"/>
          <w:pgMar w:top="2381" w:right="2409" w:bottom="3543" w:left="2409" w:header="720" w:footer="3380" w:gutter="0"/>
          <w:cols w:space="720"/>
          <w:noEndnote/>
          <w:docGrid w:linePitch="326"/>
        </w:sectPr>
      </w:pPr>
    </w:p>
    <w:p/>
    <w:sectPr>
      <w:headerReference w:type="even" r:id="rId34"/>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Oct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Oct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Oct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Products Pricing Regulations 2000</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Petroleum Products Pricing Regulations 2000</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Petroleum Products Pricing Regulations 2000</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Petroleum Products Pricing Regulations 2000</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Petroleum Products Pricing Regulations 2000</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Petroleum Products Pricing Regulations 2000</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Petroleum Products Pricing Regulations 2000</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Petroleum Products Pricing Regulations 2000</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70438C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EB22B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E10D93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F82651C"/>
    <w:lvl w:ilvl="0">
      <w:start w:val="1"/>
      <w:numFmt w:val="decimal"/>
      <w:pStyle w:val="ListNumber2"/>
      <w:lvlText w:val="%1."/>
      <w:lvlJc w:val="left"/>
      <w:pPr>
        <w:tabs>
          <w:tab w:val="num" w:pos="720"/>
        </w:tabs>
        <w:ind w:left="720" w:hanging="360"/>
      </w:pPr>
    </w:lvl>
  </w:abstractNum>
  <w:abstractNum w:abstractNumId="4">
    <w:nsid w:val="FFFFFF80"/>
    <w:multiLevelType w:val="singleLevel"/>
    <w:tmpl w:val="57D6382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C78D0D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B9A73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05C0B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688130A"/>
    <w:lvl w:ilvl="0">
      <w:start w:val="1"/>
      <w:numFmt w:val="decimal"/>
      <w:pStyle w:val="ListNumber"/>
      <w:lvlText w:val="%1."/>
      <w:lvlJc w:val="left"/>
      <w:pPr>
        <w:tabs>
          <w:tab w:val="num" w:pos="360"/>
        </w:tabs>
        <w:ind w:left="360" w:hanging="360"/>
      </w:pPr>
    </w:lvl>
  </w:abstractNum>
  <w:abstractNum w:abstractNumId="9">
    <w:nsid w:val="FFFFFF89"/>
    <w:multiLevelType w:val="singleLevel"/>
    <w:tmpl w:val="4EDEF68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A784E13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FCD87390"/>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C908EA9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3C2808C0"/>
    <w:multiLevelType w:val="singleLevel"/>
    <w:tmpl w:val="A01499EA"/>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Pr>
      <w:rFonts w:ascii="Times New Roman" w:hAnsi="Times New Roman"/>
      <w:noProof w:val="0"/>
      <w:sz w:val="24"/>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Pr>
      <w:rFonts w:ascii="Times New Roman" w:hAnsi="Times New Roman"/>
      <w:noProof w:val="0"/>
      <w:sz w:val="24"/>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hyperlink" Target="http://www.fuelwatch.wa.gov.au" TargetMode="Externa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oleObject1.bin"/><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wmf"/><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3640</Words>
  <Characters>20352</Characters>
  <Application>Microsoft Office Word</Application>
  <DocSecurity>0</DocSecurity>
  <Lines>636</Lines>
  <Paragraphs>444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Drafting Template</vt:lpstr>
      <vt:lpstr>    Part 1 — Preliminary</vt:lpstr>
      <vt:lpstr>    Part 2 — Special provisions about motor fuel</vt:lpstr>
      <vt:lpstr>        Division 1 — Retail sale</vt:lpstr>
      <vt:lpstr>        Division 2 — Before retail sale</vt:lpstr>
      <vt:lpstr>    Part 3 — Infringement notices and modified penalties</vt:lpstr>
      <vt:lpstr>    Schedule 1 — Places where regulations 3(1) and 6 apply</vt:lpstr>
      <vt:lpstr>    Schedule 2 — Prescribed offences and modified penalties</vt:lpstr>
      <vt:lpstr>    Schedule 3 — Forms</vt:lpstr>
      <vt:lpstr>    Notes</vt:lpstr>
    </vt:vector>
  </TitlesOfParts>
  <Manager/>
  <Company/>
  <LinksUpToDate>false</LinksUpToDate>
  <CharactersWithSpaces>23548</CharactersWithSpaces>
  <SharedDoc>false</SharedDoc>
  <HLinks>
    <vt:vector size="6" baseType="variant">
      <vt:variant>
        <vt:i4>3014772</vt:i4>
      </vt:variant>
      <vt:variant>
        <vt:i4>63</vt:i4>
      </vt:variant>
      <vt:variant>
        <vt:i4>0</vt:i4>
      </vt:variant>
      <vt:variant>
        <vt:i4>5</vt:i4>
      </vt:variant>
      <vt:variant>
        <vt:lpwstr>http://www.fuelwatch.wa.gov.au/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Products Pricing Regulations 2000 - 01-e0-03</dc:title>
  <dc:subject/>
  <dc:creator/>
  <cp:keywords/>
  <dc:description/>
  <cp:lastModifiedBy>svcMRProcess</cp:lastModifiedBy>
  <cp:revision>4</cp:revision>
  <cp:lastPrinted>2002-04-19T02:39:00Z</cp:lastPrinted>
  <dcterms:created xsi:type="dcterms:W3CDTF">2020-02-27T15:03:00Z</dcterms:created>
  <dcterms:modified xsi:type="dcterms:W3CDTF">2020-02-27T15:03:00Z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29 December 2000 pp.7983-5</vt:lpwstr>
  </property>
  <property fmtid="{D5CDD505-2E9C-101B-9397-08002B2CF9AE}" pid="3" name="CommencementDate">
    <vt:lpwstr>20061003</vt:lpwstr>
  </property>
  <property fmtid="{D5CDD505-2E9C-101B-9397-08002B2CF9AE}" pid="4" name="DocumentType">
    <vt:lpwstr>Reg</vt:lpwstr>
  </property>
  <property fmtid="{D5CDD505-2E9C-101B-9397-08002B2CF9AE}" pid="5" name="OwlsUID">
    <vt:i4>2723</vt:i4>
  </property>
  <property fmtid="{D5CDD505-2E9C-101B-9397-08002B2CF9AE}" pid="6" name="AsAtDate">
    <vt:lpwstr>03 Oct 2006</vt:lpwstr>
  </property>
  <property fmtid="{D5CDD505-2E9C-101B-9397-08002B2CF9AE}" pid="7" name="Suffix">
    <vt:lpwstr>01-e0-03</vt:lpwstr>
  </property>
</Properties>
</file>